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The focus is on how those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1 shows that logos had the highest frequency, with 22 instances (64.71%), followed by pathos with 11 instances (32.35%). Ethos had the lowest frequency, with only one instance (2.94%). Each of the 34 CTA phrases was classified according to its dominant rhetorical appeal. In this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rPr>
        <w:t>These elements supported classification under logos because they offer reasons for considering the product. That reading is consistent with logos as persuasion through logical reasoning or argument (Rapp, 2022) and with analyses that locate logos in facts, specifications, and product data in social-media advertising language (Nasir et al., 2025).</w:t>
      </w:r>
    </w:p>
    <w:p>
      <w:pPr>
        <w:spacing w:line="480" w:lineRule="auto" w:before="0" w:after="0"/>
        <w:ind w:firstLine="720"/>
        <w:jc w:val="both"/>
      </w:pPr>
      <w:r>
        <w:rPr>
          <w:rFonts w:ascii="Georgia" w:hAnsi="Georgia" w:eastAsia="Georgia"/>
          <w:b w:val="0"/>
          <w:i w:val="0"/>
          <w:sz w:val="22"/>
        </w:rPr>
        <w:t>Such wording appeals to desire, care, and urgency. Beauty-advertising research often finds pathos realized through aspirational appearance and affective framing (Dwiyanti, 2024).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rPr>
        <w:t>Classification therefore rested on textual evidence of trustworthiness, not on brand identification alone. That distinction follows the definition of ethos as an appeal based on credibility (Rapp, 2022): naming the brand is not the same as establishing trust in the wording.</w:t>
      </w:r>
    </w:p>
    <w:p>
      <w:pPr>
        <w:spacing w:line="480" w:lineRule="auto" w:before="0" w:after="0"/>
        <w:ind w:firstLine="720"/>
        <w:jc w:val="both"/>
      </w:pPr>
      <w:r>
        <w:rPr>
          <w:rFonts w:ascii="Georgia" w:hAnsi="Georgia" w:eastAsia="Georgia"/>
          <w:b w:val="0"/>
          <w:i w:val="0"/>
          <w:sz w:val="22"/>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rPr>
        <w:t>Overall, logos, pathos, and ethos were all present in the selected captions. Logos was the most frequent appeal, followed by pathos and ethos. The pattern is one of wording rather than market effect: in this corpus, skincare CTAs most often build persuasion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Parallel work on beauty captions has likewise found directive language used to encourage purchase and engagement, often through commands, suggestions, invitations, and advice (e.g., analyses of NIVEA Instagram captions using Searle’s framework). The CTA is treated here as an utterance that performs a social action, not only as promotional copy.</w:t>
      </w:r>
    </w:p>
    <w:p>
      <w:pPr>
        <w:spacing w:line="480" w:lineRule="auto" w:before="0" w:after="0"/>
        <w:ind w:firstLine="720"/>
        <w:jc w:val="both"/>
      </w:pPr>
      <w:r>
        <w:rPr>
          <w:rFonts w:ascii="Georgia" w:hAnsi="Georgia" w:eastAsia="Georgia"/>
          <w:b w:val="0"/>
          <w:i w:val="0"/>
          <w:sz w:val="22"/>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rPr>
        <w:t>Under the operational definitions adopted from Anggraini and Afriana (2023), suggestion proposes a course of action while leaving the hearer room to accept or refuse it.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rPr>
        <w:t>Overall, order dominated and suggestion was secondary.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rPr>
        <w:t>Part III examines how rhetorical appeals and directive subtypes combine in the 34 CTA phrases. Persuasive meaning is treated as jointly constructed: the appeal supplies a reason, emotion, or credibility frame,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rPr>
        <w:t>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packaging of both in one CTA unit.</w:t>
      </w:r>
    </w:p>
    <w:p>
      <w:pPr>
        <w:spacing w:line="480" w:lineRule="auto" w:before="0" w:after="0"/>
        <w:ind w:firstLine="720"/>
        <w:jc w:val="both"/>
      </w:pPr>
      <w:r>
        <w:rPr>
          <w:rFonts w:ascii="Georgia" w:hAnsi="Georgia" w:eastAsia="Georgia"/>
          <w:b w:val="0"/>
          <w:i w:val="0"/>
          <w:sz w:val="22"/>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caption wording, not measures of campaign success.</w:t>
      </w:r>
    </w:p>
    <w:p>
      <w:pPr>
        <w:spacing w:line="480" w:lineRule="auto" w:before="0" w:after="0"/>
        <w:ind w:firstLine="720"/>
        <w:jc w:val="both"/>
      </w:pPr>
      <w:r>
        <w:rPr>
          <w:rFonts w:ascii="Georgia" w:hAnsi="Georgia" w:eastAsia="Georgia"/>
          <w:b w:val="0"/>
          <w:i w:val="0"/>
          <w:sz w:val="22"/>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The analysis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