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Times New Roman" w:cs="Times New Roman" w:eastAsia="Georgia" w:hAnsi="Times New Roman"/>
          <w:b w:val="0"/>
          <w:bCs w:val="1"/>
          <w:i w:val="0"/>
          <w:iCs w:val="0"/>
          <w:sz w:val="22"/>
          <w:szCs w:val="22"/>
          <w:rtl w:val="0"/>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Times New Roman" w:cs="Times New Roman" w:eastAsia="Georgia" w:hAnsi="Times New Roman"/>
          <w:b w:val="0"/>
          <w:bCs w:val="0"/>
          <w:i w:val="0"/>
          <w:iCs w:val="0"/>
          <w:sz w:val="22"/>
          <w:szCs w:val="22"/>
          <w:rtl w:val="0"/>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Times New Roman" w:cs="Times New Roman" w:eastAsia="Georgia" w:hAnsi="Times New Roman"/>
          <w:b w:val="0"/>
          <w:bCs w:val="0"/>
          <w:i w:val="0"/>
          <w:iCs w:val="0"/>
          <w:sz w:val="22"/>
          <w:szCs w:val="22"/>
          <w:rtl w:val="0"/>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Times New Roman" w:cs="Times New Roman" w:eastAsia="Georgia" w:hAnsi="Times New Roman"/>
          <w:b w:val="0"/>
          <w:bCs w:val="0"/>
          <w:i w:val="0"/>
          <w:iCs w:val="0"/>
          <w:sz w:val="22"/>
          <w:szCs w:val="22"/>
          <w:rtl w:val="0"/>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Times New Roman" w:cs="Times New Roman" w:eastAsia="Georgia" w:hAnsi="Times New Roman"/>
          <w:b w:val="0"/>
          <w:bCs w:val="0"/>
          <w:i w:val="0"/>
          <w:iCs w:val="0"/>
          <w:sz w:val="22"/>
          <w:szCs w:val="22"/>
          <w:rtl w:val="0"/>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Times New Roman" w:hAnsi="Times New Roman" w:cs="Times New Roman"/>
          <w:b w:val="0"/>
          <w:sz w:val="22"/>
          <w:rtl w:val="0"/>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Times New Roman" w:hAnsi="Times New Roman" w:cs="Times New Roman"/>
          <w:b w:val="0"/>
          <w:sz w:val="22"/>
          <w:rtl w:val="0"/>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As noted in Scope, the study cannot separate genuine field norms from adviser-enforced conventions; the findings describe the ratified abstracts, not individual cognition.</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type—Agriculture has no Binary outcomes here—so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