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cohort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native English writers and Iranian non-native writers, and coded hedges according to Crompton’s (1997) taxonomy. Native English writers used more hedging devices overall. Non-native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7">
      <w:pPr>
        <w:spacing w:after="0" w:before="0" w:line="480" w:lineRule="auto"/>
        <w:ind w:firstLine="720"/>
        <w:jc w:val="both"/>
        <w:rPr/>
      </w:pPr>
      <w:r w:rsidDel="00000000" w:rsidR="00000000" w:rsidRPr="00000000">
        <w:rPr>
          <w:rFonts w:ascii="Georgia" w:hAnsi="Georgia" w:eastAsia="Georgia"/>
          <w:sz w:val="22"/>
          <w:rtl w:val="0"/>
        </w:rPr>
        <w:t>Field norms shape expert hedging, but not along a simple hard-or-soft divide. Afshar et al. (2014) compared the Discussion sections of 180 research articles across three fields: Humanities (Law, Persian literature, TEFL), Basic Sciences (Biology, Applied Chemistry, Geology), and Agriculture (Biotechnology, Soil Sciences, Horticulture), with 20 articles per sub-field. Coding followed Salager-Meyer’s (1994) taxonomy. Chi-square tests showed significant differences both among the three fields and among sub-fields within each field. Humanities articles carried the highest overall hedge counts in their sample. Agriculture and Basic Sciences sat lower, with further unevenness inside each field (for example across TEFL, Law, and Persian literature, or across biotechnology, soil science, and horticulture). The study therefore does more than rank “soft” above “hard.” It shows that sub-field matters even when articles share a broad disciplinary label.</w:t>
      </w:r>
    </w:p>
    <w:p w:rsidR="00000000" w:rsidDel="00000000" w:rsidP="00000000" w:rsidRDefault="00000000" w:rsidRPr="00000000" w14:paraId="00000028">
      <w:pPr>
        <w:spacing w:after="0" w:before="0" w:line="480" w:lineRule="auto"/>
        <w:ind w:firstLine="720"/>
        <w:jc w:val="both"/>
        <w:rPr/>
      </w:pPr>
      <w:r w:rsidDel="00000000" w:rsidR="00000000" w:rsidRPr="00000000">
        <w:rPr>
          <w:rFonts w:ascii="Georgia" w:hAnsi="Georgia" w:eastAsia="Georgia"/>
          <w:sz w:val="22"/>
          <w:rtl w:val="0"/>
        </w:rPr>
        <w:t>Mohammed (2011) takes a different cut. The study compared lexical hedges in research articles from biochemistry and applied linguistics, written by American and Arabic authors. American writers used more hedging forms than Arabic writers in both disciplines. Across cultural groups,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the finding that density tracks the pairing under analysis and the coding scheme, not a single universal hard-or-soft scale.</w:t>
      </w:r>
    </w:p>
    <w:p>
      <w:pPr>
        <w:spacing w:line="480" w:lineRule="auto"/>
        <w:ind w:firstLine="720"/>
        <w:jc w:val="both"/>
      </w:pPr>
      <w:r>
        <w:rPr>
          <w:rFonts w:ascii="Georgia" w:hAnsi="Georgia" w:eastAsia="Georgia"/>
          <w:sz w:val="22"/>
        </w:rPr>
        <w:t>Within life sciences, Souici and Slougui (2022) examined hedges in 31 biology research articles by Algerian authors, drawn from five locally published journals. They coded type, frequency, and distribution across research-article sections. Main verbs were the most prominent hedge category overall. Within that category, non-factive reporting verbs ranked highest. Algerian biologists in the sample relied heavily on those verbs as strategic devices to support and frame their own findings in relation to other work. The formal profile is therefore not modal-led. It is reporting-verb-led, which matters when undergraduate corpora are later compared with expert biology writing that may favor different forms under the same broad label “hedge.”</w:t>
      </w:r>
    </w:p>
    <w:p>
      <w:pPr>
        <w:spacing w:line="480" w:lineRule="auto"/>
        <w:ind w:firstLine="720"/>
        <w:jc w:val="both"/>
      </w:pPr>
      <w:r>
        <w:rPr>
          <w:rFonts w:ascii="Georgia" w:hAnsi="Georgia" w:eastAsia="Georgia"/>
          <w:sz w:val="22"/>
        </w:rPr>
        <w:t>Hamidi et al. (2025) compared hedging devices in the conclusion sections of basic-science and clinical-science papers published in 2024 in the Medical Journal of the Islamic Republic of Iran (150 papers in the working set). Clinical papers used more hedge tokens overall (330 versus 154 in basic science), and the clinical set led in each of the four taxonomy categories they applied. An inferential test, however, found no statistically significant difference between basic-science and clinical-science papers. The authors conclude that hedging in this medical journal is shaped by journal standards and cultural factors as well as by the basic-versus-clinical split. For the present study, the result is a caution: a numerical edge for one life-science strand need not survive significance testing, and institutional venue can matter as much as field.</w:t>
      </w:r>
    </w:p>
    <w:p>
      <w:pPr>
        <w:spacing w:line="480" w:lineRule="auto"/>
        <w:ind w:firstLine="720"/>
        <w:jc w:val="both"/>
      </w:pPr>
      <w:r>
        <w:rPr>
          <w:rFonts w:ascii="Georgia" w:hAnsi="Georgia" w:eastAsia="Georgia"/>
          <w:sz w:val="22"/>
        </w:rPr>
        <w:t>Salager-Meyer (1994) anchors much of this comparative work in medical English. Analyzing research papers and case reports from leading medical journals, she showed that hedge frequency and category distribution shift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section-sensitive account supports reading hedging as claim management under genre pressure rather than as a fixed field quota. Hu and Cao (2011) add medium and evidence type. In applied-linguistics journal abstracts, English-medium texts featured markedly more hedges than Chinese-medium texts. Abstracts of empirical research articles used significantly more boosters than non-empirical academic articles, while hedge patterns also required contextual reading rather than word-list matching alone. Stance choices therefore track publication language and evidence type as well as discipline.</w:t>
      </w:r>
    </w:p>
    <w:p>
      <w:pPr>
        <w:spacing w:line="480" w:lineRule="auto"/>
        <w:ind w:firstLine="720"/>
        <w:jc w:val="both"/>
      </w:pPr>
      <w:r>
        <w:rPr>
          <w:rFonts w:ascii="Georgia" w:hAnsi="Georgia" w:eastAsia="Georgia"/>
          <w:sz w:val="22"/>
        </w:rPr>
        <w:t>Expert scientific English therefore shows measurable variation, but the variation is local to how each field, section, and publication context handles evidence and claim risk. For developing writers in L2 settings, that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2A">
      <w:pPr>
        <w:spacing w:after="0" w:before="0" w:line="480" w:lineRule="auto"/>
        <w:ind w:firstLine="720"/>
        <w:jc w:val="both"/>
        <w:rPr/>
      </w:pPr>
      <w:r w:rsidDel="00000000" w:rsidR="00000000" w:rsidRPr="00000000">
        <w:rPr>
          <w:rtl w:val="0"/>
        </w:rPr>
        <w:t>English is the medium of academic writing at PSAU, but not the home language for most students. Demir (2018) and related L2 work show that second-language writers typically use fewer hedges and less formal variety than L1 peers. Publication context can amplify that gap. Hu and Cao (2011) found English-medium journal abstracts markedly more hedged than Chinese-medium counterparts in the same field, which suggests that the language of publication and the editorial community shape stance as much as individual proficiency. Petchkij (2019) reports that explicit teaching can raise both frequency and variety among health-science undergraduates, though a preference for modals often remains even after training. The instructional finding matters for PSAU: limited hedge variety in student texts is not only a deficit to be counted. It is also a trainable feature of English for academic purposes.</w:t>
      </w:r>
    </w:p>
    <w:p w:rsidR="00000000" w:rsidDel="00000000" w:rsidP="00000000" w:rsidRDefault="00000000" w:rsidRPr="00000000" w14:paraId="0000002B">
      <w:pPr>
        <w:spacing w:after="0" w:before="0" w:line="480" w:lineRule="auto"/>
        <w:ind w:firstLine="720"/>
        <w:jc w:val="both"/>
        <w:rPr/>
      </w:pPr>
      <w:r w:rsidDel="00000000" w:rsidR="00000000" w:rsidRPr="00000000">
        <w:rPr>
          <w:rtl w:val="0"/>
        </w:rPr>
        <w:t>Since this study does not measure English proficiency independently, observed patterns may reflect L2 constraints, disciplinary socialization, or both. The aim is a descriptive baseline of how stance is worded in ratified abstracts, not a test of which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tl w:val="0"/>
        </w:rPr>
        <w:t>Philippine and regional findings align with this picture. Ningrum et al. (2024) report that ASEAN learner data, including Philippine samples, show a preference for boosters over hedges and overuse of intensifiers such as completely, really, and always. Escalona (2025) and Lopez et al. (2025), in local college essay studies, find developing-stage proficiency with epistemic modals dominant and only modest differences by major field. Those studies examine essays rather than thesis abstracts, so they cannot be read as direct predictions for the present corpus. They do show that Philippine L2 academic English often leans on a small modal set and on intensifying rather than softening moves.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Imataki and Kobayashi (2024) report measurable disciplinary differences in expert abstracts for features such as voice and nominalization, which shows that field norms reach even the shortest research genres.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Across the literature, expert writers show measurable disciplinary differentiation in hedging shaped by epistemic demands rather than a simple hard-or-soft divide (Salager-Meyer, 1994; Afshar et al., 2014; Wang, 2022; Xie &amp; Mi, 2023). Developing researchers across contexts show limited hedge variety and tend to default to modal verbs (Khunasathitchai et al., 2025; Wang, 2022; Ghia et al., 2022; Mazidah et al., 2022; Halabisaz et al., 2014).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p>
    <w:p>
      <w:r>
        <w:t>Definitions of hedging in academic writing are not uniform. Hyland (1998) treats hedges as linguistic means that signal either reduced commitment to the truth of a proposition or a preference not to express that commitment categorically. His polypragmatic model distinguishes content-oriented hedges, which manage accuracy and reliability of the claim, from reader-oriented hedges, which manage interpersonal effects on the audience. Salager-Meyer (1994) frames the same devices as tools for claim-responsibility management. Writers distribute responsibility for a statement’s accuracy among themselves, their data, and external conditions. Crompton (1997) argues that the term is most useful when reserved for epistemic modality attached to knowledge claims, and that extending hedge to every politeness-related feature of academic prose weakens the concept. Those positions leave open whether directives and recommendations, which manage action rather than the truth of a claim, should count as hedges. The present study takes a claim-centered stance. A hedge is coded only when a device changes the writer’s stance toward a proposition that evidence could show to be wrong. Epistemic caution captures reduced commitment to that claim’s truth. Politeness/deference captures interpersonal softening of the same claim. Softened recommendations are logged as false positives under this scope, not as evidence that politeness is absent from the writers’ repertoire.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(false positive),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(false positive) rather than inferential hedges. Third, for “potential + noun,” structural position is how the claim condition applies. Aim and methods clauses are non-claims (what the study set out to do), so “potential” there fails the claim condition and is coded false positive,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epistemic caution. When removing the token clearly changes the epistemic weight of a proposition, for example when “presence of potential mycobacterial infections” becomes an asserted presence claim without the modifier, the token is coded Lexical epistemic caution.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Alongside the 65 retained epistemic caution hedges (and no politeness/deference tokens), the corpus yielded 65 false positive tokens, hedge-like words that failed the claim condition or both removal checks at Step 2. Table 6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Table 6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