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cs="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and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cs="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cs="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rPr>
          <w:rFonts w:ascii="Georgia" w:hAnsi="Georgia" w:cs="Georgia"/>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rPr>
          <w:rFonts w:ascii="Georgia" w:hAnsi="Georgia" w:cs="Georgia"/>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hAnsi="Cardo" w:cs="Cardo"/>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rFonts w:ascii="Georgia" w:hAnsi="Georgia" w:cs="Georgia"/>
        </w:rPr>
        <w:t>Hedging,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cs="Georgia"/>
          <w:sz w:val="22"/>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cs="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cs="Georgia"/>
          <w:sz w:val="22"/>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cs="Georgia"/>
          <w:sz w:val="22"/>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cs="Georgia"/>
          <w:sz w:val="22"/>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cs="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sz w:val="16"/>
              </w:rPr>
              <w:t>No retained hedge token in the abstract under the claim condition and the removal checks.</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cs="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