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How does the adapted function scheme classify the retained hedges, and what does that distribution show about the scheme under the Working Test?</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For writing instructors and thesis advisers at PSAU, the study provides an empirical baseline of how uncertainty is managed in the ratified abstracts of three applied life sciences programs. That baseline can support more targeted feedback than generic advice to “be cautious.”</w:t>
      </w:r>
      <w:r>
        <w:rPr>
          <w:b w:val="0"/>
          <w:bCs w:val="0"/>
          <w:rtl w:val="0"/>
        </w:rPr>
        <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Sub-program (Crop vs Animal Science) counts are reported in the sampling table; no separate inferential comparison between sub-programs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sample and the likelihood of zero inflation. Frequency results and the pilot comparison are reported in the Results chapter, not here.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those resolutions were logged in the codebook and applied consistently thereafter.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show three observable patterns in the ratified abstracts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Across the three disciplines, Veterinary Medicine’s lower hedge density is the most robust contrast in this corpus. The Agriculture–Biology difference is marginal and partly outlier-driven. The data cannot separate field norms, adviser practice, and outcome type as explanations. The defensible claim is that VM abstracts in this corpus hedge less; the cause remains unknown.</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Disciplinary differentiation is present but uneven. Veterinary Medicine’s lower density is the clearest contrast; Agriculture’s edge over Biology is modest and outlier-sensitive. The data cannot separate field norms, adviser practice, and outcome type. Statistical evidence is exploratory (Kruskal-Wallis p = .033) and the sample is small. The study provides a local baseline: VM abstracts in this corpus hedge less; the cause remains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