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480" w:lineRule="auto"/>
        <w:rPr/>
      </w:pPr>
      <w:r>
        <w:rPr>
          <w:rtl w:val="0"/>
        </w:rPr>
      </w:r>
    </w:p>
    <w:p w:rsidR="00000000" w:rsidDel="00000000" w:rsidP="00000000" w:rsidRDefault="00000000" w:rsidRPr="00000000" w14:paraId="00000002">
      <w:pPr>
        <w:spacing w:after="0" w:before="0" w:line="480" w:lineRule="auto"/>
        <w:rPr/>
      </w:pPr>
      <w:r>
        <w:rPr>
          <w:rtl w:val="0"/>
        </w:rPr>
      </w:r>
    </w:p>
    <w:p w:rsidR="00000000" w:rsidDel="00000000" w:rsidP="00000000" w:rsidRDefault="00000000" w:rsidRPr="00000000" w14:paraId="00000003">
      <w:pPr>
        <w:spacing w:after="0" w:before="0" w:line="480" w:lineRule="auto"/>
        <w:jc w:val="center"/>
        <w:rPr>
          <w:sz w:val="28"/>
          <w:szCs w:val="28"/>
        </w:rPr>
      </w:pPr>
      <w:r>
        <w:rPr>
          <w:b w:val="1"/>
          <w:bCs w:val="1"/>
          <w:sz w:val="28"/>
          <w:szCs w:val="28"/>
          <w:rtl w:val="0"/>
        </w:rPr>
        <w:t xml:space="preserve">THE USE OF HEDGES IN RESEARCH ABSTRACTS</w:t>
      </w:r>
      <w:r>
        <w:rPr>
          <w:rtl w:val="0"/>
        </w:rPr>
      </w:r>
    </w:p>
    <w:p w:rsidR="00000000" w:rsidDel="00000000" w:rsidP="00000000" w:rsidRDefault="00000000" w:rsidRPr="00000000" w14:paraId="00000004">
      <w:pPr>
        <w:spacing w:after="0" w:before="0" w:line="480" w:lineRule="auto"/>
        <w:jc w:val="center"/>
        <w:rPr>
          <w:sz w:val="28"/>
          <w:szCs w:val="28"/>
        </w:rPr>
      </w:pPr>
      <w:r>
        <w:rPr>
          <w:b w:val="1"/>
          <w:bCs w:val="1"/>
          <w:sz w:val="28"/>
          <w:szCs w:val="28"/>
          <w:rtl w:val="0"/>
        </w:rPr>
        <w:t xml:space="preserve">ACROSS APPLIED LIFE SCIENCES</w:t>
      </w:r>
      <w:r>
        <w:rPr>
          <w:rtl w:val="0"/>
        </w:rPr>
      </w:r>
    </w:p>
    <w:p w:rsidR="00000000" w:rsidDel="00000000" w:rsidP="00000000" w:rsidRDefault="00000000" w:rsidRPr="00000000" w14:paraId="00000005">
      <w:pPr>
        <w:spacing w:after="0" w:before="0" w:line="480" w:lineRule="auto"/>
        <w:jc w:val="center"/>
        <w:rPr/>
      </w:pPr>
      <w:r>
        <w:rPr>
          <w:rtl w:val="0"/>
        </w:rPr>
      </w:r>
    </w:p>
    <w:p w:rsidR="00000000" w:rsidDel="00000000" w:rsidP="00000000" w:rsidRDefault="00000000" w:rsidRPr="00000000" w14:paraId="00000006">
      <w:pPr>
        <w:spacing w:after="0" w:before="0" w:line="480" w:lineRule="auto"/>
        <w:jc w:val="center"/>
        <w:rPr/>
      </w:pPr>
      <w:r>
        <w:rPr>
          <w:rtl w:val="0"/>
        </w:rPr>
      </w:r>
    </w:p>
    <w:p w:rsidR="00000000" w:rsidDel="00000000" w:rsidP="00000000" w:rsidRDefault="00000000" w:rsidRPr="00000000" w14:paraId="00000007">
      <w:pPr>
        <w:spacing w:after="0" w:before="0" w:line="480" w:lineRule="auto"/>
        <w:jc w:val="center"/>
        <w:rPr/>
      </w:pPr>
      <w:r>
        <w:rPr>
          <w:rtl w:val="0"/>
        </w:rPr>
        <w:t xml:space="preserve">A Thesis</w:t>
      </w:r>
    </w:p>
    <w:p w:rsidR="00000000" w:rsidDel="00000000" w:rsidP="00000000" w:rsidRDefault="00000000" w:rsidRPr="00000000" w14:paraId="00000008">
      <w:pPr>
        <w:spacing w:after="0" w:before="0" w:line="480" w:lineRule="auto"/>
        <w:jc w:val="center"/>
        <w:rPr/>
      </w:pPr>
      <w:r>
        <w:rPr>
          <w:rtl w:val="0"/>
        </w:rPr>
        <w:t xml:space="preserve">Presented to the Faculty of</w:t>
      </w:r>
    </w:p>
    <w:p w:rsidR="00000000" w:rsidDel="00000000" w:rsidP="00000000" w:rsidRDefault="00000000" w:rsidRPr="00000000" w14:paraId="00000009">
      <w:pPr>
        <w:spacing w:after="0" w:before="0" w:line="480" w:lineRule="auto"/>
        <w:jc w:val="center"/>
        <w:rPr/>
      </w:pPr>
      <w:r>
        <w:rPr>
          <w:rtl w:val="0"/>
        </w:rPr>
        <w:t xml:space="preserve">Department of English</w:t>
      </w:r>
    </w:p>
    <w:p w:rsidR="00000000" w:rsidDel="00000000" w:rsidP="00000000" w:rsidRDefault="00000000" w:rsidRPr="00000000" w14:paraId="0000000A">
      <w:pPr>
        <w:spacing w:after="0" w:before="0" w:line="480" w:lineRule="auto"/>
        <w:jc w:val="center"/>
        <w:rPr/>
      </w:pPr>
      <w:r>
        <w:rPr>
          <w:rtl w:val="0"/>
        </w:rPr>
        <w:t xml:space="preserve">College of Arts and Sciences</w:t>
      </w:r>
    </w:p>
    <w:p w:rsidR="00000000" w:rsidDel="00000000" w:rsidP="00000000" w:rsidRDefault="00000000" w:rsidRPr="00000000" w14:paraId="0000000B">
      <w:pPr>
        <w:spacing w:after="0" w:before="0" w:line="480" w:lineRule="auto"/>
        <w:jc w:val="center"/>
        <w:rPr/>
      </w:pPr>
      <w:r>
        <w:rPr>
          <w:rtl w:val="0"/>
        </w:rPr>
        <w:t xml:space="preserve">Pampanga State Agricultural University</w:t>
      </w:r>
    </w:p>
    <w:p w:rsidR="00000000" w:rsidDel="00000000" w:rsidP="00000000" w:rsidRDefault="00000000" w:rsidRPr="00000000" w14:paraId="0000000C">
      <w:pPr>
        <w:spacing w:after="0" w:before="0" w:line="480" w:lineRule="auto"/>
        <w:jc w:val="center"/>
        <w:rPr/>
      </w:pPr>
      <w:r>
        <w:rPr>
          <w:rtl w:val="0"/>
        </w:rPr>
        <w:t xml:space="preserve">Magalang, Pampanga</w:t>
      </w:r>
    </w:p>
    <w:p w:rsidR="00000000" w:rsidDel="00000000" w:rsidP="00000000" w:rsidRDefault="00000000" w:rsidRPr="00000000" w14:paraId="0000000D">
      <w:pPr>
        <w:spacing w:after="0" w:before="0" w:line="480" w:lineRule="auto"/>
        <w:jc w:val="center"/>
        <w:rPr/>
      </w:pPr>
      <w:r>
        <w:rPr>
          <w:rtl w:val="0"/>
        </w:rPr>
      </w:r>
    </w:p>
    <w:p w:rsidR="00000000" w:rsidDel="00000000" w:rsidP="00000000" w:rsidRDefault="00000000" w:rsidRPr="00000000" w14:paraId="0000000E">
      <w:pPr>
        <w:spacing w:after="0" w:before="0" w:line="480" w:lineRule="auto"/>
        <w:jc w:val="center"/>
        <w:rPr/>
      </w:pPr>
      <w:r>
        <w:rPr>
          <w:rtl w:val="0"/>
        </w:rPr>
      </w:r>
    </w:p>
    <w:p w:rsidR="00000000" w:rsidDel="00000000" w:rsidP="00000000" w:rsidRDefault="00000000" w:rsidRPr="00000000" w14:paraId="0000000F">
      <w:pPr>
        <w:spacing w:after="0" w:before="0" w:line="480" w:lineRule="auto"/>
        <w:jc w:val="center"/>
        <w:rPr/>
      </w:pPr>
      <w:r>
        <w:rPr>
          <w:rtl w:val="0"/>
        </w:rPr>
        <w:t xml:space="preserve">In Partial Fulfillment</w:t>
      </w:r>
    </w:p>
    <w:p w:rsidR="00000000" w:rsidDel="00000000" w:rsidP="00000000" w:rsidRDefault="00000000" w:rsidRPr="00000000" w14:paraId="00000010">
      <w:pPr>
        <w:spacing w:after="0" w:before="0" w:line="480" w:lineRule="auto"/>
        <w:jc w:val="center"/>
        <w:rPr/>
      </w:pPr>
      <w:r>
        <w:rPr>
          <w:rtl w:val="0"/>
        </w:rPr>
        <w:t xml:space="preserve">of the Requirements for the Degree</w:t>
      </w:r>
    </w:p>
    <w:p w:rsidR="00000000" w:rsidDel="00000000" w:rsidP="00000000" w:rsidRDefault="00000000" w:rsidRPr="00000000" w14:paraId="00000011">
      <w:pPr>
        <w:spacing w:after="0" w:before="0" w:line="480" w:lineRule="auto"/>
        <w:jc w:val="center"/>
        <w:rPr/>
      </w:pPr>
      <w:r>
        <w:rPr>
          <w:rtl w:val="0"/>
        </w:rPr>
        <w:t xml:space="preserve">BACHELOR OF ARTS IN ENGLISH LANGUAGE STUDIES</w:t>
      </w:r>
    </w:p>
    <w:p w:rsidR="00000000" w:rsidDel="00000000" w:rsidP="00000000" w:rsidRDefault="00000000" w:rsidRPr="00000000" w14:paraId="00000012">
      <w:pPr>
        <w:spacing w:after="0" w:before="0" w:line="480" w:lineRule="auto"/>
        <w:jc w:val="center"/>
        <w:rPr/>
      </w:pPr>
      <w:r>
        <w:rPr>
          <w:rtl w:val="0"/>
        </w:rPr>
      </w:r>
    </w:p>
    <w:p w:rsidR="00000000" w:rsidDel="00000000" w:rsidP="00000000" w:rsidRDefault="00000000" w:rsidRPr="00000000" w14:paraId="00000013">
      <w:pPr>
        <w:spacing w:after="0" w:before="0" w:line="480" w:lineRule="auto"/>
        <w:jc w:val="center"/>
        <w:rPr/>
      </w:pPr>
      <w:r>
        <w:rPr>
          <w:rtl w:val="0"/>
        </w:rPr>
      </w:r>
    </w:p>
    <w:p w:rsidR="00000000" w:rsidDel="00000000" w:rsidP="00000000" w:rsidRDefault="00000000" w:rsidRPr="00000000" w14:paraId="00000014">
      <w:pPr>
        <w:keepNext w:val="1"/>
        <w:spacing w:after="0" w:before="0" w:line="480" w:lineRule="auto"/>
        <w:jc w:val="center"/>
        <w:rPr/>
      </w:pPr>
      <w:r>
        <w:rPr>
          <w:rtl w:val="0"/>
        </w:rPr>
        <w:t xml:space="preserve">By</w:t>
      </w:r>
    </w:p>
    <w:p w:rsidR="00000000" w:rsidDel="00000000" w:rsidP="00000000" w:rsidRDefault="00000000" w:rsidRPr="00000000" w14:paraId="00000015">
      <w:pPr>
        <w:keepNext w:val="1"/>
        <w:spacing w:after="0" w:before="0" w:line="480" w:lineRule="auto"/>
        <w:jc w:val="center"/>
        <w:rPr/>
      </w:pPr>
      <w:r>
        <w:rPr>
          <w:rtl w:val="0"/>
        </w:rPr>
      </w:r>
    </w:p>
    <w:p w:rsidR="00000000" w:rsidDel="00000000" w:rsidP="00000000" w:rsidRDefault="00000000" w:rsidRPr="00000000" w14:paraId="00000016">
      <w:pPr>
        <w:keepNext w:val="1"/>
        <w:spacing w:after="0" w:before="0" w:line="480" w:lineRule="auto"/>
        <w:jc w:val="center"/>
        <w:rPr/>
      </w:pPr>
      <w:r>
        <w:rPr>
          <w:rtl w:val="0"/>
        </w:rPr>
      </w:r>
    </w:p>
    <w:p w:rsidR="00000000" w:rsidDel="00000000" w:rsidP="00000000" w:rsidRDefault="00000000" w:rsidRPr="00000000" w14:paraId="00000017">
      <w:pPr>
        <w:keepNext w:val="1"/>
        <w:spacing w:after="0" w:before="0" w:line="480" w:lineRule="auto"/>
        <w:jc w:val="center"/>
        <w:rPr/>
      </w:pPr>
      <w:r>
        <w:rPr>
          <w:rtl w:val="0"/>
        </w:rPr>
      </w:r>
    </w:p>
    <w:p w:rsidR="00000000" w:rsidDel="00000000" w:rsidP="00000000" w:rsidRDefault="00000000" w:rsidRPr="00000000" w14:paraId="00000018">
      <w:pPr>
        <w:keepNext w:val="1"/>
        <w:spacing w:after="0" w:before="0" w:line="480" w:lineRule="auto"/>
        <w:jc w:val="center"/>
        <w:rPr/>
      </w:pPr>
      <w:r>
        <w:rPr>
          <w:rtl w:val="0"/>
        </w:rPr>
      </w:r>
    </w:p>
    <w:p w:rsidR="00000000" w:rsidDel="00000000" w:rsidP="00000000" w:rsidRDefault="00000000" w:rsidRPr="00000000" w14:paraId="00000019">
      <w:pPr>
        <w:keepNext w:val="1"/>
        <w:spacing w:after="0" w:before="0" w:line="480" w:lineRule="auto"/>
        <w:jc w:val="center"/>
        <w:rPr/>
      </w:pPr>
      <w:r>
        <w:rPr>
          <w:rtl w:val="0"/>
        </w:rPr>
      </w:r>
    </w:p>
    <w:p w:rsidR="00000000" w:rsidDel="00000000" w:rsidP="00000000" w:rsidRDefault="00000000" w:rsidRPr="00000000" w14:paraId="0000001A">
      <w:pPr>
        <w:keepNext w:val="1"/>
        <w:spacing w:after="0" w:before="0" w:line="480" w:lineRule="auto"/>
        <w:jc w:val="center"/>
        <w:rPr/>
      </w:pPr>
      <w:r>
        <w:rPr>
          <w:b w:val="1"/>
          <w:bCs w:val="1"/>
          <w:rtl w:val="0"/>
        </w:rPr>
        <w:t xml:space="preserve">CHRYZ KEAN F. MANUEL</w:t>
      </w:r>
      <w:r>
        <w:rPr>
          <w:rtl w:val="0"/>
        </w:rPr>
      </w:r>
    </w:p>
    <w:p w:rsidR="00000000" w:rsidDel="00000000" w:rsidP="00000000" w:rsidRDefault="00000000" w:rsidRPr="00000000" w14:paraId="0000001B">
      <w:pPr>
        <w:keepLines w:val="1"/>
        <w:spacing w:after="0" w:before="0" w:line="480" w:lineRule="auto"/>
        <w:jc w:val="center"/>
        <w:rPr/>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1440" w:top="1440" w:left="2160" w:right="1440" w:header="720" w:footer="720"/>
          <w:pgNumType w:start="1"/>
        </w:sectPr>
      </w:pPr>
      <w:r>
        <w:rPr>
          <w:rtl w:val="0"/>
        </w:rPr>
        <w:t xml:space="preserve">October 2026</w:t>
      </w:r>
    </w:p>
    <w:p w:rsidR="00000000" w:rsidDel="00000000" w:rsidP="00000000" w:rsidRDefault="00000000" w:rsidRPr="00000000" w14:paraId="0000001C">
      <w:pPr>
        <w:spacing w:after="240" w:before="720" w:line="480" w:lineRule="auto"/>
        <w:ind w:firstLine="0"/>
        <w:jc w:val="center"/>
        <w:rPr>
          <w:sz w:val="28"/>
          <w:szCs w:val="28"/>
        </w:rPr>
      </w:pPr>
      <w:r>
        <w:rPr>
          <w:b w:val="1"/>
          <w:bCs w:val="1"/>
          <w:sz w:val="28"/>
          <w:szCs w:val="28"/>
          <w:rtl w:val="0"/>
        </w:rPr>
        <w:t xml:space="preserve">INTRODUCTION</w:t>
      </w:r>
      <w:r>
        <w:rPr>
          <w:rtl w:val="0"/>
        </w:rPr>
      </w:r>
    </w:p>
    <w:p w:rsidR="00000000" w:rsidDel="00000000" w:rsidP="00000000" w:rsidRDefault="00000000" w:rsidRPr="00000000" w14:paraId="0000001D">
      <w:pPr>
        <w:keepNext w:val="1"/>
        <w:spacing w:after="120" w:before="240" w:line="480" w:lineRule="auto"/>
        <w:ind w:firstLine="0"/>
        <w:rPr>
          <w:b w:val="1"/>
          <w:bCs w:val="1"/>
          <w:sz w:val="24"/>
          <w:szCs w:val="24"/>
        </w:rPr>
      </w:pPr>
      <w:r>
        <w:rPr>
          <w:rtl w:val="0"/>
        </w:rPr>
      </w:r>
    </w:p>
    <w:p w:rsidR="00000000" w:rsidDel="00000000" w:rsidP="00000000" w:rsidRDefault="00000000" w:rsidRPr="00000000" w14:paraId="0000001E">
      <w:pPr>
        <w:keepNext w:val="1"/>
        <w:spacing w:after="120" w:before="240" w:line="480" w:lineRule="auto"/>
        <w:ind w:firstLine="0"/>
        <w:rPr>
          <w:sz w:val="24"/>
          <w:szCs w:val="24"/>
        </w:rPr>
      </w:pPr>
      <w:r>
        <w:rPr>
          <w:b w:val="1"/>
          <w:bCs w:val="1"/>
          <w:sz w:val="24"/>
          <w:szCs w:val="24"/>
          <w:rtl w:val="0"/>
        </w:rPr>
        <w:t xml:space="preserve">Background of the Study</w:t>
      </w:r>
      <w:r>
        <w:rPr>
          <w:rtl w:val="0"/>
        </w:rPr>
      </w:r>
    </w:p>
    <w:p w:rsidR="00000000" w:rsidDel="00000000" w:rsidP="00000000" w:rsidRDefault="00000000" w:rsidRPr="00000000" w14:paraId="0000001F">
      <w:pPr>
        <w:spacing w:after="0" w:before="0" w:line="480" w:lineRule="auto"/>
        <w:ind w:firstLine="720"/>
        <w:jc w:val="both"/>
        <w:rPr/>
      </w:pPr>
      <w:r>
        <w:rPr>
          <w:rtl w:val="0"/>
        </w:rPr>
        <w:t xml:space="preserve">Certainty, it seems, is one thing academic writers are certain they should avoid. Writing guides urge developing researchers to “</w:t>
      </w:r>
      <w:r>
        <w:rPr>
          <w:i w:val="1"/>
          <w:iCs w:val="1"/>
          <w:rtl w:val="0"/>
        </w:rPr>
        <w:t xml:space="preserve">qualify your claims</w:t>
      </w:r>
      <w:r>
        <w:rPr>
          <w:rtl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ind w:firstLine="720"/>
        <w:jc w:val="both"/>
        <w:rPr/>
      </w:pPr>
      <w:r>
        <w:rPr>
          <w:rtl w:val="0"/>
        </w:rPr>
        <w:t>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p>
    <w:p w:rsidR="00000000" w:rsidDel="00000000" w:rsidP="00000000" w:rsidRDefault="00000000" w:rsidRPr="00000000" w14:paraId="00000021">
      <w:pPr>
        <w:spacing w:after="0" w:before="0" w:line="480" w:lineRule="auto"/>
        <w:ind w:firstLine="720"/>
        <w:jc w:val="both"/>
        <w:rPr/>
      </w:pPr>
      <w:r>
        <w:rPr>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ind w:firstLine="720"/>
        <w:jc w:val="both"/>
        <w:rPr/>
      </w:pPr>
      <w:r>
        <w:rPr>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keepNext w:val="1"/>
        <w:spacing w:after="120" w:before="240" w:line="480" w:lineRule="auto"/>
        <w:ind w:firstLine="0"/>
        <w:rPr>
          <w:sz w:val="24"/>
          <w:szCs w:val="24"/>
        </w:rPr>
      </w:pPr>
      <w:r>
        <w:rPr>
          <w:i w:val="1"/>
          <w:iCs w:val="1"/>
          <w:sz w:val="24"/>
          <w:szCs w:val="24"/>
          <w:rtl w:val="0"/>
        </w:rPr>
        <w:t xml:space="preserve">Hedging in Undergraduate Writing</w:t>
      </w:r>
      <w:r>
        <w:rPr>
          <w:rtl w:val="0"/>
        </w:rPr>
      </w:r>
    </w:p>
    <w:p w:rsidR="00000000" w:rsidDel="00000000" w:rsidP="00000000" w:rsidRDefault="00000000" w:rsidRPr="00000000" w14:paraId="00000024">
      <w:pPr>
        <w:spacing w:after="0" w:before="0" w:line="480" w:lineRule="auto"/>
        <w:ind w:firstLine="720"/>
        <w:jc w:val="both"/>
        <w:rPr/>
      </w:pPr>
      <w:r>
        <w:rPr>
          <w:rFonts w:ascii="Georgia" w:hAnsi="Georgia" w:eastAsia="Georgia"/>
          <w:sz w:val="22"/>
          <w:rtl w:val="0"/>
        </w:rPr>
        <w:t>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p>
    <w:p w:rsidR="00000000" w:rsidDel="00000000" w:rsidP="00000000" w:rsidRDefault="00000000" w:rsidRPr="00000000" w14:paraId="00000025">
      <w:pPr>
        <w:spacing w:after="0" w:before="0" w:line="480" w:lineRule="auto"/>
        <w:ind w:firstLine="720"/>
        <w:jc w:val="both"/>
        <w:rPr/>
      </w:pPr>
      <w:r>
        <w:rPr>
          <w:rFonts w:ascii="Georgia" w:hAnsi="Georgia" w:eastAsia="Georgia"/>
          <w:sz w:val="22"/>
          <w:rtl w:val="0"/>
        </w:rPr>
        <w:t>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L2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p>
    <w:p>
      <w:pPr>
        <w:spacing w:line="480" w:lineRule="auto"/>
        <w:ind w:left="720" w:hanging="720"/>
      </w:pPr>
    </w:p>
    <w:p>
      <w:pPr>
        <w:spacing w:line="480" w:lineRule="auto" w:before="0" w:after="0"/>
        <w:ind w:firstLine="720"/>
        <w:jc w:val="both"/>
      </w:pPr>
      <w:r>
        <w:rPr>
          <w:rFonts w:ascii="Georgia" w:hAnsi="Georgia" w:eastAsia="Georgia"/>
          <w:sz w:val="22"/>
        </w:rPr>
        <w:t>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p>
    <w:p>
      <w:pPr>
        <w:spacing w:line="480" w:lineRule="auto" w:before="0" w:after="0"/>
        <w:ind w:firstLine="720"/>
        <w:jc w:val="both"/>
      </w:pPr>
      <w:r>
        <w:rPr>
          <w:rFonts w:ascii="Georgia" w:hAnsi="Georgia" w:eastAsia="Georgia"/>
          <w:sz w:val="22"/>
        </w:rPr>
        <w:t>Halabisaz et al. (2014) focus the comparison on thesis abstracts in applied linguistics. They sampled 300 master’s abstracts written between 2000 and 2013, split between English L1 writers and Iranian L2 writers, and coded hedges according to Crompton’s (1997) taxonomy. English L1 writers used more hedging devices overall. L2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L1–L2 differences in hedging can appear even among writers who have completed substantial graduate coursework in a language-related field.</w:t>
      </w:r>
    </w:p>
    <w:p>
      <w:pPr>
        <w:spacing w:line="480" w:lineRule="auto" w:before="0" w:after="0"/>
        <w:ind w:firstLine="720"/>
        <w:jc w:val="both"/>
      </w:pPr>
      <w:r>
        <w:rPr>
          <w:rFonts w:ascii="Georgia" w:hAnsi="Georgia" w:eastAsia="Georgia"/>
          <w:sz w:val="22"/>
        </w:rPr>
        <w:t>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26">
      <w:pPr>
        <w:keepNext w:val="1"/>
        <w:spacing w:after="120" w:before="240" w:line="480" w:lineRule="auto"/>
        <w:ind w:firstLine="0"/>
        <w:rPr>
          <w:sz w:val="24"/>
          <w:szCs w:val="24"/>
        </w:rPr>
      </w:pPr>
      <w:r>
        <w:rPr>
          <w:i w:val="1"/>
          <w:iCs w:val="1"/>
          <w:sz w:val="24"/>
          <w:szCs w:val="24"/>
          <w:rtl w:val="0"/>
        </w:rPr>
        <w:t xml:space="preserve">Disciplinary Variation in Scientific and Medical Writing</w:t>
      </w:r>
      <w:r>
        <w:rPr>
          <w:rtl w:val="0"/>
        </w:rPr>
      </w:r>
    </w:p>
    <w:p>
      <w:pPr>
        <w:spacing w:line="480" w:lineRule="auto" w:before="0" w:after="0"/>
        <w:ind w:firstLine="720"/>
        <w:jc w:val="both"/>
      </w:pPr>
      <w:r>
        <w:rPr>
          <w:rFonts w:ascii="Georgia" w:hAnsi="Georgia" w:eastAsia="Georgia"/>
          <w:sz w:val="22"/>
        </w:rPr>
        <w:t>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p>
    <w:p>
      <w:pPr>
        <w:spacing w:line="480" w:lineRule="auto" w:before="0" w:after="0"/>
        <w:ind w:firstLine="720"/>
        <w:jc w:val="both"/>
      </w:pPr>
      <w:r>
        <w:rPr>
          <w:rFonts w:ascii="Georgia" w:hAnsi="Georgia" w:eastAsia="Georgia"/>
          <w:sz w:val="22"/>
        </w:rPr>
        <w:t>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p>
    <w:p>
      <w:pPr>
        <w:spacing w:line="480" w:lineRule="auto" w:before="0" w:after="0"/>
        <w:ind w:firstLine="720"/>
        <w:jc w:val="both"/>
      </w:pPr>
      <w:r>
        <w:rPr>
          <w:rFonts w:ascii="Georgia" w:hAnsi="Georgia" w:eastAsia="Georgia"/>
          <w:sz w:val="22"/>
        </w:rPr>
        <w:t>Mohammed (2011) takes a different cut.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p>
    <w:p>
      <w:pPr>
        <w:spacing w:line="480" w:lineRule="auto" w:before="0" w:after="0"/>
        <w:ind w:firstLine="720"/>
        <w:jc w:val="both"/>
      </w:pPr>
      <w:r>
        <w:rPr>
          <w:rFonts w:ascii="Georgia" w:hAnsi="Georgia" w:eastAsia="Georgia"/>
          <w:sz w:val="22"/>
        </w:rPr>
        <w:t>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p>
    <w:p>
      <w:pPr>
        <w:spacing w:line="480" w:lineRule="auto" w:before="0" w:after="0"/>
        <w:ind w:firstLine="720"/>
        <w:jc w:val="both"/>
      </w:pPr>
      <w:r>
        <w:rPr>
          <w:rFonts w:ascii="Georgia" w:hAnsi="Georgia" w:eastAsia="Georgia"/>
          <w:sz w:val="22"/>
        </w:rPr>
        <w:t>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p>
    <w:p>
      <w:pPr>
        <w:spacing w:line="480" w:lineRule="auto" w:before="0" w:after="0"/>
        <w:ind w:firstLine="720"/>
        <w:jc w:val="both"/>
      </w:pPr>
      <w:r>
        <w:rPr>
          <w:rFonts w:ascii="Georgia" w:hAnsi="Georgia" w:eastAsia="Georgia"/>
          <w:sz w:val="22"/>
        </w:rPr>
        <w:t>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p>
    <w:p>
      <w:pPr>
        <w:spacing w:line="480" w:lineRule="auto" w:before="0" w:after="0"/>
        <w:ind w:firstLine="720"/>
        <w:jc w:val="both"/>
      </w:pPr>
      <w:r>
        <w:rPr>
          <w:rFonts w:ascii="Georgia" w:hAnsi="Georgia" w:eastAsia="Georgia"/>
          <w:sz w:val="22"/>
        </w:rPr>
        <w:t>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Hedging rises where writers move from measurement to interpretation, generalization, or clinical implication. The same medical discourse can therefore look firm in the results strip and still manage claim responsibility in the interpretive strip.</w:t>
      </w:r>
    </w:p>
    <w:p>
      <w:pPr>
        <w:jc w:val="both"/>
      </w:pPr>
      <w:r>
        <w:t>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p>
    <w:p>
      <w:pPr>
        <w:jc w:val="both"/>
      </w:pPr>
      <w:r>
        <w:t>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p>
    <w:p>
      <w:pPr>
        <w:jc w:val="both"/>
      </w:pPr>
      <w:r>
        <w:t>Cross-field comparisons complicate any simple medical-versus-other ranking.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p>
    <w:p>
      <w:pPr>
        <w:spacing w:line="480" w:lineRule="auto" w:before="0" w:after="0"/>
        <w:ind w:firstLine="720"/>
        <w:jc w:val="both"/>
      </w:pPr>
      <w:r>
        <w:rPr>
          <w:rFonts w:ascii="Georgia" w:hAnsi="Georgia" w:eastAsia="Georgia"/>
          <w:sz w:val="22"/>
        </w:rPr>
        <w:t>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p>
    <w:p>
      <w:pPr>
        <w:spacing w:line="480" w:lineRule="auto" w:before="0" w:after="0"/>
        <w:ind w:firstLine="720"/>
        <w:jc w:val="both"/>
      </w:pPr>
      <w:r>
        <w:rPr>
          <w:rFonts w:ascii="Georgia" w:hAnsi="Georgia" w:eastAsia="Georgia"/>
          <w:sz w:val="22"/>
        </w:rPr>
        <w:t>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L2 settings, the expert picture is a target rather than a description of current practice. The present study asks whether PSAU undergraduates in three applied programs already show any of that field-sensitive differentiation in the compressed genre of the thesis abstract.</w:t>
      </w:r>
    </w:p>
    <w:p w:rsidR="00000000" w:rsidDel="00000000" w:rsidP="00000000" w:rsidRDefault="00000000" w:rsidRPr="00000000" w14:paraId="00000029">
      <w:pPr>
        <w:keepNext w:val="1"/>
        <w:spacing w:after="120" w:before="240" w:line="480" w:lineRule="auto"/>
        <w:ind w:firstLine="0"/>
        <w:rPr>
          <w:sz w:val="24"/>
          <w:szCs w:val="24"/>
        </w:rPr>
      </w:pPr>
      <w:r>
        <w:rPr>
          <w:i w:val="1"/>
          <w:iCs w:val="1"/>
          <w:sz w:val="24"/>
          <w:szCs w:val="24"/>
          <w:rtl w:val="0"/>
        </w:rPr>
        <w:t xml:space="preserve">Hedging in L2 and EFL Contexts</w:t>
      </w:r>
      <w:r>
        <w:rPr>
          <w:rtl w:val="0"/>
        </w:rPr>
      </w:r>
    </w:p>
    <w:p>
      <w:pPr>
        <w:spacing w:line="480" w:lineRule="auto" w:before="0" w:after="0"/>
        <w:ind w:firstLine="720"/>
        <w:jc w:val="both"/>
      </w:pPr>
      <w:r>
        <w:rPr>
          <w:rFonts w:ascii="Georgia" w:hAnsi="Georgia" w:cs="Georgia"/>
        </w:rPr>
        <w:t>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p>
    <w:p>
      <w:pPr>
        <w:spacing w:line="480" w:lineRule="auto" w:before="0" w:after="0"/>
        <w:ind w:firstLine="720"/>
        <w:jc w:val="both"/>
      </w:pPr>
      <w:r>
        <w:rPr>
          <w:rFonts w:ascii="Georgia" w:hAnsi="Georgia" w:cs="Georgia"/>
        </w:rPr>
        <w:t>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p>
    <w:p>
      <w:pPr>
        <w:spacing w:line="480" w:lineRule="auto" w:before="0" w:after="0"/>
        <w:ind w:firstLine="720"/>
        <w:jc w:val="both"/>
      </w:pPr>
      <w:r>
        <w:rPr>
          <w:rFonts w:ascii="Georgia" w:hAnsi="Georgia" w:cs="Georgia" w:eastAsia="Georgia"/>
          <w:sz w:val="22"/>
        </w:rPr>
        <w:t>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p>
    <w:p>
      <w:pPr>
        <w:spacing w:line="480" w:lineRule="auto" w:before="0" w:after="0"/>
        <w:ind w:firstLine="720"/>
        <w:jc w:val="both"/>
      </w:pPr>
      <w:r>
        <w:rPr>
          <w:rFonts w:ascii="Georgia" w:hAnsi="Georgia" w:cs="Georgia"/>
        </w:rPr>
        <w:t>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p>
    <w:p>
      <w:pPr>
        <w:spacing w:line="480" w:lineRule="auto" w:before="0" w:after="0"/>
        <w:ind w:firstLine="720"/>
        <w:jc w:val="both"/>
      </w:pPr>
      <w:r>
        <w:rPr>
          <w:rFonts w:ascii="Georgia" w:hAnsi="Georgia" w:cs="Georgia"/>
        </w:rPr>
        <w:t>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p>
    <w:p>
      <w:pPr>
        <w:spacing w:line="480" w:lineRule="auto" w:before="0" w:after="0"/>
        <w:ind w:firstLine="720"/>
        <w:jc w:val="both"/>
      </w:pPr>
      <w:r>
        <w:rPr>
          <w:rFonts w:ascii="Georgia" w:hAnsi="Georgia" w:cs="Georgia"/>
        </w:rPr>
        <w:t>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p>
    <w:p w:rsidR="00000000" w:rsidDel="00000000" w:rsidP="00000000" w:rsidRDefault="00000000" w:rsidRPr="00000000" w14:paraId="0000002C">
      <w:pPr>
        <w:keepNext w:val="1"/>
        <w:spacing w:after="120" w:before="240" w:line="480" w:lineRule="auto"/>
        <w:ind w:firstLine="0"/>
        <w:rPr>
          <w:sz w:val="24"/>
          <w:szCs w:val="24"/>
        </w:rPr>
      </w:pPr>
      <w:r>
        <w:rPr>
          <w:i w:val="1"/>
          <w:iCs w:val="1"/>
          <w:sz w:val="24"/>
          <w:szCs w:val="24"/>
          <w:rtl w:val="0"/>
        </w:rPr>
        <w:t xml:space="preserve">Hedging in Philippine Academic Writing Contexts</w:t>
      </w:r>
      <w:r>
        <w:rPr>
          <w:rtl w:val="0"/>
        </w:rPr>
      </w:r>
    </w:p>
    <w:p w:rsidR="00000000" w:rsidDel="00000000" w:rsidP="00000000" w:rsidRDefault="00000000" w:rsidRPr="00000000" w14:paraId="0000002D">
      <w:pPr>
        <w:spacing w:after="0" w:before="0" w:line="480" w:lineRule="auto"/>
        <w:ind w:firstLine="720"/>
        <w:jc w:val="both"/>
        <w:rPr/>
      </w:pPr>
      <w:r>
        <w:rPr>
          <w:rFonts w:ascii="Georgia" w:hAnsi="Georgia" w:cs="Georgia"/>
        </w:rPr>
        <w:t>Philippine and regional findings align with the broader L2 picture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No published study identified in this review has examined hedging in undergraduate thesis abstracts from applied life sciences in a Philippine L2 setting. That gap is the present study's descriptive starting point.</w:t>
      </w:r>
    </w:p>
    <w:p w:rsidR="00000000" w:rsidDel="00000000" w:rsidP="00000000" w:rsidRDefault="00000000" w:rsidRPr="00000000" w14:paraId="0000002E">
      <w:pPr>
        <w:keepNext w:val="1"/>
        <w:spacing w:after="120" w:before="240" w:line="480" w:lineRule="auto"/>
        <w:ind w:firstLine="0"/>
        <w:rPr>
          <w:sz w:val="24"/>
          <w:szCs w:val="24"/>
        </w:rPr>
      </w:pPr>
      <w:r>
        <w:rPr>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2F">
      <w:pPr>
        <w:spacing w:after="0" w:before="0" w:line="480" w:lineRule="auto"/>
        <w:ind w:firstLine="720"/>
        <w:jc w:val="both"/>
        <w:rPr/>
      </w:pPr>
      <w:r>
        <w:rPr>
          <w:rtl w:val="0"/>
        </w:rPr>
        <w:t>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p>
    <w:p>
      <w:pPr>
        <w:jc w:val="both"/>
      </w:pPr>
      <w:r>
        <w:t>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L2 medium.</w:t>
      </w:r>
    </w:p>
    <w:p>
      <w:pPr>
        <w:jc w:val="both"/>
      </w:pPr>
      <w:r>
        <w:t>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p>
    <w:p>
      <w:pPr>
        <w:jc w:val="both"/>
      </w:pPr>
      <w:r>
        <w:t>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L2 postgraduate linguistics sample to the abstract-focused record and shows that even language-focused programs still balance caution against certainty marking under abstract constraints.</w:t>
      </w:r>
    </w:p>
    <w:p>
      <w:pPr>
        <w:jc w:val="both"/>
      </w:pPr>
      <w:r>
        <w:t>Mazidah et al. (2022), reviewed under undergraduate writing, found a soft-versus-hard contrast in undergraduate thesis abstracts at Qomaruddin University that aligns with the graduate pattern reported by Wahyuningsih and Sofwan (2014). English-education abstracts used more hedges. Mathematics abstracts used more boosters.</w:t>
      </w:r>
    </w:p>
    <w:p>
      <w:pPr>
        <w:jc w:val="both"/>
      </w:pPr>
      <w:r>
        <w:t>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p>
    <w:p>
      <w:pPr>
        <w:jc w:val="both"/>
      </w:pPr>
      <w:r>
        <w:t>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ind w:firstLine="720"/>
        <w:jc w:val="both"/>
        <w:rPr/>
      </w:pPr>
      <w:r>
        <w:rPr>
          <w:rtl w:val="0"/>
        </w:rPr>
        <w:t>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L2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p>
    <w:p>
      <w:pPr>
        <w:jc w:val="both"/>
      </w:pPr>
      <w:r>
        <w:t>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L2 institutional conditions, and whether that differentiation shows up in density, form mix, function, or some combination of the three.</w:t>
      </w:r>
    </w:p>
    <w:p>
      <w:pPr>
        <w:jc w:val="both"/>
      </w:pPr>
      <w:r>
        <w:t>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p>
    <w:p>
      <w:pPr>
        <w:jc w:val="both"/>
      </w:pPr>
      <w:r>
        <w:t>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p>
    <w:p w:rsidR="00000000" w:rsidDel="00000000" w:rsidP="00000000" w:rsidRDefault="00000000" w:rsidRPr="00000000" w14:paraId="00000031">
      <w:pPr>
        <w:spacing w:after="0" w:before="0" w:line="480" w:lineRule="auto"/>
        <w:ind w:firstLine="720"/>
        <w:jc w:val="both"/>
        <w:rPr/>
      </w:pPr>
      <w:r>
        <w:rPr>
          <w:rtl w:val="0"/>
        </w:rPr>
        <w:t>The empirical gap was checked through searches of Google Scholar, ERIC, and ScienceDirect (2010–2025) using combinations of hedging, hedges, epistemic stance, undergraduate, thesis abstract, research abstract, Agriculture, Veterinary Medicine, Biology, Philippines, and L2, with follow-up citation chaining from key reviews and regional studies cited above. No published study identified in that search has examined hedging in undergraduate thesis abstracts from applied science disciplines in a Philippine L2 context.</w:t>
      </w:r>
    </w:p>
    <w:p>
      <w:pPr>
        <w:jc w:val="both"/>
      </w:pPr>
      <w:r>
        <w:t>The present study takes up that intersection at PSAU. It maps hedge type, density, and function across three applied life sciences programs that share one institution and one L2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p>
    <w:p w:rsidR="00000000" w:rsidDel="00000000" w:rsidP="00000000" w:rsidRDefault="00000000" w:rsidRPr="00000000" w14:paraId="00000032">
      <w:pPr>
        <w:keepNext w:val="1"/>
        <w:spacing w:after="120" w:before="240" w:line="480" w:lineRule="auto"/>
        <w:ind w:firstLine="0"/>
        <w:rPr>
          <w:sz w:val="24"/>
          <w:szCs w:val="24"/>
        </w:rPr>
      </w:pPr>
      <w:r>
        <w:rPr>
          <w:b w:val="1"/>
          <w:bCs w:val="1"/>
          <w:sz w:val="24"/>
          <w:szCs w:val="24"/>
          <w:rtl w:val="0"/>
        </w:rPr>
        <w:t xml:space="preserve">Statement of the Problem</w:t>
      </w:r>
      <w:r>
        <w:rPr>
          <w:rtl w:val="0"/>
        </w:rPr>
      </w:r>
    </w:p>
    <w:p w:rsidR="00000000" w:rsidDel="00000000" w:rsidP="00000000" w:rsidRDefault="00000000" w:rsidRPr="00000000" w14:paraId="00000033">
      <w:pPr>
        <w:spacing w:after="0" w:before="0" w:line="480" w:lineRule="auto"/>
        <w:ind w:firstLine="720"/>
        <w:jc w:val="both"/>
        <w:rPr/>
      </w:pPr>
      <w:r>
        <w:rPr>
          <w:rtl w:val="0"/>
        </w:rPr>
        <w:t xml:space="preserve">Academic writing in the applied life sciences requires discipline-sensitive management of uncertainty in English. For English Language Studies, that problem is about how L2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ind w:firstLine="720"/>
        <w:jc w:val="both"/>
        <w:rPr/>
      </w:pPr>
      <w:r>
        <w:rPr>
          <w:rtl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ind w:firstLine="720"/>
        <w:jc w:val="both"/>
        <w:rPr/>
      </w:pPr>
      <w:r>
        <w:rPr>
          <w:rtl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ind w:firstLine="720"/>
        <w:jc w:val="both"/>
        <w:rPr/>
      </w:pPr>
      <w:r>
        <w:rPr>
          <w:rtl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ind w:firstLine="720"/>
        <w:jc w:val="both"/>
        <w:rPr/>
      </w:pPr>
      <w:r>
        <w:rPr>
          <w:rtl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ind w:firstLine="720"/>
        <w:jc w:val="both"/>
        <w:rPr/>
      </w:pPr>
      <w:r>
        <w:rPr>
          <w:rtl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keepNext w:val="1"/>
        <w:spacing w:after="120" w:before="240" w:line="480" w:lineRule="auto"/>
        <w:ind w:firstLine="0"/>
        <w:rPr>
          <w:sz w:val="24"/>
          <w:szCs w:val="24"/>
        </w:rPr>
      </w:pPr>
      <w:r>
        <w:rPr>
          <w:b w:val="1"/>
          <w:bCs w:val="1"/>
          <w:sz w:val="24"/>
          <w:szCs w:val="24"/>
          <w:rtl w:val="0"/>
        </w:rPr>
        <w:t xml:space="preserve">Research Framework</w:t>
      </w:r>
      <w:r>
        <w:rPr>
          <w:rtl w:val="0"/>
        </w:rPr>
      </w:r>
    </w:p>
    <w:p w:rsidR="00000000" w:rsidDel="00000000" w:rsidP="00000000" w:rsidRDefault="00000000" w:rsidRPr="00000000" w14:paraId="0000003A">
      <w:pPr>
        <w:spacing w:after="0" w:before="0" w:line="480" w:lineRule="auto"/>
        <w:ind w:firstLine="720"/>
        <w:jc w:val="both"/>
        <w:rPr/>
      </w:pPr>
      <w:r>
        <w:rPr>
          <w:rtl w:val="0"/>
        </w:rPr>
        <w:t>This study is grounded in a coding scheme adapted from Hyland’s (1998) classification of hedging forms. The scheme is used here as an English Language Studies instrument for describing how stance is worded in L2 academic English, not only as a tally of tokens by program. Following the definition adopted in this study, a hedge is a device that changes the writer’s stance toward a proposition. Two forms of that change are coded. Epistemic caution is reduced commitment to the truth of a knowledge claim. Politeness/deference is a change in the writer’s relationship to readers or prior work with respect to the same claim. Hyland (1998) supplies the grammatical types coded in the corpus (lexical hedges, modal verbs, adverbial hedges, and clause-level hedges) and the starting point for reading retained hedges in those two forms. False positives are a residual record of candidates that fail the claim condition or both removal checks. They are not a function label. The scheme is adapted for this corpus rather than treated as a fixed published taxonomy.</w:t>
      </w:r>
    </w:p>
    <w:p w:rsidR="00000000" w:rsidDel="00000000" w:rsidP="00000000" w:rsidRDefault="00000000" w:rsidRPr="00000000" w14:paraId="0000003B">
      <w:pPr>
        <w:spacing w:after="0" w:before="0" w:line="480" w:lineRule="auto"/>
        <w:ind w:firstLine="720"/>
        <w:jc w:val="both"/>
        <w:rPr/>
      </w:pPr>
      <w:r>
        <w:rPr>
          <w:rtl w:val="0"/>
        </w:rPr>
        <w:t>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C">
      <w:pPr>
        <w:spacing w:after="0" w:before="0" w:line="480" w:lineRule="auto"/>
        <w:ind w:firstLine="720"/>
        <w:jc w:val="both"/>
        <w:rPr/>
      </w:pPr>
      <w:r>
        <w:rPr>
          <w:rFonts w:ascii="Cardo" w:cs="Cardo" w:eastAsia="Cardo" w:hAnsi="Cardo"/>
          <w:rtl w:val="0"/>
        </w:rPr>
        <w:t>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Working Test: remove the device. If the claim’s epistemic weight (the writer’s commitment to its truth) rises → epistemic caution. Reader Test: remove the device. If epistemic weight stays the same but the claim reaches the reader more bluntly or the writer takes sole ownership against prior work → politeness/deference. Neither check met → false positive. Retention and function assignment are the same operation by design. A token qualifies as a hedge by passing at least one test, and which test it passes is its function. epistemic caution and P may be assigned together when a token both reduces commitment to the claim’s truth and softens how the claim meets the reader or prior work. In that case the Working Test still holds, and P is recorded as a concurrent interpersonal reading rather than as a second independent pass of the Reader Test. The Reader Test alone is reserved for pure P, where commitment does not rise. Step 3 assigned grammatical type only to retained epistemic caution and P tokens. Reason codes (false positive, false positive, false positive, false positive) label residual rejects. Among retained hedges, the research questions on function ask how tokens split across epistemic caution and P under this scope, not what functions hedges might serve outside it.</w:t>
      </w:r>
    </w:p>
    <w:p w:rsidR="00000000" w:rsidDel="00000000" w:rsidP="00000000" w:rsidRDefault="00000000" w:rsidRPr="00000000" w14:paraId="0000003D">
      <w:pPr>
        <w:spacing w:after="0" w:before="0" w:line="480" w:lineRule="auto"/>
        <w:ind w:firstLine="720"/>
        <w:jc w:val="both"/>
        <w:rPr/>
      </w:pPr>
      <w:r>
        <w:rPr>
          <w:rtl w:val="0"/>
        </w:rPr>
        <w:t xml:space="preserve">The conceptual framework is presented in Figure 1. The grouping variable is discipline (Agriculture, Veterinary Medicine, and Biology). The outcome measures are hedge type frequency, distribution, and function. The analytical path moves from Steps 1-3 through frequency analysis and cross-disciplinary comparison to functional and interpretive reading. Two boundary conditions limit generalization. The texts are produced by developing researchers whose work may not yet reflect discipline-specific norms. The institutional context at PSAU includes L2 English use, but language proficiency is not measured as a variable in this design.</w:t>
      </w:r>
    </w:p>
    <w:p w:rsidR="00000000" w:rsidDel="00000000" w:rsidP="00000000" w:rsidRDefault="00000000" w:rsidRPr="00000000" w14:paraId="0000003E">
      <w:pPr>
        <w:keepNext w:val="1"/>
        <w:spacing w:after="0" w:before="360" w:line="480" w:lineRule="auto"/>
        <w:jc w:val="center"/>
        <w:rPr/>
      </w:pPr>
      <w:r>
        <w:rPr>
          <w:b w:val="1"/>
          <w:bCs w:val="1"/>
          <w:rtl w:val="0"/>
        </w:rPr>
        <w:t xml:space="preserve">Figure 1</w:t>
      </w:r>
      <w:r>
        <w:rPr>
          <w:rtl w:val="0"/>
        </w:rPr>
      </w:r>
    </w:p>
    <w:p w:rsidR="00000000" w:rsidDel="00000000" w:rsidP="00000000" w:rsidRDefault="00000000" w:rsidRPr="00000000" w14:paraId="0000003F">
      <w:pPr>
        <w:spacing w:after="240" w:before="120" w:line="480" w:lineRule="auto"/>
        <w:jc w:val="center"/>
        <w:rPr/>
      </w:pPr>
      <w:r>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Pr>
          <w:rtl w:val="0"/>
        </w:rPr>
      </w:r>
    </w:p>
    <w:p w:rsidR="00000000" w:rsidDel="00000000" w:rsidP="00000000" w:rsidRDefault="00000000" w:rsidRPr="00000000" w14:paraId="00000040">
      <w:pPr>
        <w:spacing w:after="0" w:before="0" w:line="480" w:lineRule="auto"/>
        <w:jc w:val="center"/>
        <w:rPr/>
      </w:pPr>
      <w:r>
        <w:rPr>
          <w:i w:val="1"/>
          <w:iCs w:val="1"/>
          <w:rtl w:val="0"/>
        </w:rPr>
        <w:t xml:space="preserve">Conceptual Framework of the Study</w:t>
      </w:r>
      <w:r>
        <w:rPr>
          <w:rtl w:val="0"/>
        </w:rPr>
      </w:r>
    </w:p>
    <w:p w:rsidR="00000000" w:rsidDel="00000000" w:rsidP="00000000" w:rsidRDefault="00000000" w:rsidRPr="00000000" w14:paraId="00000041">
      <w:pPr>
        <w:keepNext w:val="1"/>
        <w:spacing w:after="120" w:before="240" w:line="480" w:lineRule="auto"/>
        <w:ind w:firstLine="0"/>
        <w:rPr>
          <w:sz w:val="24"/>
          <w:szCs w:val="24"/>
        </w:rPr>
      </w:pPr>
      <w:r>
        <w:rPr>
          <w:b w:val="1"/>
          <w:bCs w:val="1"/>
          <w:sz w:val="24"/>
          <w:szCs w:val="24"/>
          <w:rtl w:val="0"/>
        </w:rPr>
        <w:t xml:space="preserve">Significance of the Study</w:t>
      </w:r>
      <w:r>
        <w:rPr>
          <w:rtl w:val="0"/>
        </w:rPr>
      </w:r>
    </w:p>
    <w:p w:rsidR="00000000" w:rsidDel="00000000" w:rsidP="00000000" w:rsidRDefault="00000000" w:rsidRPr="00000000" w14:paraId="00000042">
      <w:pPr>
        <w:spacing w:after="0" w:before="0" w:line="480" w:lineRule="auto"/>
        <w:ind w:firstLine="720"/>
        <w:jc w:val="both"/>
        <w:rPr/>
      </w:pPr>
      <w:r>
        <w:rPr>
          <w:b w:val="1"/>
          <w:bCs w:val="1"/>
          <w:rtl w:val="0"/>
        </w:rPr>
        <w:t xml:space="preserve">For writing instructors and thesis advisers at PSAU, </w:t>
      </w:r>
      <w:r>
        <w:rPr>
          <w:rtl w:val="0"/>
        </w:rPr>
        <w:t xml:space="preserve">the study provides an empirical baseline of how uncertainty is managed in the ratified abstracts of three applied life sciences programs. That baseline can support more targeted feedback than generic advice to “</w:t>
      </w:r>
      <w:r>
        <w:rPr>
          <w:i w:val="1"/>
          <w:iCs w:val="1"/>
          <w:rtl w:val="0"/>
        </w:rPr>
        <w:t xml:space="preserve">be cautious</w:t>
      </w:r>
      <w:r>
        <w:rPr>
          <w:rtl w:val="0"/>
        </w:rPr>
        <w:t xml:space="preserve">.”</w:t>
      </w:r>
    </w:p>
    <w:p w:rsidR="00000000" w:rsidDel="00000000" w:rsidP="00000000" w:rsidRDefault="00000000" w:rsidRPr="00000000" w14:paraId="00000043">
      <w:pPr>
        <w:spacing w:after="0" w:before="0" w:line="480" w:lineRule="auto"/>
        <w:ind w:firstLine="720"/>
        <w:jc w:val="both"/>
        <w:rPr/>
      </w:pPr>
      <w:r>
        <w:rPr>
          <w:b w:val="1"/>
          <w:bCs w:val="1"/>
          <w:rtl w:val="0"/>
        </w:rPr>
        <w:t xml:space="preserve">For academic writing researchers, </w:t>
      </w:r>
      <w:r>
        <w:rPr>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ind w:firstLine="720"/>
        <w:jc w:val="both"/>
        <w:rPr/>
      </w:pPr>
      <w:r>
        <w:rPr>
          <w:b w:val="1"/>
          <w:bCs w:val="1"/>
          <w:rtl w:val="0"/>
        </w:rPr>
        <w:t xml:space="preserve">For the BAELS program, </w:t>
      </w:r>
      <w:r>
        <w:rPr>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ind w:firstLine="720"/>
        <w:jc w:val="both"/>
        <w:rPr/>
      </w:pPr>
      <w:r>
        <w:rPr>
          <w:b w:val="1"/>
          <w:bCs w:val="1"/>
          <w:rtl w:val="0"/>
        </w:rPr>
        <w:t xml:space="preserve">For future researchers, </w:t>
      </w:r>
      <w:r>
        <w:rPr>
          <w:rtl w:val="0"/>
        </w:rPr>
        <w:t xml:space="preserve">the sampling design, coding decision rules, and false-positive log offer a replicable protocol for similar corpus studies.</w:t>
      </w:r>
    </w:p>
    <w:p w:rsidR="00000000" w:rsidDel="00000000" w:rsidP="00000000" w:rsidRDefault="00000000" w:rsidRPr="00000000" w14:paraId="00000046">
      <w:pPr>
        <w:keepNext w:val="1"/>
        <w:spacing w:after="120" w:before="240" w:line="480" w:lineRule="auto"/>
        <w:ind w:firstLine="0"/>
        <w:rPr>
          <w:sz w:val="24"/>
          <w:szCs w:val="24"/>
        </w:rPr>
      </w:pPr>
      <w:r>
        <w:rPr>
          <w:b w:val="1"/>
          <w:bCs w:val="1"/>
          <w:sz w:val="24"/>
          <w:szCs w:val="24"/>
          <w:rtl w:val="0"/>
        </w:rPr>
        <w:t xml:space="preserve">Scope and Limitations</w:t>
      </w:r>
      <w:r>
        <w:rPr>
          <w:rtl w:val="0"/>
        </w:rPr>
      </w:r>
    </w:p>
    <w:p w:rsidR="00000000" w:rsidDel="00000000" w:rsidP="00000000" w:rsidRDefault="00000000" w:rsidRPr="00000000" w14:paraId="00000047">
      <w:pPr>
        <w:spacing w:after="0" w:before="0" w:line="480" w:lineRule="auto"/>
        <w:ind w:firstLine="720"/>
        <w:jc w:val="both"/>
        <w:rPr/>
      </w:pPr>
      <w:r>
        <w:rPr>
          <w:rFonts w:ascii="Georgia" w:hAnsi="Georgia" w:eastAsia="Georgia" w:cs="Georgia"/>
          <w:b w:val="0"/>
          <w:sz w:val="22"/>
        </w:rPr>
        <w:t>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ind w:firstLine="720"/>
        <w:jc w:val="both"/>
        <w:rPr/>
      </w:pPr>
      <w:r>
        <w:rPr>
          <w:rtl w:val="0"/>
        </w:rPr>
        <w:t>For a manually coded functional analysis within a single institution, 60 texts are treated as sufficient for identifying patterns within the limits of a BA thesis. Findings are indicative patterns in the PSAU context. The pilot comparison appears in Appendix B.</w:t>
      </w:r>
    </w:p>
    <w:p w:rsidR="00000000" w:rsidDel="00000000" w:rsidP="00000000" w:rsidRDefault="00000000" w:rsidRPr="00000000" w14:paraId="00000049">
      <w:pPr>
        <w:spacing w:after="0" w:before="0" w:line="480" w:lineRule="auto"/>
        <w:ind w:firstLine="720"/>
        <w:jc w:val="both"/>
        <w:rPr/>
      </w:pPr>
      <w:r>
        <w:rPr>
          <w:rtl w:val="0"/>
        </w:rPr>
        <w:t xml:space="preserve">The study is delimited to complete English-language abstracts. Abstracts with significant Filipino code-switching are excluded to maintain linguistic consistency. L2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ind w:firstLine="720"/>
        <w:jc w:val="both"/>
        <w:rPr/>
      </w:pPr>
      <w:r>
        <w:rPr>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ind w:firstLine="720"/>
        <w:jc w:val="both"/>
        <w:rPr/>
      </w:pPr>
      <w:r>
        <w:rPr>
          <w:strike w:val="0"/>
          <w:rtl w:val="0"/>
        </w:rPr>
        <w:t>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p>
    <w:p w:rsidR="00000000" w:rsidDel="00000000" w:rsidP="00000000" w:rsidRDefault="00000000" w:rsidRPr="00000000" w14:paraId="0000004C">
      <w:pPr>
        <w:spacing w:after="0" w:before="0" w:line="480" w:lineRule="auto"/>
        <w:ind w:firstLine="720"/>
        <w:jc w:val="both"/>
        <w:rPr/>
      </w:pPr>
      <w:r>
        <w:rPr>
          <w:rtl w:val="0"/>
        </w:rPr>
        <w:t>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ind w:firstLine="720"/>
        <w:jc w:val="both"/>
        <w:rPr/>
      </w:pPr>
      <w:r>
        <w:rPr>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keepNext w:val="1"/>
        <w:spacing w:after="120" w:before="240" w:line="480" w:lineRule="auto"/>
        <w:ind w:firstLine="0"/>
        <w:rPr>
          <w:sz w:val="24"/>
          <w:szCs w:val="24"/>
        </w:rPr>
      </w:pPr>
      <w:r>
        <w:rPr>
          <w:b w:val="1"/>
          <w:bCs w:val="1"/>
          <w:sz w:val="24"/>
          <w:szCs w:val="24"/>
          <w:rtl w:val="0"/>
        </w:rPr>
        <w:t xml:space="preserve">Definition of Terms</w:t>
      </w:r>
      <w:r>
        <w:rPr>
          <w:rtl w:val="0"/>
        </w:rPr>
      </w:r>
    </w:p>
    <w:p w:rsidR="00000000" w:rsidDel="00000000" w:rsidP="00000000" w:rsidRDefault="00000000" w:rsidRPr="00000000" w14:paraId="0000004F">
      <w:pPr>
        <w:spacing w:after="0" w:before="0" w:line="480" w:lineRule="auto"/>
        <w:ind w:firstLine="720"/>
        <w:jc w:val="both"/>
        <w:rPr/>
      </w:pPr>
      <w:r>
        <w:rPr>
          <w:rtl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ind w:firstLine="720"/>
        <w:jc w:val="both"/>
        <w:rPr/>
      </w:pPr>
      <w:r>
        <w:rPr>
          <w:b w:val="1"/>
          <w:bCs w:val="1"/>
          <w:rtl w:val="0"/>
        </w:rPr>
        <w:t xml:space="preserve">Abstract</w:t>
      </w:r>
      <w:r>
        <w:rPr>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ind w:firstLine="720"/>
        <w:jc w:val="both"/>
        <w:rPr/>
      </w:pPr>
      <w:r>
        <w:rPr>
          <w:b w:val="1"/>
          <w:bCs w:val="1"/>
          <w:rtl w:val="0"/>
        </w:rPr>
        <w:t xml:space="preserve">Adverbial Hedges</w:t>
      </w:r>
      <w:r>
        <w:rPr>
          <w:rtl w:val="0"/>
        </w:rPr>
        <w:t xml:space="preserve">, conceptually, are adverbs or adverbial expressions that qualify the scope, frequency, or certainty of a proposition. Operationally, these include </w:t>
      </w:r>
      <w:r>
        <w:rPr>
          <w:i w:val="1"/>
          <w:iCs w:val="1"/>
          <w:rtl w:val="0"/>
        </w:rPr>
        <w:t xml:space="preserve">generally, typically, possibly, probably, relatively, and essentially</w:t>
      </w:r>
      <w:r>
        <w:rPr>
          <w:rtl w:val="0"/>
        </w:rPr>
        <w:t xml:space="preserve">.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ind w:firstLine="720"/>
        <w:jc w:val="both"/>
        <w:rPr/>
      </w:pPr>
      <w:r>
        <w:rPr>
          <w:b w:val="1"/>
          <w:bCs w:val="1"/>
          <w:rtl w:val="0"/>
        </w:rPr>
        <w:t xml:space="preserve">Applied Life Sciences</w:t>
      </w:r>
      <w:r>
        <w:rPr>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ind w:firstLine="720"/>
        <w:jc w:val="both"/>
        <w:rPr/>
      </w:pPr>
      <w:r>
        <w:rPr>
          <w:b w:val="1"/>
          <w:bCs w:val="1"/>
          <w:rtl w:val="0"/>
        </w:rPr>
        <w:t xml:space="preserve">Claim Responsibility</w:t>
      </w:r>
      <w:r>
        <w:rPr>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5">
      <w:pPr>
        <w:spacing w:after="0" w:before="0" w:line="480" w:lineRule="auto"/>
        <w:ind w:firstLine="720"/>
        <w:jc w:val="both"/>
        <w:rPr/>
      </w:pPr>
      <w:r>
        <w:rPr>
          <w:b w:val="1"/>
          <w:bCs w:val="1"/>
          <w:rtl w:val="0"/>
        </w:rPr>
        <w:t xml:space="preserve">Clause-Level Hedges</w:t>
      </w:r>
      <w:r>
        <w:rPr>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7">
      <w:pPr>
        <w:spacing w:after="0" w:before="0" w:line="480" w:lineRule="auto"/>
        <w:ind w:firstLine="720"/>
        <w:jc w:val="both"/>
        <w:rPr/>
      </w:pPr>
      <w:r>
        <w:rPr>
          <w:b w:val="1"/>
          <w:bCs w:val="1"/>
          <w:rtl w:val="0"/>
        </w:rPr>
        <w:t xml:space="preserve">Corpus-Assisted Discourse Analysis</w:t>
      </w:r>
      <w:r>
        <w:rPr>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ind w:firstLine="720"/>
        <w:jc w:val="both"/>
        <w:rPr/>
      </w:pPr>
      <w:r>
        <w:rPr>
          <w:b w:val="1"/>
          <w:bCs w:val="1"/>
          <w:rtl w:val="0"/>
        </w:rPr>
        <w:t xml:space="preserve">Disciplinary Variation</w:t>
      </w:r>
      <w:r>
        <w:rPr>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ind w:firstLine="720"/>
        <w:jc w:val="both"/>
        <w:rPr/>
      </w:pPr>
      <w:r>
        <w:rPr>
          <w:b w:val="1"/>
          <w:bCs w:val="1"/>
          <w:rtl w:val="0"/>
        </w:rPr>
        <w:t xml:space="preserve">Epistemic Stance</w:t>
      </w:r>
      <w:r>
        <w:rPr>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ind w:firstLine="720"/>
        <w:jc w:val="both"/>
        <w:rPr/>
      </w:pPr>
      <w:r>
        <w:rPr>
          <w:b w:val="1"/>
          <w:bCs w:val="1"/>
          <w:rtl w:val="0"/>
        </w:rPr>
        <w:t>Epistemic Weight,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p>
    <w:p w:rsidR="00000000" w:rsidDel="00000000" w:rsidP="00000000" w:rsidRDefault="00000000" w:rsidRPr="00000000" w14:paraId="0000005B">
      <w:pPr>
        <w:spacing w:after="0" w:before="0" w:line="480" w:lineRule="auto"/>
        <w:ind w:firstLine="720"/>
        <w:jc w:val="both"/>
        <w:rPr/>
      </w:pPr>
      <w:r>
        <w:rPr>
          <w:b w:val="1"/>
          <w:bCs w:val="1"/>
          <w:rtl w:val="0"/>
        </w:rPr>
        <w:t>Hedge Function,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p>
    <w:p w:rsidR="00000000" w:rsidDel="00000000" w:rsidP="00000000" w:rsidRDefault="00000000" w:rsidRPr="00000000" w14:paraId="0000005C">
      <w:pPr>
        <w:spacing w:after="0" w:before="0" w:line="480" w:lineRule="auto"/>
        <w:ind w:firstLine="720"/>
        <w:jc w:val="both"/>
        <w:rPr/>
      </w:pPr>
      <w:r>
        <w:rPr>
          <w:b w:val="1"/>
          <w:bCs w:val="1"/>
          <w:rtl w:val="0"/>
        </w:rPr>
        <w:t xml:space="preserve">Hedging</w:t>
      </w:r>
      <w:r>
        <w:rPr>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(1998)—lexical hedges, modal verbs, adverbial hedges, and clause-level hedges—and retains a token only when Step 2 shows such a stance change on a claim.</w:t>
      </w:r>
    </w:p>
    <w:p w:rsidR="00000000" w:rsidDel="00000000" w:rsidP="00000000" w:rsidRDefault="00000000" w:rsidRPr="00000000" w14:paraId="0000005E">
      <w:pPr>
        <w:spacing w:after="0" w:before="0" w:line="480" w:lineRule="auto"/>
        <w:ind w:firstLine="720"/>
        <w:jc w:val="both"/>
        <w:rPr/>
      </w:pPr>
      <w:r>
        <w:rPr>
          <w:b w:val="1"/>
          <w:bCs w:val="1"/>
          <w:rtl w:val="0"/>
        </w:rPr>
        <w:t xml:space="preserve">Lexical Hedges</w:t>
      </w:r>
      <w:r>
        <w:rPr>
          <w:rtl w:val="0"/>
        </w:rPr>
        <w:t xml:space="preserve">, conceptually, are verbs, adjectives, or nouns that introduce uncertainty or tentativeness at the propositional level. Operationally, these include verbs such as </w:t>
      </w:r>
      <w:r>
        <w:rPr>
          <w:i w:val="1"/>
          <w:iCs w:val="1"/>
          <w:rtl w:val="0"/>
        </w:rPr>
        <w:t xml:space="preserve">suggest, indicate, appear</w:t>
      </w:r>
      <w:r>
        <w:rPr>
          <w:rtl w:val="0"/>
        </w:rPr>
        <w:t xml:space="preserve">, and </w:t>
      </w:r>
      <w:r>
        <w:rPr>
          <w:i w:val="1"/>
          <w:iCs w:val="1"/>
          <w:rtl w:val="0"/>
        </w:rPr>
        <w:t xml:space="preserve">seem</w:t>
      </w:r>
      <w:r>
        <w:rPr>
          <w:rtl w:val="0"/>
        </w:rPr>
        <w:t xml:space="preserve">. They also include adjectives such as possible, probable, and likely, and nouns such as </w:t>
      </w:r>
      <w:r>
        <w:rPr>
          <w:i w:val="1"/>
          <w:iCs w:val="1"/>
          <w:rtl w:val="0"/>
        </w:rPr>
        <w:t xml:space="preserve">possibility</w:t>
      </w:r>
      <w:r>
        <w:rPr>
          <w:rtl w:val="0"/>
        </w:rPr>
        <w:t xml:space="preserve"> and </w:t>
      </w:r>
      <w:r>
        <w:rPr>
          <w:i w:val="1"/>
          <w:iCs w:val="1"/>
          <w:rtl w:val="0"/>
        </w:rPr>
        <w:t xml:space="preserve">assumption</w:t>
      </w:r>
      <w:r>
        <w:rPr>
          <w:rtl w:val="0"/>
        </w:rPr>
        <w:t xml:space="preserve">. These are coded in this study when they express epistemic qualification of a claim rather than description or recommendation.</w:t>
      </w:r>
    </w:p>
    <w:p w:rsidR="00000000" w:rsidDel="00000000" w:rsidP="00000000" w:rsidRDefault="00000000" w:rsidRPr="00000000" w14:paraId="00000060">
      <w:pPr>
        <w:spacing w:after="0" w:before="0" w:line="480" w:lineRule="auto"/>
        <w:ind w:firstLine="720"/>
        <w:jc w:val="both"/>
        <w:rPr/>
      </w:pPr>
      <w:r>
        <w:rPr>
          <w:b w:val="1"/>
          <w:bCs w:val="1"/>
          <w:rtl w:val="0"/>
        </w:rPr>
        <w:t xml:space="preserve">Modal Verbs</w:t>
      </w:r>
      <w:r>
        <w:rPr>
          <w:rtl w:val="0"/>
        </w:rPr>
        <w:t xml:space="preserve">, conceptually, are auxiliary verbs that express degrees of possibility, probability, or conditionality. Operationally, these include </w:t>
      </w:r>
      <w:r>
        <w:rPr>
          <w:i w:val="1"/>
          <w:iCs w:val="1"/>
          <w:rtl w:val="0"/>
        </w:rPr>
        <w:t xml:space="preserve">may, might, could, would, should</w:t>
      </w:r>
      <w:r>
        <w:rPr>
          <w:rtl w:val="0"/>
        </w:rPr>
        <w:t xml:space="preserve">, and </w:t>
      </w:r>
      <w:r>
        <w:rPr>
          <w:i w:val="1"/>
          <w:iCs w:val="1"/>
          <w:rtl w:val="0"/>
        </w:rPr>
        <w:t xml:space="preserve">can</w:t>
      </w:r>
      <w:r>
        <w:rPr>
          <w:rtl w:val="0"/>
        </w:rPr>
        <w:t xml:space="preserve">.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ind w:firstLine="720"/>
        <w:jc w:val="both"/>
        <w:rPr/>
      </w:pPr>
      <w:r>
        <w:rPr>
          <w:b w:val="1"/>
          <w:bCs w:val="1"/>
          <w:rtl w:val="0"/>
        </w:rPr>
        <w:t xml:space="preserve">Normalized Frequency</w:t>
      </w:r>
      <w:r>
        <w:rPr>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ind w:firstLine="720"/>
        <w:jc w:val="both"/>
        <w:rPr/>
      </w:pPr>
      <w:r>
        <w:rPr>
          <w:b w:val="1"/>
          <w:bCs w:val="1"/>
          <w:rtl w:val="0"/>
        </w:rPr>
        <w:t>Operational Restatement (Threshold Restatement),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p>
    <w:p w:rsidR="00000000" w:rsidDel="00000000" w:rsidP="00000000" w:rsidRDefault="00000000" w:rsidRPr="00000000" w14:paraId="00000063">
      <w:pPr>
        <w:spacing w:after="0" w:before="0" w:line="480" w:lineRule="auto"/>
        <w:ind w:firstLine="720"/>
        <w:jc w:val="both"/>
        <w:rPr/>
      </w:pPr>
      <w:r>
        <w:rPr>
          <w:b w:val="1"/>
          <w:bCs w:val="1"/>
          <w:rtl w:val="0"/>
        </w:rPr>
        <w:t xml:space="preserve">Rescue-Hedging (Rescue Framing)</w:t>
      </w:r>
      <w:r>
        <w:rPr>
          <w:rtl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ind w:firstLine="720"/>
        <w:jc w:val="both"/>
        <w:rPr/>
        <w:sectPr>
          <w:headerReference r:id="rId13" w:type="default"/>
          <w:headerReference r:id="rId14" w:type="first"/>
          <w:footerReference r:id="rId15" w:type="default"/>
          <w:footerReference r:id="rId16" w:type="first"/>
          <w:type w:val="nextPage"/>
          <w:pgSz w:h="16838" w:w="11906" w:orient="portrait"/>
          <w:pgMar w:bottom="1440" w:top="1440" w:left="2160" w:right="1440" w:header="720" w:footer="720"/>
          <w:titlePg w:val="1"/>
        </w:sectPr>
      </w:pPr>
      <w:r>
        <w:rPr>
          <w:b w:val="1"/>
          <w:bCs w:val="1"/>
          <w:rtl w:val="0"/>
        </w:rPr>
        <w:t>Softening,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p>
    <w:p>
      <w:pPr>
        <w:jc w:val="both"/>
      </w:pPr>
      <w:r>
        <w:rPr>
          <w:b/>
        </w:rPr>
        <w:t>Token</w:t>
      </w:r>
      <w:r>
        <w:t>,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p>
    <w:p w:rsidR="00000000" w:rsidDel="00000000" w:rsidP="00000000" w:rsidRDefault="00000000" w:rsidRPr="00000000" w14:paraId="00000065">
      <w:pPr>
        <w:spacing w:after="240" w:before="720" w:line="480" w:lineRule="auto"/>
        <w:ind w:firstLine="0"/>
        <w:jc w:val="center"/>
        <w:rPr>
          <w:sz w:val="28"/>
          <w:szCs w:val="28"/>
        </w:rPr>
      </w:pPr>
      <w:r>
        <w:rPr>
          <w:b w:val="1"/>
          <w:bCs w:val="1"/>
          <w:sz w:val="28"/>
          <w:szCs w:val="28"/>
          <w:rtl w:val="0"/>
        </w:rPr>
        <w:t xml:space="preserve">METHODOLOGY</w:t>
      </w:r>
      <w:r>
        <w:rPr>
          <w:rtl w:val="0"/>
        </w:rPr>
      </w:r>
    </w:p>
    <w:p w:rsidR="00000000" w:rsidDel="00000000" w:rsidP="00000000" w:rsidRDefault="00000000" w:rsidRPr="00000000" w14:paraId="00000066">
      <w:pPr>
        <w:spacing w:after="0" w:before="0" w:line="480" w:lineRule="auto"/>
        <w:ind w:firstLine="720"/>
        <w:jc w:val="both"/>
        <w:rPr/>
      </w:pPr>
      <w:r>
        <w:rPr>
          <w:rtl w:val="0"/>
        </w:rPr>
      </w:r>
    </w:p>
    <w:p w:rsidR="00000000" w:rsidDel="00000000" w:rsidP="00000000" w:rsidRDefault="00000000" w:rsidRPr="00000000" w14:paraId="00000067">
      <w:pPr>
        <w:spacing w:after="0" w:before="0" w:line="480" w:lineRule="auto"/>
        <w:ind w:firstLine="720"/>
        <w:jc w:val="both"/>
        <w:rPr/>
      </w:pPr>
      <w:r>
        <w:rPr>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keepNext w:val="1"/>
        <w:spacing w:after="120" w:before="240" w:line="480" w:lineRule="auto"/>
        <w:ind w:firstLine="0"/>
        <w:rPr>
          <w:sz w:val="24"/>
          <w:szCs w:val="24"/>
        </w:rPr>
      </w:pPr>
      <w:r>
        <w:rPr>
          <w:b w:val="1"/>
          <w:bCs w:val="1"/>
          <w:sz w:val="24"/>
          <w:szCs w:val="24"/>
          <w:rtl w:val="0"/>
        </w:rPr>
        <w:t xml:space="preserve">Research Context</w:t>
      </w:r>
      <w:r>
        <w:rPr>
          <w:rtl w:val="0"/>
        </w:rPr>
      </w:r>
    </w:p>
    <w:p w:rsidR="00000000" w:rsidDel="00000000" w:rsidP="00000000" w:rsidRDefault="00000000" w:rsidRPr="00000000" w14:paraId="00000069">
      <w:pPr>
        <w:spacing w:after="0" w:before="0" w:line="480" w:lineRule="auto"/>
        <w:ind w:firstLine="720"/>
        <w:jc w:val="both"/>
        <w:rPr/>
      </w:pPr>
      <w:r>
        <w:rPr>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ind w:firstLine="720"/>
        <w:jc w:val="both"/>
        <w:rPr/>
      </w:pPr>
      <w:r>
        <w:rPr>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p>
    <w:p w:rsidR="00000000" w:rsidDel="00000000" w:rsidP="00000000" w:rsidRDefault="00000000" w:rsidRPr="00000000" w14:paraId="0000006B">
      <w:pPr>
        <w:spacing w:after="0" w:before="0" w:line="480" w:lineRule="auto"/>
        <w:ind w:firstLine="720"/>
        <w:jc w:val="both"/>
        <w:rPr/>
      </w:pPr>
      <w:r>
        <w:rPr>
          <w:rtl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keepNext w:val="1"/>
        <w:spacing w:after="120" w:before="240" w:line="480" w:lineRule="auto"/>
        <w:ind w:firstLine="0"/>
        <w:rPr>
          <w:sz w:val="24"/>
          <w:szCs w:val="24"/>
        </w:rPr>
      </w:pPr>
      <w:r>
        <w:rPr>
          <w:b w:val="1"/>
          <w:bCs w:val="1"/>
          <w:sz w:val="24"/>
          <w:szCs w:val="24"/>
          <w:rtl w:val="0"/>
        </w:rPr>
        <w:t xml:space="preserve">Research Design</w:t>
      </w:r>
      <w:r>
        <w:rPr>
          <w:rtl w:val="0"/>
        </w:rPr>
      </w:r>
    </w:p>
    <w:p w:rsidR="00000000" w:rsidDel="00000000" w:rsidP="00000000" w:rsidRDefault="00000000" w:rsidRPr="00000000" w14:paraId="0000006D">
      <w:pPr>
        <w:spacing w:after="0" w:before="0" w:line="480" w:lineRule="auto"/>
        <w:ind w:firstLine="720"/>
        <w:jc w:val="both"/>
        <w:rPr/>
      </w:pPr>
      <w:r>
        <w:rPr>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keepNext w:val="1"/>
        <w:spacing w:after="120" w:before="240" w:line="480" w:lineRule="auto"/>
        <w:ind w:firstLine="0"/>
        <w:rPr>
          <w:sz w:val="24"/>
          <w:szCs w:val="24"/>
        </w:rPr>
      </w:pPr>
      <w:r>
        <w:rPr>
          <w:b w:val="1"/>
          <w:bCs w:val="1"/>
          <w:sz w:val="24"/>
          <w:szCs w:val="24"/>
          <w:rtl w:val="0"/>
        </w:rPr>
        <w:t xml:space="preserve">Research Process</w:t>
      </w:r>
      <w:r>
        <w:rPr>
          <w:rtl w:val="0"/>
        </w:rPr>
      </w:r>
    </w:p>
    <w:p w:rsidR="00000000" w:rsidDel="00000000" w:rsidP="00000000" w:rsidRDefault="00000000" w:rsidRPr="00000000" w14:paraId="0000006F">
      <w:pPr>
        <w:spacing w:after="0" w:before="0" w:line="480" w:lineRule="auto"/>
        <w:ind w:firstLine="720"/>
        <w:jc w:val="both"/>
        <w:rPr/>
      </w:pPr>
      <w:r>
        <w:rPr>
          <w:rtl w:val="0"/>
        </w:rPr>
        <w:t xml:space="preserve">The study proceeded through the following steps:</w:t>
      </w:r>
    </w:p>
    <w:p w:rsidR="00000000" w:rsidDel="00000000" w:rsidP="00000000" w:rsidRDefault="00000000" w:rsidRPr="00000000" w14:paraId="00000070">
      <w:pPr>
        <w:spacing w:after="0" w:before="0" w:line="480" w:lineRule="auto"/>
        <w:ind w:firstLine="720"/>
        <w:jc w:val="both"/>
        <w:rPr/>
      </w:pPr>
      <w:r>
        <w:rPr>
          <w:b w:val="1"/>
          <w:bCs w:val="1"/>
          <w:rtl w:val="0"/>
        </w:rPr>
        <w:t xml:space="preserve">a. Requesting Permission. </w:t>
      </w:r>
      <w:r>
        <w:rPr>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ind w:firstLine="720"/>
        <w:jc w:val="both"/>
        <w:rPr/>
      </w:pPr>
      <w:r>
        <w:rPr>
          <w:b w:val="1"/>
          <w:bCs w:val="1"/>
          <w:rtl w:val="0"/>
        </w:rPr>
        <w:t xml:space="preserve">b. Corpus Construction.</w:t>
      </w:r>
      <w:r>
        <w:rPr>
          <w:rtl w:val="0"/>
        </w:rPr>
        <w:t xml:space="preserve">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ind w:firstLine="720"/>
        <w:jc w:val="both"/>
        <w:rPr/>
      </w:pPr>
      <w:r>
        <w:rPr>
          <w:b w:val="1"/>
          <w:bCs w:val="1"/>
          <w:rtl w:val="0"/>
        </w:rPr>
        <w:t xml:space="preserve">c. Text Extraction.</w:t>
      </w:r>
      <w:r>
        <w:rPr>
          <w:rtl w:val="0"/>
        </w:rPr>
        <w:t xml:space="preserve"> 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ind w:firstLine="720"/>
        <w:jc w:val="both"/>
        <w:rPr/>
      </w:pPr>
      <w:r>
        <w:rPr>
          <w:b w:val="1"/>
          <w:bCs w:val="1"/>
          <w:rtl w:val="0"/>
        </w:rPr>
        <w:t>d. Pilot Testing and Codebook Refinement. 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p>
    <w:p w:rsidR="00000000" w:rsidDel="00000000" w:rsidP="00000000" w:rsidRDefault="00000000" w:rsidRPr="00000000" w14:paraId="00000074">
      <w:pPr>
        <w:spacing w:after="0" w:before="0" w:line="480" w:lineRule="auto"/>
        <w:ind w:firstLine="720"/>
        <w:jc w:val="both"/>
        <w:rPr/>
      </w:pPr>
      <w:r>
        <w:rPr>
          <w:b w:val="1"/>
          <w:bCs w:val="1"/>
          <w:rtl w:val="0"/>
        </w:rPr>
        <w:t>e. Data Analysis. 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p>
    <w:p w:rsidR="00000000" w:rsidDel="00000000" w:rsidP="00000000" w:rsidRDefault="00000000" w:rsidRPr="00000000" w14:paraId="00000075">
      <w:pPr>
        <w:spacing w:after="0" w:before="0" w:line="480" w:lineRule="auto"/>
        <w:ind w:firstLine="720"/>
        <w:jc w:val="both"/>
        <w:rPr/>
      </w:pPr>
      <w:r>
        <w:rPr>
          <w:b w:val="1"/>
          <w:bCs w:val="1"/>
          <w:rtl w:val="0"/>
        </w:rPr>
        <w:t xml:space="preserve">f. Timeline. </w:t>
      </w:r>
      <w:r>
        <w:rPr>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76">
      <w:pPr>
        <w:keepNext w:val="1"/>
        <w:spacing w:after="120" w:before="240" w:line="480" w:lineRule="auto"/>
        <w:ind w:firstLine="0"/>
        <w:rPr>
          <w:sz w:val="24"/>
          <w:szCs w:val="24"/>
        </w:rPr>
      </w:pPr>
      <w:r>
        <w:rPr>
          <w:b w:val="1"/>
          <w:bCs w:val="1"/>
          <w:sz w:val="24"/>
          <w:szCs w:val="24"/>
          <w:rtl w:val="0"/>
        </w:rPr>
        <w:t xml:space="preserve">Coding Decision Rules for Ambiguous Cases</w:t>
      </w:r>
      <w:r>
        <w:rPr>
          <w:rtl w:val="0"/>
        </w:rPr>
      </w:r>
    </w:p>
    <w:p w:rsidR="00000000" w:rsidDel="00000000" w:rsidP="00000000" w:rsidRDefault="00000000" w:rsidRPr="00000000" w14:paraId="00000077">
      <w:pPr>
        <w:spacing w:after="0" w:before="0" w:line="480" w:lineRule="auto"/>
        <w:ind w:firstLine="720"/>
        <w:jc w:val="both"/>
        <w:rPr/>
      </w:pPr>
      <w:r>
        <w:rPr>
          <w:sz w:val="22"/>
        </w:rPr>
        <w:t>Ambiguous forms may function either as epistemic hedges or as non-epistemic lexical items depending on context. Table 1 summarizes the decision rules applied to the main boundary constructions in this corpus.</w:t>
      </w:r>
    </w:p>
    <w:p>
      <w:pPr>
        <w:spacing w:before="120" w:after="0" w:line="480" w:lineRule="auto"/>
        <w:ind w:firstLine="0"/>
        <w:jc w:val="center"/>
      </w:pPr>
      <w:r>
        <w:rPr>
          <w:rFonts w:ascii="Georgia" w:hAnsi="Georgia" w:eastAsia="Georgia"/>
          <w:b/>
          <w:sz w:val="22"/>
        </w:rPr>
        <w:t>Table 1</w:t>
      </w:r>
    </w:p>
    <w:p>
      <w:pPr>
        <w:spacing w:line="480" w:lineRule="auto"/>
        <w:ind w:firstLine="0"/>
        <w:jc w:val="center"/>
      </w:pPr>
      <w:r>
        <w:rPr>
          <w:rFonts w:ascii="Georgia" w:hAnsi="Georgia" w:eastAsia="Georgia"/>
          <w:b w:val="0"/>
          <w:sz w:val="22"/>
        </w:rPr>
        <w:t>Decision rules for ambiguous hedge forms.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769"/>
        <w:gridCol w:w="2769"/>
        <w:gridCol w:w="2769"/>
      </w:tblGrid>
      <w:tr>
        <w:trPr>
          <w:cantSplit/>
          <w:tblHeader/>
        </w:trPr>
        <w:tc>
          <w:tcPr>
            <w:tcW w:w="2769" w:type="dxa"/>
            <w:tcBorders>
              <w:top w:val="single" w:sz="18" w:space="0" w:color="000000"/>
              <w:bottom w:val="single" w:sz="4" w:space="0" w:color="000000"/>
            </w:tcBorders>
          </w:tcPr>
          <w:p>
            <w:pPr>
              <w:spacing w:before="0" w:after="0" w:line="240" w:lineRule="auto"/>
              <w:jc w:val="left"/>
            </w:pPr>
            <w:r>
              <w:rPr>
                <w:b/>
                <w:sz w:val="18"/>
              </w:rPr>
              <w:t>Token</w:t>
            </w:r>
          </w:p>
        </w:tc>
        <w:tc>
          <w:tcPr>
            <w:tcW w:w="2769" w:type="dxa"/>
            <w:tcBorders>
              <w:top w:val="single" w:sz="18" w:space="0" w:color="000000"/>
              <w:bottom w:val="single" w:sz="4" w:space="0" w:color="000000"/>
            </w:tcBorders>
          </w:tcPr>
          <w:p>
            <w:pPr>
              <w:spacing w:before="0" w:after="0" w:line="240" w:lineRule="auto"/>
              <w:jc w:val="left"/>
            </w:pPr>
            <w:r>
              <w:rPr>
                <w:b/>
                <w:sz w:val="18"/>
              </w:rPr>
              <w:t>Hedge When</w:t>
            </w:r>
          </w:p>
        </w:tc>
        <w:tc>
          <w:tcPr>
            <w:tcW w:w="2769" w:type="dxa"/>
            <w:tcBorders>
              <w:top w:val="single" w:sz="18" w:space="0" w:color="000000"/>
              <w:bottom w:val="single" w:sz="4" w:space="0" w:color="000000"/>
            </w:tcBorders>
          </w:tcPr>
          <w:p>
            <w:pPr>
              <w:spacing w:before="0" w:after="0" w:line="240" w:lineRule="auto"/>
              <w:jc w:val="left"/>
            </w:pPr>
            <w:r>
              <w:rPr>
                <w:b/>
                <w:sz w:val="18"/>
              </w:rPr>
              <w:t>Not a Hedge When</w:t>
            </w:r>
          </w:p>
        </w:tc>
      </w:tr>
      <w:tr>
        <w:trPr>
          <w:cantSplit/>
        </w:trPr>
        <w:tc>
          <w:tcPr>
            <w:tcW w:w="2769" w:type="dxa"/>
          </w:tcPr>
          <w:p>
            <w:pPr>
              <w:spacing w:before="0" w:after="0" w:line="240" w:lineRule="auto"/>
              <w:jc w:val="left"/>
            </w:pPr>
            <w:r>
              <w:rPr>
                <w:b w:val="0"/>
                <w:sz w:val="18"/>
              </w:rPr>
              <w:t>suggest / indicate</w:t>
            </w:r>
          </w:p>
        </w:tc>
        <w:tc>
          <w:tcPr>
            <w:tcW w:w="2769" w:type="dxa"/>
          </w:tcPr>
          <w:p>
            <w:pPr>
              <w:spacing w:before="0" w:after="0" w:line="240" w:lineRule="auto"/>
              <w:jc w:val="left"/>
            </w:pPr>
            <w:r>
              <w:rPr>
                <w:b w:val="0"/>
                <w:sz w:val="18"/>
              </w:rPr>
              <w:t>Expresses uncertainty about a finding or conclusion</w:t>
            </w:r>
          </w:p>
        </w:tc>
        <w:tc>
          <w:tcPr>
            <w:tcW w:w="2769" w:type="dxa"/>
          </w:tcPr>
          <w:p>
            <w:pPr>
              <w:spacing w:before="0" w:after="0" w:line="240" w:lineRule="auto"/>
              <w:jc w:val="left"/>
            </w:pPr>
            <w:r>
              <w:rPr>
                <w:b w:val="0"/>
                <w:sz w:val="18"/>
              </w:rPr>
              <w:t>Introduces a recommendation or action</w:t>
            </w:r>
          </w:p>
        </w:tc>
      </w:tr>
      <w:tr>
        <w:trPr>
          <w:cantSplit/>
        </w:trPr>
        <w:tc>
          <w:tcPr>
            <w:tcW w:w="2769" w:type="dxa"/>
          </w:tcPr>
          <w:p>
            <w:pPr>
              <w:spacing w:before="0" w:after="0" w:line="240" w:lineRule="auto"/>
              <w:jc w:val="left"/>
            </w:pPr>
            <w:r>
              <w:rPr>
                <w:b w:val="0"/>
                <w:sz w:val="18"/>
              </w:rPr>
              <w:t>suggest / indicate + need for</w:t>
            </w:r>
          </w:p>
        </w:tc>
        <w:tc>
          <w:tcPr>
            <w:tcW w:w="2769" w:type="dxa"/>
          </w:tcPr>
          <w:p>
            <w:pPr>
              <w:spacing w:before="0" w:after="0" w:line="240" w:lineRule="auto"/>
              <w:jc w:val="left"/>
            </w:pPr>
            <w:r>
              <w:rPr>
                <w:b w:val="0"/>
                <w:sz w:val="18"/>
              </w:rPr>
              <w:t>Says the evidence suggests a need may exist</w:t>
            </w:r>
          </w:p>
        </w:tc>
        <w:tc>
          <w:tcPr>
            <w:tcW w:w="2769" w:type="dxa"/>
          </w:tcPr>
          <w:p>
            <w:pPr>
              <w:spacing w:before="0" w:after="0" w:line="240" w:lineRule="auto"/>
              <w:jc w:val="left"/>
            </w:pPr>
            <w:r>
              <w:rPr>
                <w:b w:val="0"/>
                <w:sz w:val="18"/>
              </w:rPr>
              <w:t>Says what should be done or is needed</w:t>
            </w:r>
          </w:p>
        </w:tc>
      </w:tr>
      <w:tr>
        <w:trPr>
          <w:cantSplit/>
        </w:trPr>
        <w:tc>
          <w:tcPr>
            <w:tcW w:w="2769" w:type="dxa"/>
          </w:tcPr>
          <w:p>
            <w:pPr>
              <w:spacing w:before="0" w:after="0" w:line="240" w:lineRule="auto"/>
              <w:jc w:val="left"/>
            </w:pPr>
            <w:r>
              <w:rPr>
                <w:b w:val="0"/>
                <w:sz w:val="18"/>
              </w:rPr>
              <w:t>indicated by</w:t>
            </w:r>
          </w:p>
        </w:tc>
        <w:tc>
          <w:tcPr>
            <w:tcW w:w="2769" w:type="dxa"/>
          </w:tcPr>
          <w:p>
            <w:pPr>
              <w:spacing w:before="0" w:after="0" w:line="240" w:lineRule="auto"/>
              <w:jc w:val="left"/>
            </w:pPr>
            <w:r>
              <w:rPr>
                <w:b w:val="0"/>
                <w:sz w:val="18"/>
              </w:rPr>
              <w:t>Introduces a conclusion drawn from evidence</w:t>
            </w:r>
          </w:p>
        </w:tc>
        <w:tc>
          <w:tcPr>
            <w:tcW w:w="2769" w:type="dxa"/>
          </w:tcPr>
          <w:p>
            <w:pPr>
              <w:spacing w:before="0" w:after="0" w:line="240" w:lineRule="auto"/>
              <w:jc w:val="left"/>
            </w:pPr>
            <w:r>
              <w:rPr>
                <w:b w:val="0"/>
                <w:sz w:val="18"/>
              </w:rPr>
              <w:t>Points to evidence for a claim already stated</w:t>
            </w:r>
          </w:p>
        </w:tc>
      </w:tr>
      <w:tr>
        <w:trPr>
          <w:cantSplit/>
        </w:trPr>
        <w:tc>
          <w:tcPr>
            <w:tcW w:w="2769" w:type="dxa"/>
          </w:tcPr>
          <w:p>
            <w:pPr>
              <w:spacing w:before="0" w:after="0" w:line="240" w:lineRule="auto"/>
              <w:jc w:val="left"/>
            </w:pPr>
            <w:r>
              <w:rPr>
                <w:b w:val="0"/>
                <w:sz w:val="18"/>
              </w:rPr>
              <w:t>indicate / indicates that</w:t>
            </w:r>
          </w:p>
        </w:tc>
        <w:tc>
          <w:tcPr>
            <w:tcW w:w="2769" w:type="dxa"/>
          </w:tcPr>
          <w:p>
            <w:pPr>
              <w:spacing w:before="0" w:after="0" w:line="240" w:lineRule="auto"/>
              <w:jc w:val="left"/>
            </w:pPr>
            <w:r>
              <w:rPr>
                <w:b w:val="0"/>
                <w:sz w:val="18"/>
              </w:rPr>
              <w:t>Introduces an inferential conclusion drawn from analysis</w:t>
            </w:r>
          </w:p>
        </w:tc>
        <w:tc>
          <w:tcPr>
            <w:tcW w:w="2769" w:type="dxa"/>
          </w:tcPr>
          <w:p>
            <w:pPr>
              <w:spacing w:before="0" w:after="0" w:line="240" w:lineRule="auto"/>
              <w:jc w:val="left"/>
            </w:pPr>
            <w:r>
              <w:rPr>
                <w:b w:val="0"/>
                <w:sz w:val="18"/>
              </w:rPr>
              <w:t>Used as a synonym for showed/demonstrated (factive reporting)</w:t>
            </w:r>
          </w:p>
        </w:tc>
      </w:tr>
      <w:tr>
        <w:trPr>
          <w:cantSplit/>
        </w:trPr>
        <w:tc>
          <w:tcPr>
            <w:tcW w:w="2769" w:type="dxa"/>
            <w:tcBorders/>
          </w:tcPr>
          <w:p>
            <w:pPr>
              <w:spacing w:before="0" w:after="0" w:line="240" w:lineRule="auto"/>
              <w:jc w:val="left"/>
            </w:pPr>
            <w:r>
              <w:rPr>
                <w:b w:val="0"/>
                <w:sz w:val="18"/>
              </w:rPr>
              <w:t>indicating (participial)</w:t>
            </w:r>
          </w:p>
        </w:tc>
        <w:tc>
          <w:tcPr>
            <w:tcW w:w="2769" w:type="dxa"/>
            <w:tcBorders/>
          </w:tcPr>
          <w:p>
            <w:pPr>
              <w:spacing w:before="0" w:after="0" w:line="240" w:lineRule="auto"/>
              <w:jc w:val="left"/>
            </w:pPr>
            <w:r>
              <w:rPr>
                <w:b w:val="0"/>
                <w:sz w:val="18"/>
              </w:rPr>
              <w:t>Introduces an inference beyond the operational definition of the result</w:t>
            </w:r>
          </w:p>
        </w:tc>
        <w:tc>
          <w:tcPr>
            <w:tcW w:w="2769" w:type="dxa"/>
            <w:tcBorders/>
          </w:tcPr>
          <w:p>
            <w:pPr>
              <w:spacing w:before="0" w:after="0" w:line="240" w:lineRule="auto"/>
              <w:jc w:val="left"/>
            </w:pPr>
            <w:r>
              <w:rPr>
                <w:b w:val="0"/>
                <w:sz w:val="18"/>
              </w:rPr>
              <w:t>Restates the operational meaning of statistical significance</w:t>
            </w:r>
          </w:p>
        </w:tc>
      </w:tr>
      <w:tr>
        <w:trPr>
          <w:cantSplit/>
        </w:trPr>
        <w:tc>
          <w:tcPr>
            <w:tcW w:type="dxa" w:w="2769"/>
          </w:tcPr>
          <w:p>
            <w:pPr>
              <w:spacing w:before="0" w:after="0"/>
            </w:pPr>
            <w:r>
              <w:rPr>
                <w:b w:val="0"/>
                <w:sz w:val="18"/>
              </w:rPr>
              <w:t>can / may</w:t>
            </w:r>
          </w:p>
        </w:tc>
        <w:tc>
          <w:tcPr>
            <w:tcW w:type="dxa" w:w="2769"/>
          </w:tcPr>
          <w:p>
            <w:pPr>
              <w:spacing w:before="0" w:after="0"/>
            </w:pPr>
            <w:r>
              <w:rPr>
                <w:b w:val="0"/>
                <w:sz w:val="18"/>
              </w:rPr>
              <w:t>Expresses possibility</w:t>
            </w:r>
          </w:p>
        </w:tc>
        <w:tc>
          <w:tcPr>
            <w:tcW w:type="dxa" w:w="2769"/>
          </w:tcPr>
          <w:p>
            <w:pPr>
              <w:spacing w:before="0" w:after="0"/>
            </w:pPr>
            <w:r>
              <w:rPr>
                <w:b w:val="0"/>
                <w:sz w:val="18"/>
              </w:rPr>
              <w:t>Expresses capability</w:t>
            </w:r>
          </w:p>
        </w:tc>
      </w:tr>
      <w:tr>
        <w:trPr>
          <w:cantSplit/>
        </w:trPr>
        <w:tc>
          <w:tcPr>
            <w:tcW w:type="dxa" w:w="2769"/>
          </w:tcPr>
          <w:p>
            <w:pPr>
              <w:spacing w:before="0" w:after="0"/>
            </w:pPr>
            <w:r>
              <w:rPr>
                <w:b w:val="0"/>
                <w:sz w:val="18"/>
              </w:rPr>
              <w:t>generally / typically</w:t>
            </w:r>
          </w:p>
        </w:tc>
        <w:tc>
          <w:tcPr>
            <w:tcW w:type="dxa" w:w="2769"/>
          </w:tcPr>
          <w:p>
            <w:pPr>
              <w:spacing w:before="0" w:after="0"/>
            </w:pPr>
            <w:r>
              <w:rPr>
                <w:b w:val="0"/>
                <w:sz w:val="18"/>
              </w:rPr>
              <w:t>Qualifies scope</w:t>
            </w:r>
          </w:p>
        </w:tc>
        <w:tc>
          <w:tcPr>
            <w:tcW w:type="dxa" w:w="2769"/>
          </w:tcPr>
          <w:p>
            <w:pPr>
              <w:spacing w:before="0" w:after="0"/>
            </w:pPr>
            <w:r>
              <w:rPr>
                <w:b w:val="0"/>
                <w:sz w:val="18"/>
              </w:rPr>
              <w:t>Describes a procedural norm</w:t>
            </w:r>
          </w:p>
        </w:tc>
      </w:tr>
      <w:tr>
        <w:trPr>
          <w:cantSplit/>
        </w:trPr>
        <w:tc>
          <w:tcPr>
            <w:tcW w:type="dxa" w:w="2769"/>
            <w:tcBorders>
              <w:bottom w:val="single" w:sz="18" w:space="0" w:color="000000"/>
            </w:tcBorders>
          </w:tcPr>
          <w:p>
            <w:pPr>
              <w:spacing w:before="0" w:after="0"/>
            </w:pPr>
            <w:r>
              <w:rPr>
                <w:b w:val="0"/>
                <w:sz w:val="18"/>
              </w:rPr>
              <w:t>appear / seem</w:t>
            </w:r>
          </w:p>
        </w:tc>
        <w:tc>
          <w:tcPr>
            <w:tcW w:type="dxa" w:w="2769"/>
            <w:tcBorders>
              <w:bottom w:val="single" w:sz="18" w:space="0" w:color="000000"/>
            </w:tcBorders>
          </w:tcPr>
          <w:p>
            <w:pPr>
              <w:spacing w:before="0" w:after="0"/>
            </w:pPr>
            <w:r>
              <w:rPr>
                <w:b w:val="0"/>
                <w:sz w:val="18"/>
              </w:rPr>
              <w:t>Expresses result uncertainty</w:t>
            </w:r>
          </w:p>
        </w:tc>
        <w:tc>
          <w:tcPr>
            <w:tcW w:type="dxa" w:w="2769"/>
            <w:tcBorders>
              <w:bottom w:val="single" w:sz="18" w:space="0" w:color="000000"/>
            </w:tcBorders>
          </w:tcPr>
          <w:p>
            <w:pPr>
              <w:spacing w:before="0" w:after="0"/>
            </w:pPr>
            <w:r>
              <w:rPr>
                <w:b w:val="0"/>
                <w:sz w:val="18"/>
              </w:rPr>
              <w:t>Indicates location</w:t>
            </w:r>
          </w:p>
        </w:tc>
      </w:tr>
    </w:tbl>
    <w:p w:rsidR="00000000" w:rsidDel="00000000" w:rsidP="00000000" w:rsidRDefault="00000000" w:rsidRPr="00000000" w14:paraId="00000078">
      <w:pPr>
        <w:keepNext w:val="1"/>
        <w:spacing w:after="120" w:before="240" w:line="480" w:lineRule="auto"/>
        <w:ind w:firstLine="0"/>
        <w:rPr>
          <w:sz w:val="24"/>
          <w:szCs w:val="24"/>
        </w:rPr>
      </w:pPr>
      <w:r>
        <w:rPr>
          <w:b w:val="1"/>
          <w:bCs w:val="1"/>
          <w:sz w:val="24"/>
          <w:szCs w:val="24"/>
          <w:rtl w:val="0"/>
        </w:rPr>
        <w:t xml:space="preserve">Research Corpus</w:t>
      </w:r>
      <w:r>
        <w:rPr>
          <w:rtl w:val="0"/>
        </w:rPr>
      </w:r>
    </w:p>
    <w:p w:rsidR="00000000" w:rsidDel="00000000" w:rsidP="00000000" w:rsidRDefault="00000000" w:rsidRPr="00000000" w14:paraId="00000079">
      <w:pPr>
        <w:spacing w:after="0" w:before="0" w:line="480" w:lineRule="auto"/>
        <w:ind w:firstLine="720"/>
        <w:jc w:val="both"/>
        <w:rPr/>
      </w:pPr>
      <w:r>
        <w:rPr>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br w:type="page"/>
      </w:r>
      <w:r>
        <w:rPr>
          <w:rtl w:val="0"/>
        </w:rPr>
      </w:r>
    </w:p>
    <w:p w:rsidR="00000000" w:rsidDel="00000000" w:rsidP="00000000" w:rsidRDefault="00000000" w:rsidRPr="00000000" w14:paraId="000000A1">
      <w:pPr>
        <w:spacing w:after="0" w:before="0" w:line="480" w:lineRule="auto"/>
        <w:ind w:firstLine="720"/>
        <w:jc w:val="both"/>
        <w:rPr/>
      </w:pPr>
      <w:r>
        <w:rPr>
          <w:b w:val="1"/>
          <w:bCs w:val="1"/>
          <w:rtl w:val="0"/>
        </w:rPr>
        <w:t xml:space="preserve">Inclusion Criteria. </w:t>
      </w:r>
      <w:r>
        <w:rPr>
          <w:rtl w:val="0"/>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A2">
      <w:pPr>
        <w:keepLines w:val="1"/>
        <w:spacing w:after="0" w:before="0" w:line="480" w:lineRule="auto"/>
        <w:ind w:firstLine="720"/>
        <w:jc w:val="both"/>
        <w:rPr/>
      </w:pPr>
      <w:r>
        <w:rPr>
          <w:b w:val="1"/>
          <w:bCs w:val="1"/>
          <w:rtl w:val="0"/>
        </w:rPr>
        <w:t xml:space="preserve">Exclusion Criteria. </w:t>
      </w:r>
      <w:r>
        <w:rPr>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 or after 2025.</w:t>
      </w:r>
    </w:p>
    <w:p w:rsidR="00000000" w:rsidDel="00000000" w:rsidP="00000000" w:rsidRDefault="00000000" w:rsidRPr="00000000" w14:paraId="000000A3">
      <w:pPr>
        <w:spacing w:after="0" w:before="0" w:line="480" w:lineRule="auto"/>
        <w:ind w:firstLine="720"/>
        <w:jc w:val="both"/>
        <w:rPr/>
        <w:sectPr>
          <w:headerReference r:id="rId17" w:type="default"/>
          <w:headerReference r:id="rId18" w:type="first"/>
          <w:footerReference r:id="rId19" w:type="default"/>
          <w:footerReference r:id="rId20" w:type="first"/>
          <w:type w:val="nextPage"/>
          <w:pgSz w:h="16838" w:w="11906" w:orient="portrait"/>
          <w:pgMar w:bottom="1440" w:top="1440" w:left="2160" w:right="1440" w:header="720" w:footer="720"/>
          <w:titlePg w:val="1"/>
        </w:sectPr>
      </w:pPr>
      <w:r>
        <w:rPr>
          <w:b w:val="1"/>
          <w:bCs w:val="1"/>
          <w:rtl w:val="0"/>
        </w:rPr>
        <w:t xml:space="preserve">Ethical Considerations.</w:t>
      </w:r>
      <w:r>
        <w:rPr>
          <w:rtl w:val="0"/>
        </w:rPr>
        <w:t xml:space="preserve">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spacing w:after="240" w:before="720" w:line="480" w:lineRule="auto"/>
        <w:ind w:firstLine="0"/>
        <w:jc w:val="center"/>
        <w:rPr>
          <w:sz w:val="28"/>
          <w:szCs w:val="28"/>
        </w:rPr>
      </w:pPr>
      <w:r>
        <w:rPr>
          <w:b w:val="1"/>
          <w:bCs w:val="1"/>
          <w:sz w:val="28"/>
          <w:szCs w:val="28"/>
          <w:rtl w:val="0"/>
        </w:rPr>
        <w:t xml:space="preserve">RESULTS, ANALYSIS, AND DISCUSSION</w:t>
      </w:r>
      <w:r>
        <w:rPr>
          <w:rtl w:val="0"/>
        </w:rPr>
      </w:r>
    </w:p>
    <w:p w:rsidR="00000000" w:rsidDel="00000000" w:rsidP="00000000" w:rsidRDefault="00000000" w:rsidRPr="00000000" w14:paraId="000000A5">
      <w:pPr>
        <w:spacing w:after="0" w:before="0" w:line="480" w:lineRule="auto"/>
        <w:ind w:firstLine="720"/>
        <w:jc w:val="both"/>
        <w:rPr/>
      </w:pPr>
      <w:r>
        <w:rPr>
          <w:rtl w:val="0"/>
        </w:rPr>
      </w:r>
    </w:p>
    <w:p w:rsidR="00000000" w:rsidDel="00000000" w:rsidP="00000000" w:rsidRDefault="00000000" w:rsidRPr="00000000" w14:paraId="000000A6">
      <w:pPr>
        <w:spacing w:after="0" w:before="0" w:line="480" w:lineRule="auto"/>
        <w:ind w:firstLine="720"/>
        <w:jc w:val="both"/>
        <w:rPr/>
      </w:pPr>
      <w:r>
        <w:rPr>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7A">
      <w:pPr>
        <w:keepNext w:val="1"/>
        <w:spacing w:after="0" w:before="240" w:line="480" w:lineRule="auto"/>
        <w:ind w:firstLine="0"/>
        <w:jc w:val="center"/>
        <w:rPr/>
      </w:pPr>
      <w:r>
        <w:rPr>
          <w:rFonts w:ascii="Georgia" w:hAnsi="Georgia" w:eastAsia="Georgia"/>
          <w:b/>
          <w:sz w:val="22"/>
        </w:rPr>
        <w:t>Table 2</w:t>
      </w:r>
    </w:p>
    <w:p w:rsidR="00000000" w:rsidDel="00000000" w:rsidP="00000000" w:rsidRDefault="00000000" w:rsidRPr="00000000" w14:paraId="0000007B">
      <w:pPr>
        <w:keepNext w:val="1"/>
        <w:spacing w:after="60" w:before="0" w:line="480" w:lineRule="auto"/>
        <w:jc w:val="center"/>
        <w:rPr/>
      </w:pPr>
      <w:r>
        <w:rPr>
          <w:rtl w:val="0"/>
        </w:rPr>
        <w:t xml:space="preserve">PSAU Thesis Repository: Population and Sampling Summary</w:t>
      </w:r>
    </w:p>
    <w:tbl>
      <w:tblPr>
        <w:tblStyle w:val="Table1"/>
        <w:tblW w:w="8303.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tblHeader/>
        </w:trPr>
        <w:tc>
          <w:tcPr>
            <w:tcBorders>
              <w:bottom w:val="single" w:sz="4" w:color="000000" w:space="0"/>
            </w:tcBorders>
          </w:tcPr>
          <w:p w:rsidR="00000000" w:rsidDel="00000000" w:rsidP="00000000" w:rsidRDefault="00000000" w:rsidRPr="00000000" w14:paraId="0000007C">
            <w:pPr>
              <w:spacing w:after="0" w:before="0" w:line="480" w:lineRule="auto"/>
              <w:rPr>
                <w:sz w:val="18"/>
                <w:szCs w:val="18"/>
              </w:rPr>
            </w:pPr>
            <w:r>
              <w:rPr>
                <w:b w:val="1"/>
                <w:bCs w:val="1"/>
                <w:i w:val="0"/>
                <w:iCs w:val="0"/>
                <w:sz w:val="18"/>
                <w:szCs w:val="18"/>
                <w:rtl w:val="0"/>
              </w:rPr>
              <w:t xml:space="preserve">Category</w:t>
            </w:r>
            <w:r>
              <w:rPr>
                <w:rtl w:val="0"/>
              </w:rPr>
            </w:r>
          </w:p>
        </w:tc>
        <w:tc>
          <w:tcPr>
            <w:tcBorders>
              <w:bottom w:val="single" w:sz="4" w:color="000000" w:space="0"/>
            </w:tcBorders>
          </w:tcPr>
          <w:p w:rsidR="00000000" w:rsidDel="00000000" w:rsidP="00000000" w:rsidRDefault="00000000" w:rsidRPr="00000000" w14:paraId="0000007D">
            <w:pPr>
              <w:spacing w:after="0" w:before="0" w:line="480" w:lineRule="auto"/>
              <w:rPr>
                <w:sz w:val="18"/>
                <w:szCs w:val="18"/>
              </w:rPr>
            </w:pPr>
            <w:r>
              <w:rPr>
                <w:b w:val="1"/>
                <w:bCs w:val="1"/>
                <w:i w:val="0"/>
                <w:iCs w:val="0"/>
                <w:sz w:val="18"/>
                <w:szCs w:val="18"/>
                <w:rtl w:val="0"/>
              </w:rPr>
              <w:t xml:space="preserve">Biology</w:t>
            </w:r>
            <w:r>
              <w:rPr>
                <w:rtl w:val="0"/>
              </w:rPr>
            </w:r>
          </w:p>
        </w:tc>
        <w:tc>
          <w:tcPr>
            <w:tcBorders>
              <w:bottom w:val="single" w:sz="4" w:color="000000" w:space="0"/>
            </w:tcBorders>
          </w:tcPr>
          <w:p w:rsidR="00000000" w:rsidDel="00000000" w:rsidP="00000000" w:rsidRDefault="00000000" w:rsidRPr="00000000" w14:paraId="0000007E">
            <w:pPr>
              <w:spacing w:after="0" w:before="0" w:line="480" w:lineRule="auto"/>
              <w:rPr>
                <w:sz w:val="18"/>
                <w:szCs w:val="18"/>
              </w:rPr>
            </w:pPr>
            <w:r>
              <w:rPr>
                <w:b w:val="1"/>
                <w:bCs w:val="1"/>
                <w:i w:val="0"/>
                <w:iCs w:val="0"/>
                <w:sz w:val="18"/>
                <w:szCs w:val="18"/>
                <w:rtl w:val="0"/>
              </w:rPr>
              <w:t xml:space="preserve">Veterinary Medicine</w:t>
            </w:r>
            <w:r>
              <w:rPr>
                <w:rtl w:val="0"/>
              </w:rPr>
            </w:r>
          </w:p>
        </w:tc>
        <w:tc>
          <w:tcPr>
            <w:tcBorders>
              <w:bottom w:val="single" w:sz="4" w:color="000000" w:space="0"/>
            </w:tcBorders>
          </w:tcPr>
          <w:p w:rsidR="00000000" w:rsidDel="00000000" w:rsidP="00000000" w:rsidRDefault="00000000" w:rsidRPr="00000000" w14:paraId="0000007F">
            <w:pPr>
              <w:spacing w:after="0" w:before="0" w:line="480" w:lineRule="auto"/>
              <w:rPr>
                <w:sz w:val="18"/>
                <w:szCs w:val="18"/>
              </w:rPr>
            </w:pPr>
            <w:r>
              <w:rPr>
                <w:b w:val="1"/>
                <w:bCs w:val="1"/>
                <w:i w:val="0"/>
                <w:iCs w:val="0"/>
                <w:sz w:val="18"/>
                <w:szCs w:val="18"/>
                <w:rtl w:val="0"/>
              </w:rPr>
              <w:t xml:space="preserve">Animal Science</w:t>
            </w:r>
            <w:r>
              <w:rPr>
                <w:rtl w:val="0"/>
              </w:rPr>
            </w:r>
          </w:p>
        </w:tc>
        <w:tc>
          <w:tcPr>
            <w:tcBorders>
              <w:bottom w:val="single" w:sz="4" w:color="000000" w:space="0"/>
            </w:tcBorders>
          </w:tcPr>
          <w:p w:rsidR="00000000" w:rsidDel="00000000" w:rsidP="00000000" w:rsidRDefault="00000000" w:rsidRPr="00000000" w14:paraId="00000080">
            <w:pPr>
              <w:spacing w:after="0" w:before="0" w:line="480" w:lineRule="auto"/>
              <w:rPr>
                <w:sz w:val="18"/>
                <w:szCs w:val="18"/>
              </w:rPr>
            </w:pPr>
            <w:r>
              <w:rPr>
                <w:b w:val="1"/>
                <w:bCs w:val="1"/>
                <w:i w:val="0"/>
                <w:iCs w:val="0"/>
                <w:sz w:val="18"/>
                <w:szCs w:val="18"/>
                <w:rtl w:val="0"/>
              </w:rPr>
              <w:t xml:space="preserve">Crop Science</w:t>
            </w:r>
            <w:r>
              <w:rPr>
                <w:rtl w:val="0"/>
              </w:rPr>
            </w:r>
          </w:p>
        </w:tc>
        <w:tc>
          <w:tcPr>
            <w:tcBorders>
              <w:bottom w:val="single" w:sz="4" w:color="000000" w:space="0"/>
            </w:tcBorders>
          </w:tcPr>
          <w:p w:rsidR="00000000" w:rsidDel="00000000" w:rsidP="00000000" w:rsidRDefault="00000000" w:rsidRPr="00000000" w14:paraId="00000081">
            <w:pPr>
              <w:spacing w:after="0" w:before="0" w:line="480" w:lineRule="auto"/>
              <w:rPr>
                <w:sz w:val="18"/>
                <w:szCs w:val="18"/>
              </w:rPr>
            </w:pPr>
            <w:r>
              <w:rPr>
                <w:b w:val="1"/>
                <w:bCs w:val="1"/>
                <w:i w:val="0"/>
                <w:iCs w:val="0"/>
                <w:sz w:val="18"/>
                <w:szCs w:val="18"/>
                <w:rtl w:val="0"/>
              </w:rPr>
              <w:t xml:space="preserve">Total</w:t>
            </w:r>
            <w:r>
              <w:rPr>
                <w:rtl w:val="0"/>
              </w:rPr>
            </w:r>
          </w:p>
        </w:tc>
      </w:tr>
      <w:tr>
        <w:trPr>
          <w:cantSplit/>
        </w:trPr>
        <w:tc>
          <w:tcPr/>
          <w:p w:rsidR="00000000" w:rsidDel="00000000" w:rsidP="00000000" w:rsidRDefault="00000000" w:rsidRPr="00000000" w14:paraId="00000082">
            <w:pPr>
              <w:spacing w:after="0" w:before="0" w:line="480" w:lineRule="auto"/>
              <w:rPr>
                <w:sz w:val="18"/>
                <w:szCs w:val="18"/>
              </w:rPr>
            </w:pPr>
            <w:r>
              <w:rPr>
                <w:i w:val="0"/>
                <w:iCs w:val="0"/>
                <w:sz w:val="18"/>
                <w:szCs w:val="18"/>
                <w:rtl w:val="0"/>
              </w:rPr>
              <w:t xml:space="preserve">Total repository</w:t>
            </w:r>
            <w:r>
              <w:rPr>
                <w:rtl w:val="0"/>
              </w:rPr>
            </w:r>
          </w:p>
        </w:tc>
        <w:tc>
          <w:tcPr/>
          <w:p w:rsidR="00000000" w:rsidDel="00000000" w:rsidP="00000000" w:rsidRDefault="00000000" w:rsidRPr="00000000" w14:paraId="00000083">
            <w:pPr>
              <w:spacing w:after="0" w:before="0" w:line="480" w:lineRule="auto"/>
              <w:rPr>
                <w:sz w:val="18"/>
                <w:szCs w:val="18"/>
              </w:rPr>
            </w:pPr>
            <w:r>
              <w:rPr>
                <w:i w:val="0"/>
                <w:iCs w:val="0"/>
                <w:sz w:val="18"/>
                <w:szCs w:val="18"/>
                <w:rtl w:val="0"/>
              </w:rPr>
              <w:t xml:space="preserve">275</w:t>
            </w:r>
            <w:r>
              <w:rPr>
                <w:rtl w:val="0"/>
              </w:rPr>
            </w:r>
          </w:p>
        </w:tc>
        <w:tc>
          <w:tcPr/>
          <w:p w:rsidR="00000000" w:rsidDel="00000000" w:rsidP="00000000" w:rsidRDefault="00000000" w:rsidRPr="00000000" w14:paraId="00000084">
            <w:pPr>
              <w:spacing w:after="0" w:before="0" w:line="480" w:lineRule="auto"/>
              <w:rPr>
                <w:sz w:val="18"/>
                <w:szCs w:val="18"/>
              </w:rPr>
            </w:pPr>
            <w:r>
              <w:rPr>
                <w:i w:val="0"/>
                <w:iCs w:val="0"/>
                <w:sz w:val="18"/>
                <w:szCs w:val="18"/>
                <w:rtl w:val="0"/>
              </w:rPr>
              <w:t xml:space="preserve">206</w:t>
            </w:r>
            <w:r>
              <w:rPr>
                <w:rtl w:val="0"/>
              </w:rPr>
            </w:r>
          </w:p>
        </w:tc>
        <w:tc>
          <w:tcPr/>
          <w:p w:rsidR="00000000" w:rsidDel="00000000" w:rsidP="00000000" w:rsidRDefault="00000000" w:rsidRPr="00000000" w14:paraId="00000085">
            <w:pPr>
              <w:spacing w:after="0" w:before="0" w:line="480" w:lineRule="auto"/>
              <w:rPr>
                <w:sz w:val="18"/>
                <w:szCs w:val="18"/>
              </w:rPr>
            </w:pPr>
            <w:r>
              <w:rPr>
                <w:i w:val="0"/>
                <w:iCs w:val="0"/>
                <w:sz w:val="18"/>
                <w:szCs w:val="18"/>
                <w:rtl w:val="0"/>
              </w:rPr>
              <w:t xml:space="preserve">131</w:t>
            </w:r>
            <w:r>
              <w:rPr>
                <w:rtl w:val="0"/>
              </w:rPr>
            </w:r>
          </w:p>
        </w:tc>
        <w:tc>
          <w:tcPr/>
          <w:p w:rsidR="00000000" w:rsidDel="00000000" w:rsidP="00000000" w:rsidRDefault="00000000" w:rsidRPr="00000000" w14:paraId="00000086">
            <w:pPr>
              <w:spacing w:after="0" w:before="0" w:line="480" w:lineRule="auto"/>
              <w:rPr>
                <w:sz w:val="18"/>
                <w:szCs w:val="18"/>
              </w:rPr>
            </w:pPr>
            <w:r>
              <w:rPr>
                <w:i w:val="0"/>
                <w:iCs w:val="0"/>
                <w:sz w:val="18"/>
                <w:szCs w:val="18"/>
                <w:rtl w:val="0"/>
              </w:rPr>
              <w:t xml:space="preserve">216</w:t>
            </w:r>
            <w:r>
              <w:rPr>
                <w:rtl w:val="0"/>
              </w:rPr>
            </w:r>
          </w:p>
        </w:tc>
        <w:tc>
          <w:tcPr/>
          <w:p w:rsidR="00000000" w:rsidDel="00000000" w:rsidP="00000000" w:rsidRDefault="00000000" w:rsidRPr="00000000" w14:paraId="00000087">
            <w:pPr>
              <w:spacing w:after="0" w:before="0" w:line="480" w:lineRule="auto"/>
              <w:rPr>
                <w:sz w:val="18"/>
                <w:szCs w:val="18"/>
              </w:rPr>
            </w:pPr>
            <w:r>
              <w:rPr>
                <w:i w:val="0"/>
                <w:iCs w:val="0"/>
                <w:sz w:val="18"/>
                <w:szCs w:val="18"/>
                <w:rtl w:val="0"/>
              </w:rPr>
              <w:t xml:space="preserve">828</w:t>
            </w:r>
            <w:r>
              <w:rPr>
                <w:rtl w:val="0"/>
              </w:rPr>
            </w:r>
          </w:p>
        </w:tc>
      </w:tr>
      <w:tr>
        <w:trPr>
          <w:cantSplit/>
        </w:trPr>
        <w:tc>
          <w:tcPr/>
          <w:p w:rsidR="00000000" w:rsidDel="00000000" w:rsidP="00000000" w:rsidRDefault="00000000" w:rsidRPr="00000000" w14:paraId="00000088">
            <w:pPr>
              <w:spacing w:after="0" w:before="0" w:line="480" w:lineRule="auto"/>
              <w:rPr>
                <w:sz w:val="18"/>
                <w:szCs w:val="18"/>
              </w:rPr>
            </w:pPr>
            <w:r>
              <w:rPr>
                <w:sz w:val="18"/>
                <w:szCs w:val="18"/>
                <w:rtl w:val="0"/>
              </w:rPr>
              <w:t xml:space="preserve">2023-2025 (target pool)</w:t>
            </w:r>
          </w:p>
        </w:tc>
        <w:tc>
          <w:tcPr/>
          <w:p w:rsidR="00000000" w:rsidDel="00000000" w:rsidP="00000000" w:rsidRDefault="00000000" w:rsidRPr="00000000" w14:paraId="00000089">
            <w:pPr>
              <w:spacing w:after="0" w:before="0" w:line="480" w:lineRule="auto"/>
              <w:rPr>
                <w:sz w:val="18"/>
                <w:szCs w:val="18"/>
              </w:rPr>
            </w:pPr>
            <w:r>
              <w:rPr>
                <w:i w:val="0"/>
                <w:iCs w:val="0"/>
                <w:sz w:val="18"/>
                <w:szCs w:val="18"/>
                <w:rtl w:val="0"/>
              </w:rPr>
              <w:t xml:space="preserve">145</w:t>
            </w:r>
            <w:r>
              <w:rPr>
                <w:rtl w:val="0"/>
              </w:rPr>
            </w:r>
          </w:p>
        </w:tc>
        <w:tc>
          <w:tcPr/>
          <w:p w:rsidR="00000000" w:rsidDel="00000000" w:rsidP="00000000" w:rsidRDefault="00000000" w:rsidRPr="00000000" w14:paraId="0000008A">
            <w:pPr>
              <w:spacing w:after="0" w:before="0" w:line="480" w:lineRule="auto"/>
              <w:rPr>
                <w:sz w:val="18"/>
                <w:szCs w:val="18"/>
              </w:rPr>
            </w:pPr>
            <w:r>
              <w:rPr>
                <w:i w:val="0"/>
                <w:iCs w:val="0"/>
                <w:sz w:val="18"/>
                <w:szCs w:val="18"/>
                <w:rtl w:val="0"/>
              </w:rPr>
              <w:t xml:space="preserve">104</w:t>
            </w:r>
            <w:r>
              <w:rPr>
                <w:rtl w:val="0"/>
              </w:rPr>
            </w:r>
          </w:p>
        </w:tc>
        <w:tc>
          <w:tcPr/>
          <w:p w:rsidR="00000000" w:rsidDel="00000000" w:rsidP="00000000" w:rsidRDefault="00000000" w:rsidRPr="00000000" w14:paraId="0000008B">
            <w:pPr>
              <w:spacing w:after="0" w:before="0" w:line="480" w:lineRule="auto"/>
              <w:rPr>
                <w:sz w:val="18"/>
                <w:szCs w:val="18"/>
              </w:rPr>
            </w:pPr>
            <w:r>
              <w:rPr>
                <w:i w:val="0"/>
                <w:iCs w:val="0"/>
                <w:sz w:val="18"/>
                <w:szCs w:val="18"/>
                <w:rtl w:val="0"/>
              </w:rPr>
              <w:t xml:space="preserve">38</w:t>
            </w:r>
            <w:r>
              <w:rPr>
                <w:rtl w:val="0"/>
              </w:rPr>
            </w:r>
          </w:p>
        </w:tc>
        <w:tc>
          <w:tcPr/>
          <w:p w:rsidR="00000000" w:rsidDel="00000000" w:rsidP="00000000" w:rsidRDefault="00000000" w:rsidRPr="00000000" w14:paraId="0000008C">
            <w:pPr>
              <w:spacing w:after="0" w:before="0" w:line="480" w:lineRule="auto"/>
              <w:rPr>
                <w:sz w:val="18"/>
                <w:szCs w:val="18"/>
              </w:rPr>
            </w:pPr>
            <w:r>
              <w:rPr>
                <w:i w:val="0"/>
                <w:iCs w:val="0"/>
                <w:sz w:val="18"/>
                <w:szCs w:val="18"/>
                <w:rtl w:val="0"/>
              </w:rPr>
              <w:t xml:space="preserve">94</w:t>
            </w:r>
            <w:r>
              <w:rPr>
                <w:rtl w:val="0"/>
              </w:rPr>
            </w:r>
          </w:p>
        </w:tc>
        <w:tc>
          <w:tcPr/>
          <w:p w:rsidR="00000000" w:rsidDel="00000000" w:rsidP="00000000" w:rsidRDefault="00000000" w:rsidRPr="00000000" w14:paraId="0000008D">
            <w:pPr>
              <w:spacing w:after="0" w:before="0" w:line="480" w:lineRule="auto"/>
              <w:rPr>
                <w:sz w:val="18"/>
                <w:szCs w:val="18"/>
              </w:rPr>
            </w:pPr>
            <w:r>
              <w:rPr>
                <w:i w:val="0"/>
                <w:iCs w:val="0"/>
                <w:sz w:val="18"/>
                <w:szCs w:val="18"/>
                <w:rtl w:val="0"/>
              </w:rPr>
              <w:t xml:space="preserve">381</w:t>
            </w:r>
            <w:r>
              <w:rPr>
                <w:rtl w:val="0"/>
              </w:rPr>
            </w:r>
          </w:p>
        </w:tc>
      </w:tr>
      <w:tr>
        <w:trPr>
          <w:cantSplit/>
        </w:trPr>
        <w:tc>
          <w:tcPr/>
          <w:p w:rsidR="00000000" w:rsidDel="00000000" w:rsidP="00000000" w:rsidRDefault="00000000" w:rsidRPr="00000000" w14:paraId="0000008E">
            <w:pPr>
              <w:spacing w:after="0" w:before="0" w:line="480" w:lineRule="auto"/>
              <w:rPr>
                <w:sz w:val="18"/>
                <w:szCs w:val="18"/>
              </w:rPr>
            </w:pPr>
            <w:r>
              <w:rPr>
                <w:i w:val="0"/>
                <w:iCs w:val="0"/>
                <w:sz w:val="18"/>
                <w:szCs w:val="18"/>
                <w:rtl w:val="0"/>
              </w:rPr>
              <w:t xml:space="preserve">Pre-2023 (excluded pool)</w:t>
            </w:r>
            <w:r>
              <w:rPr>
                <w:rtl w:val="0"/>
              </w:rPr>
            </w:r>
          </w:p>
        </w:tc>
        <w:tc>
          <w:tcPr/>
          <w:p w:rsidR="00000000" w:rsidDel="00000000" w:rsidP="00000000" w:rsidRDefault="00000000" w:rsidRPr="00000000" w14:paraId="0000008F">
            <w:pPr>
              <w:spacing w:after="0" w:before="0" w:line="480" w:lineRule="auto"/>
              <w:rPr>
                <w:sz w:val="18"/>
                <w:szCs w:val="18"/>
              </w:rPr>
            </w:pPr>
            <w:r>
              <w:rPr>
                <w:i w:val="0"/>
                <w:iCs w:val="0"/>
                <w:sz w:val="18"/>
                <w:szCs w:val="18"/>
                <w:rtl w:val="0"/>
              </w:rPr>
              <w:t xml:space="preserve">130</w:t>
            </w:r>
            <w:r>
              <w:rPr>
                <w:rtl w:val="0"/>
              </w:rPr>
            </w:r>
          </w:p>
        </w:tc>
        <w:tc>
          <w:tcPr/>
          <w:p w:rsidR="00000000" w:rsidDel="00000000" w:rsidP="00000000" w:rsidRDefault="00000000" w:rsidRPr="00000000" w14:paraId="00000090">
            <w:pPr>
              <w:spacing w:after="0" w:before="0" w:line="480" w:lineRule="auto"/>
              <w:rPr>
                <w:sz w:val="18"/>
                <w:szCs w:val="18"/>
              </w:rPr>
            </w:pPr>
            <w:r>
              <w:rPr>
                <w:i w:val="0"/>
                <w:iCs w:val="0"/>
                <w:sz w:val="18"/>
                <w:szCs w:val="18"/>
                <w:rtl w:val="0"/>
              </w:rPr>
              <w:t xml:space="preserve">102</w:t>
            </w:r>
            <w:r>
              <w:rPr>
                <w:rtl w:val="0"/>
              </w:rPr>
            </w:r>
          </w:p>
        </w:tc>
        <w:tc>
          <w:tcPr/>
          <w:p w:rsidR="00000000" w:rsidDel="00000000" w:rsidP="00000000" w:rsidRDefault="00000000" w:rsidRPr="00000000" w14:paraId="00000091">
            <w:pPr>
              <w:spacing w:after="0" w:before="0" w:line="480" w:lineRule="auto"/>
              <w:rPr>
                <w:sz w:val="18"/>
                <w:szCs w:val="18"/>
              </w:rPr>
            </w:pPr>
            <w:r>
              <w:rPr>
                <w:i w:val="0"/>
                <w:iCs w:val="0"/>
                <w:sz w:val="18"/>
                <w:szCs w:val="18"/>
                <w:rtl w:val="0"/>
              </w:rPr>
              <w:t xml:space="preserve">93</w:t>
            </w:r>
            <w:r>
              <w:rPr>
                <w:rtl w:val="0"/>
              </w:rPr>
            </w:r>
          </w:p>
        </w:tc>
        <w:tc>
          <w:tcPr/>
          <w:p w:rsidR="00000000" w:rsidDel="00000000" w:rsidP="00000000" w:rsidRDefault="00000000" w:rsidRPr="00000000" w14:paraId="00000092">
            <w:pPr>
              <w:spacing w:after="0" w:before="0" w:line="480" w:lineRule="auto"/>
              <w:rPr>
                <w:sz w:val="18"/>
                <w:szCs w:val="18"/>
              </w:rPr>
            </w:pPr>
            <w:r>
              <w:rPr>
                <w:i w:val="0"/>
                <w:iCs w:val="0"/>
                <w:sz w:val="18"/>
                <w:szCs w:val="18"/>
                <w:rtl w:val="0"/>
              </w:rPr>
              <w:t xml:space="preserve">122</w:t>
            </w:r>
            <w:r>
              <w:rPr>
                <w:rtl w:val="0"/>
              </w:rPr>
            </w:r>
          </w:p>
        </w:tc>
        <w:tc>
          <w:tcPr/>
          <w:p w:rsidR="00000000" w:rsidDel="00000000" w:rsidP="00000000" w:rsidRDefault="00000000" w:rsidRPr="00000000" w14:paraId="00000093">
            <w:pPr>
              <w:spacing w:after="0" w:before="0" w:line="480" w:lineRule="auto"/>
              <w:rPr>
                <w:sz w:val="18"/>
                <w:szCs w:val="18"/>
              </w:rPr>
            </w:pPr>
            <w:r>
              <w:rPr>
                <w:i w:val="0"/>
                <w:iCs w:val="0"/>
                <w:sz w:val="18"/>
                <w:szCs w:val="18"/>
                <w:rtl w:val="0"/>
              </w:rPr>
              <w:t xml:space="preserve">447</w:t>
            </w:r>
            <w:r>
              <w:rPr>
                <w:rtl w:val="0"/>
              </w:rPr>
            </w:r>
          </w:p>
        </w:tc>
      </w:tr>
      <w:tr>
        <w:trPr>
          <w:cantSplit/>
        </w:trPr>
        <w:tc>
          <w:tcPr/>
          <w:p w:rsidR="00000000" w:rsidDel="00000000" w:rsidP="00000000" w:rsidRDefault="00000000" w:rsidRPr="00000000" w14:paraId="00000094">
            <w:pPr>
              <w:spacing w:after="0" w:before="0" w:line="480" w:lineRule="auto"/>
              <w:rPr>
                <w:sz w:val="18"/>
                <w:szCs w:val="18"/>
              </w:rPr>
            </w:pPr>
            <w:r>
              <w:rPr>
                <w:i w:val="0"/>
                <w:iCs w:val="0"/>
                <w:sz w:val="18"/>
                <w:szCs w:val="18"/>
                <w:rtl w:val="0"/>
              </w:rPr>
              <w:t xml:space="preserve">Pilot sample (pre-2023)</w:t>
            </w:r>
            <w:r>
              <w:rPr>
                <w:rtl w:val="0"/>
              </w:rPr>
            </w:r>
          </w:p>
        </w:tc>
        <w:tc>
          <w:tcPr/>
          <w:p w:rsidR="00000000" w:rsidDel="00000000" w:rsidP="00000000" w:rsidRDefault="00000000" w:rsidRPr="00000000" w14:paraId="00000095">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6">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7">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8">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9">
            <w:pPr>
              <w:spacing w:after="0" w:before="0" w:line="480" w:lineRule="auto"/>
              <w:rPr>
                <w:sz w:val="18"/>
                <w:szCs w:val="18"/>
              </w:rPr>
            </w:pPr>
            <w:r>
              <w:rPr>
                <w:i w:val="0"/>
                <w:iCs w:val="0"/>
                <w:sz w:val="18"/>
                <w:szCs w:val="18"/>
                <w:rtl w:val="0"/>
              </w:rPr>
              <w:t xml:space="preserve">4</w:t>
            </w:r>
            <w:r>
              <w:rPr>
                <w:rtl w:val="0"/>
              </w:rPr>
            </w:r>
          </w:p>
        </w:tc>
      </w:tr>
      <w:tr>
        <w:trPr>
          <w:cantSplit/>
        </w:trPr>
        <w:tc>
          <w:tcPr>
            <w:tcBorders>
              <w:bottom w:val="single" w:sz="18" w:color="000000" w:space="0"/>
            </w:tcBorders>
          </w:tcPr>
          <w:p w:rsidR="00000000" w:rsidDel="00000000" w:rsidP="00000000" w:rsidRDefault="00000000" w:rsidRPr="00000000" w14:paraId="0000009A">
            <w:pPr>
              <w:spacing w:after="0" w:before="0" w:line="480" w:lineRule="auto"/>
              <w:rPr>
                <w:sz w:val="18"/>
                <w:szCs w:val="18"/>
              </w:rPr>
            </w:pPr>
            <w:r>
              <w:rPr>
                <w:i w:val="0"/>
                <w:iCs w:val="0"/>
                <w:sz w:val="18"/>
                <w:szCs w:val="18"/>
                <w:rtl w:val="0"/>
              </w:rPr>
              <w:t xml:space="preserve">Main sample</w:t>
            </w:r>
            <w:r>
              <w:rPr>
                <w:rtl w:val="0"/>
              </w:rPr>
            </w:r>
          </w:p>
        </w:tc>
        <w:tc>
          <w:tcPr>
            <w:tcBorders>
              <w:bottom w:val="single" w:sz="18" w:color="000000" w:space="0"/>
            </w:tcBorders>
          </w:tcPr>
          <w:p w:rsidR="00000000" w:rsidDel="00000000" w:rsidP="00000000" w:rsidRDefault="00000000" w:rsidRPr="00000000" w14:paraId="0000009B">
            <w:pPr>
              <w:spacing w:after="0" w:before="0" w:line="480" w:lineRule="auto"/>
              <w:rPr>
                <w:sz w:val="18"/>
                <w:szCs w:val="18"/>
              </w:rPr>
            </w:pPr>
            <w:r>
              <w:rPr>
                <w:i w:val="0"/>
                <w:iCs w:val="0"/>
                <w:sz w:val="18"/>
                <w:szCs w:val="18"/>
                <w:rtl w:val="0"/>
              </w:rPr>
              <w:t xml:space="preserve">20</w:t>
            </w:r>
            <w:r>
              <w:rPr>
                <w:rtl w:val="0"/>
              </w:rPr>
            </w:r>
          </w:p>
        </w:tc>
        <w:tc>
          <w:tcPr>
            <w:tcBorders>
              <w:bottom w:val="single" w:sz="18" w:color="000000" w:space="0"/>
            </w:tcBorders>
          </w:tcPr>
          <w:p w:rsidR="00000000" w:rsidDel="00000000" w:rsidP="00000000" w:rsidRDefault="00000000" w:rsidRPr="00000000" w14:paraId="0000009C">
            <w:pPr>
              <w:spacing w:after="0" w:before="0" w:line="480" w:lineRule="auto"/>
              <w:rPr>
                <w:sz w:val="18"/>
                <w:szCs w:val="18"/>
              </w:rPr>
            </w:pPr>
            <w:r>
              <w:rPr>
                <w:i w:val="0"/>
                <w:iCs w:val="0"/>
                <w:sz w:val="18"/>
                <w:szCs w:val="18"/>
                <w:rtl w:val="0"/>
              </w:rPr>
              <w:t xml:space="preserve">20</w:t>
            </w:r>
            <w:r>
              <w:rPr>
                <w:rtl w:val="0"/>
              </w:rPr>
            </w:r>
          </w:p>
        </w:tc>
        <w:tc>
          <w:tcPr>
            <w:tcBorders>
              <w:bottom w:val="single" w:sz="18" w:color="000000" w:space="0"/>
            </w:tcBorders>
          </w:tcPr>
          <w:p w:rsidR="00000000" w:rsidDel="00000000" w:rsidP="00000000" w:rsidRDefault="00000000" w:rsidRPr="00000000" w14:paraId="0000009D">
            <w:pPr>
              <w:spacing w:after="0" w:before="0" w:line="480" w:lineRule="auto"/>
              <w:rPr>
                <w:sz w:val="18"/>
                <w:szCs w:val="18"/>
              </w:rPr>
            </w:pPr>
            <w:r>
              <w:rPr>
                <w:i w:val="0"/>
                <w:iCs w:val="0"/>
                <w:sz w:val="18"/>
                <w:szCs w:val="18"/>
                <w:rtl w:val="0"/>
              </w:rPr>
              <w:t xml:space="preserve">10</w:t>
            </w:r>
            <w:r>
              <w:rPr>
                <w:rtl w:val="0"/>
              </w:rPr>
            </w:r>
          </w:p>
        </w:tc>
        <w:tc>
          <w:tcPr>
            <w:tcBorders>
              <w:bottom w:val="single" w:sz="18" w:color="000000" w:space="0"/>
            </w:tcBorders>
          </w:tcPr>
          <w:p w:rsidR="00000000" w:rsidDel="00000000" w:rsidP="00000000" w:rsidRDefault="00000000" w:rsidRPr="00000000" w14:paraId="0000009E">
            <w:pPr>
              <w:spacing w:after="0" w:before="0" w:line="480" w:lineRule="auto"/>
              <w:rPr>
                <w:sz w:val="18"/>
                <w:szCs w:val="18"/>
              </w:rPr>
            </w:pPr>
            <w:r>
              <w:rPr>
                <w:i w:val="0"/>
                <w:iCs w:val="0"/>
                <w:sz w:val="18"/>
                <w:szCs w:val="18"/>
                <w:rtl w:val="0"/>
              </w:rPr>
              <w:t xml:space="preserve">10</w:t>
            </w:r>
            <w:r>
              <w:rPr>
                <w:rtl w:val="0"/>
              </w:rPr>
            </w:r>
          </w:p>
        </w:tc>
        <w:tc>
          <w:tcPr>
            <w:tcBorders>
              <w:bottom w:val="single" w:sz="18" w:color="000000" w:space="0"/>
            </w:tcBorders>
          </w:tcPr>
          <w:p w:rsidR="00000000" w:rsidDel="00000000" w:rsidP="00000000" w:rsidRDefault="00000000" w:rsidRPr="00000000" w14:paraId="0000009F">
            <w:pPr>
              <w:spacing w:after="0" w:before="0" w:line="480" w:lineRule="auto"/>
              <w:rPr>
                <w:sz w:val="18"/>
                <w:szCs w:val="18"/>
              </w:rPr>
            </w:pPr>
            <w:r>
              <w:rPr>
                <w:i w:val="0"/>
                <w:iCs w:val="0"/>
                <w:sz w:val="18"/>
                <w:szCs w:val="18"/>
                <w:rtl w:val="0"/>
              </w:rPr>
              <w:t xml:space="preserve">60</w:t>
            </w:r>
            <w:r>
              <w:rPr>
                <w:rtl w:val="0"/>
              </w:rPr>
            </w:r>
          </w:p>
        </w:tc>
      </w:tr>
    </w:tbl>
    <w:p w:rsidR="00000000" w:rsidDel="00000000" w:rsidP="00000000" w:rsidRDefault="00000000" w:rsidRPr="00000000" w14:paraId="000000A0">
      <w:pPr>
        <w:spacing w:after="0" w:before="240" w:line="480" w:lineRule="auto"/>
        <w:ind w:firstLine="720"/>
        <w:jc w:val="both"/>
        <w:rPr/>
      </w:pPr>
      <w:r>
        <w:rPr>
          <w:rFonts w:ascii="Georgia" w:hAnsi="Georgia" w:eastAsia="Georgia"/>
          <w:b w:val="0"/>
          <w:sz w:val="22"/>
        </w:rPr>
        <w:t>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7">
      <w:pPr>
        <w:keepNext w:val="1"/>
        <w:spacing w:after="120" w:before="240" w:line="480" w:lineRule="auto"/>
        <w:ind w:firstLine="0"/>
        <w:rPr/>
      </w:pPr>
      <w:r>
        <w:rPr>
          <w:b w:val="1"/>
          <w:bCs w:val="1"/>
          <w:rtl w:val="0"/>
        </w:rPr>
        <w:t xml:space="preserve">Part I: The Formal Repertoire of Student Hedging</w:t>
      </w:r>
      <w:r>
        <w:rPr>
          <w:rtl w:val="0"/>
        </w:rPr>
      </w:r>
    </w:p>
    <w:p w:rsidR="00000000" w:rsidDel="00000000" w:rsidP="00000000" w:rsidRDefault="00000000" w:rsidRPr="00000000" w14:paraId="000000A8">
      <w:pPr>
        <w:spacing w:after="0" w:before="0" w:line="480" w:lineRule="auto"/>
        <w:ind w:firstLine="720"/>
        <w:jc w:val="both"/>
        <w:rPr/>
      </w:pPr>
      <w:r>
        <w:rPr>
          <w:rFonts w:ascii="Georgia" w:hAnsi="Georgia" w:eastAsia="Georgia"/>
          <w:sz w:val="22"/>
        </w:rPr>
        <w:t>Across the 60 abstracts, retained hedges are few relative to the length of the texts, and the stance work they do is concentrated rather than spread through every results line. The inventory is leaner than the abstract baseline Hu and Cao (2011) reported for English-medium applied-linguistics journals, though the fields and the writers are not the same. That comparison is only a rough external benchmark. It situates this undergraduate life-science sample as restrained in how often caution is marked in English, without claiming an equivalent genre or population.</w:t>
      </w:r>
    </w:p>
    <w:p>
      <w:pPr>
        <w:spacing w:line="480" w:lineRule="auto" w:before="0" w:after="0"/>
        <w:ind w:firstLine="720"/>
        <w:jc w:val="both"/>
      </w:pPr>
      <w:r>
        <w:rPr>
          <w:rFonts w:ascii="Georgia" w:hAnsi="Georgia" w:eastAsia="Georgia"/>
          <w:sz w:val="22"/>
        </w:rPr>
        <w:t>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p>
    <w:p w:rsidR="00000000" w:rsidDel="00000000" w:rsidP="00000000" w:rsidRDefault="00000000" w:rsidRPr="00000000" w14:paraId="000000A9">
      <w:pPr>
        <w:keepNext w:val="1"/>
        <w:pageBreakBefore w:val="1"/>
        <w:spacing w:after="0" w:before="720" w:line="480" w:lineRule="auto"/>
        <w:ind w:firstLine="0"/>
        <w:jc w:val="center"/>
        <w:rPr/>
      </w:pPr>
      <w:r>
        <w:rPr>
          <w:rFonts w:ascii="Georgia" w:hAnsi="Georgia" w:eastAsia="Georgia" w:cs="Georgia"/>
          <w:b/>
          <w:sz w:val="24"/>
        </w:rPr>
        <w:t>Table 3</w:t>
      </w:r>
    </w:p>
    <w:p w:rsidR="00000000" w:rsidDel="00000000" w:rsidP="00000000" w:rsidRDefault="00000000" w:rsidRPr="00000000" w14:paraId="000000AA">
      <w:pPr>
        <w:keepNext w:val="1"/>
        <w:spacing w:after="60" w:before="0" w:line="480" w:lineRule="auto"/>
        <w:jc w:val="center"/>
        <w:rPr/>
      </w:pPr>
      <w:r>
        <w:rPr>
          <w:rFonts w:ascii="Georgia" w:hAnsi="Georgia" w:cs="Georgia" w:eastAsia="Georgia"/>
          <w:b w:val="0"/>
          <w:sz w:val="24"/>
          <w:rtl w:val="0"/>
        </w:rPr>
        <w:t>Hedge Types by Count and Discipline</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bottom w:val="single" w:sz="4" w:color="000000" w:space="0"/>
            </w:tcBorders>
          </w:tcPr>
          <w:p>
            <w:pPr>
              <w:spacing w:before="0" w:after="0" w:line="240" w:lineRule="auto"/>
            </w:pPr>
            <w:r>
              <w:rPr>
                <w:rFonts w:ascii="Georgia" w:hAnsi="Georgia" w:cs="Georgia" w:eastAsia="Georgia"/>
                <w:b/>
                <w:sz w:val="18"/>
              </w:rPr>
              <w:t>Hedge type</w:t>
            </w:r>
          </w:p>
        </w:tc>
        <w:tc>
          <w:tcPr>
            <w:tcW w:type="dxa" w:w="1661"/>
            <w:tcBorders>
              <w:bottom w:val="single" w:sz="4" w:color="000000" w:space="0"/>
            </w:tcBorders>
          </w:tcPr>
          <w:p>
            <w:pPr>
              <w:spacing w:before="0" w:after="0" w:line="240" w:lineRule="auto"/>
            </w:pPr>
            <w:r>
              <w:rPr>
                <w:rFonts w:ascii="Georgia" w:hAnsi="Georgia" w:cs="Georgia" w:eastAsia="Georgia"/>
                <w:b/>
                <w:sz w:val="18"/>
              </w:rPr>
              <w:t>Hedges</w:t>
            </w:r>
          </w:p>
        </w:tc>
        <w:tc>
          <w:tcPr>
            <w:tcW w:type="dxa" w:w="1661"/>
            <w:tcBorders>
              <w:bottom w:val="single" w:sz="4" w:color="000000" w:space="0"/>
            </w:tcBorders>
          </w:tcPr>
          <w:p>
            <w:pPr>
              <w:spacing w:before="0" w:after="0" w:line="240" w:lineRule="auto"/>
            </w:pPr>
            <w:r>
              <w:rPr>
                <w:rFonts w:ascii="Georgia" w:hAnsi="Georgia" w:cs="Georgia" w:eastAsia="Georgia"/>
                <w:b/>
                <w:sz w:val="18"/>
              </w:rPr>
              <w:t>Biology</w:t>
            </w:r>
          </w:p>
        </w:tc>
        <w:tc>
          <w:tcPr>
            <w:tcW w:type="dxa" w:w="1661"/>
            <w:tcBorders>
              <w:bottom w:val="single" w:sz="4" w:color="000000" w:space="0"/>
            </w:tcBorders>
          </w:tcPr>
          <w:p>
            <w:pPr>
              <w:spacing w:before="0" w:after="0" w:line="240" w:lineRule="auto"/>
            </w:pPr>
            <w:r>
              <w:rPr>
                <w:rFonts w:ascii="Georgia" w:hAnsi="Georgia" w:cs="Georgia" w:eastAsia="Georgia"/>
                <w:b/>
                <w:sz w:val="18"/>
              </w:rPr>
              <w:t>Veterinary Medicine</w:t>
            </w:r>
          </w:p>
        </w:tc>
        <w:tc>
          <w:tcPr>
            <w:tcW w:type="dxa" w:w="1661"/>
            <w:tcBorders>
              <w:bottom w:val="single" w:sz="4" w:color="000000" w:space="0"/>
            </w:tcBorders>
          </w:tcPr>
          <w:p>
            <w:pPr>
              <w:spacing w:before="0" w:after="0" w:line="240" w:lineRule="auto"/>
            </w:pPr>
            <w:r>
              <w:rPr>
                <w:rFonts w:ascii="Georgia" w:hAnsi="Georgia" w:cs="Georgia" w:eastAsia="Georgia"/>
                <w:b/>
                <w:sz w:val="18"/>
              </w:rPr>
              <w:t>Agriculture</w:t>
            </w:r>
          </w:p>
        </w:tc>
      </w:tr>
      <w:tr>
        <w:trPr>
          <w:cantSplit/>
        </w:trPr>
        <w:tc>
          <w:tcPr>
            <w:tcW w:type="dxa" w:w="1661"/>
          </w:tcPr>
          <w:p>
            <w:pPr>
              <w:spacing w:before="0" w:after="0" w:line="240" w:lineRule="auto"/>
            </w:pPr>
            <w:r>
              <w:rPr>
                <w:rFonts w:ascii="Georgia" w:hAnsi="Georgia" w:cs="Georgia" w:eastAsia="Georgia"/>
                <w:b w:val="0"/>
                <w:sz w:val="18"/>
              </w:rPr>
              <w:t>Modal verbs</w:t>
            </w:r>
          </w:p>
        </w:tc>
        <w:tc>
          <w:tcPr>
            <w:tcW w:type="dxa" w:w="1661"/>
          </w:tcPr>
          <w:p>
            <w:pPr>
              <w:spacing w:before="0" w:after="0" w:line="240" w:lineRule="auto"/>
            </w:pPr>
            <w:r>
              <w:rPr>
                <w:rFonts w:ascii="Georgia" w:hAnsi="Georgia" w:cs="Georgia" w:eastAsia="Georgia"/>
                <w:b w:val="0"/>
                <w:sz w:val="18"/>
              </w:rPr>
              <w:t>can</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5</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could</w:t>
            </w:r>
          </w:p>
        </w:tc>
        <w:tc>
          <w:tcPr>
            <w:tcW w:type="dxa" w:w="1661"/>
          </w:tcPr>
          <w:p>
            <w:pPr>
              <w:spacing w:before="0" w:after="0" w:line="240" w:lineRule="auto"/>
            </w:pPr>
            <w:r>
              <w:rPr>
                <w:rFonts w:ascii="Georgia" w:hAnsi="Georgia" w:cs="Georgia" w:eastAsia="Georgia"/>
                <w:b w:val="0"/>
                <w:sz w:val="18"/>
              </w:rPr>
              <w:t>2</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3</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may</w:t>
            </w:r>
          </w:p>
        </w:tc>
        <w:tc>
          <w:tcPr>
            <w:tcW w:type="dxa" w:w="1661"/>
          </w:tcPr>
          <w:p>
            <w:pPr>
              <w:spacing w:before="0" w:after="0" w:line="240" w:lineRule="auto"/>
            </w:pPr>
            <w:r>
              <w:rPr>
                <w:rFonts w:ascii="Georgia" w:hAnsi="Georgia" w:cs="Georgia" w:eastAsia="Georgia"/>
                <w:b w:val="0"/>
                <w:sz w:val="18"/>
              </w:rPr>
              <w:t>3</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3</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might</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2</w:t>
            </w:r>
          </w:p>
        </w:tc>
      </w:tr>
      <w:tr>
        <w:trPr>
          <w:cantSplit/>
        </w:trPr>
        <w:tc>
          <w:tcPr>
            <w:tcW w:type="dxa" w:w="1661"/>
          </w:tcPr>
          <w:p>
            <w:pPr>
              <w:spacing w:before="0" w:after="0" w:line="240" w:lineRule="auto"/>
            </w:pPr>
            <w:r>
              <w:rPr>
                <w:rFonts w:ascii="Georgia" w:hAnsi="Georgia" w:cs="Georgia" w:eastAsia="Georgia"/>
                <w:b w:val="0"/>
                <w:sz w:val="18"/>
              </w:rPr>
              <w:t>Lexical hedges</w:t>
            </w:r>
          </w:p>
        </w:tc>
        <w:tc>
          <w:tcPr>
            <w:tcW w:type="dxa" w:w="1661"/>
          </w:tcPr>
          <w:p>
            <w:pPr>
              <w:spacing w:before="0" w:after="0" w:line="240" w:lineRule="auto"/>
            </w:pPr>
            <w:r>
              <w:rPr>
                <w:rFonts w:ascii="Georgia" w:hAnsi="Georgia" w:cs="Georgia" w:eastAsia="Georgia"/>
                <w:b w:val="0"/>
                <w:sz w:val="18"/>
              </w:rPr>
              <w:t>potential</w:t>
            </w:r>
          </w:p>
        </w:tc>
        <w:tc>
          <w:tcPr>
            <w:tcW w:type="dxa" w:w="1661"/>
          </w:tcPr>
          <w:p>
            <w:pPr>
              <w:spacing w:before="0" w:after="0" w:line="240" w:lineRule="auto"/>
            </w:pPr>
            <w:r>
              <w:rPr>
                <w:rFonts w:ascii="Georgia" w:hAnsi="Georgia" w:cs="Georgia" w:eastAsia="Georgia"/>
                <w:b w:val="0"/>
                <w:sz w:val="18"/>
              </w:rPr>
              <w:t>10</w:t>
            </w:r>
          </w:p>
        </w:tc>
        <w:tc>
          <w:tcPr>
            <w:tcW w:type="dxa" w:w="1661"/>
          </w:tcPr>
          <w:p>
            <w:pPr>
              <w:spacing w:before="0" w:after="0" w:line="240" w:lineRule="auto"/>
            </w:pPr>
            <w:r>
              <w:rPr>
                <w:rFonts w:ascii="Georgia" w:hAnsi="Georgia" w:cs="Georgia" w:eastAsia="Georgia"/>
                <w:b w:val="0"/>
                <w:sz w:val="18"/>
              </w:rPr>
              <w:t>4</w:t>
            </w:r>
          </w:p>
        </w:tc>
        <w:tc>
          <w:tcPr>
            <w:tcW w:type="dxa" w:w="1661"/>
          </w:tcPr>
          <w:p>
            <w:pPr>
              <w:spacing w:before="0" w:after="0" w:line="240" w:lineRule="auto"/>
            </w:pPr>
            <w:r>
              <w:rPr>
                <w:rFonts w:ascii="Georgia" w:hAnsi="Georgia" w:cs="Georgia" w:eastAsia="Georgia"/>
                <w:b w:val="0"/>
                <w:sz w:val="18"/>
              </w:rPr>
              <w:t>5</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suggest / suggests / suggesting</w:t>
            </w:r>
          </w:p>
        </w:tc>
        <w:tc>
          <w:tcPr>
            <w:tcW w:type="dxa" w:w="1661"/>
          </w:tcPr>
          <w:p>
            <w:pPr>
              <w:spacing w:before="0" w:after="0" w:line="240" w:lineRule="auto"/>
            </w:pPr>
            <w:r>
              <w:rPr>
                <w:rFonts w:ascii="Georgia" w:hAnsi="Georgia" w:cs="Georgia" w:eastAsia="Georgia"/>
                <w:b w:val="0"/>
                <w:sz w:val="18"/>
              </w:rPr>
              <w:t>6</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6</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implies / implying</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2</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indicating / indicates</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1</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likely</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2</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inferring</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possible</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Pr>
          <w:p>
            <w:pPr>
              <w:spacing w:before="0" w:after="0" w:line="240" w:lineRule="auto"/>
            </w:pPr>
            <w:r>
              <w:rPr>
                <w:rFonts w:ascii="Georgia" w:hAnsi="Georgia" w:cs="Georgia" w:eastAsia="Georgia"/>
                <w:b w:val="0"/>
                <w:sz w:val="18"/>
              </w:rPr>
              <w:t>Adverbial hedges</w:t>
            </w:r>
          </w:p>
        </w:tc>
        <w:tc>
          <w:tcPr>
            <w:tcW w:type="dxa" w:w="1661"/>
          </w:tcPr>
          <w:p>
            <w:pPr>
              <w:spacing w:before="0" w:after="0" w:line="240" w:lineRule="auto"/>
            </w:pPr>
            <w:r>
              <w:rPr>
                <w:rFonts w:ascii="Georgia" w:hAnsi="Georgia" w:cs="Georgia" w:eastAsia="Georgia"/>
                <w:b w:val="0"/>
                <w:sz w:val="18"/>
              </w:rPr>
              <w:t>potentially</w:t>
            </w:r>
          </w:p>
        </w:tc>
        <w:tc>
          <w:tcPr>
            <w:tcW w:type="dxa" w:w="1661"/>
          </w:tcPr>
          <w:p>
            <w:pPr>
              <w:spacing w:before="0" w:after="0" w:line="240" w:lineRule="auto"/>
            </w:pPr>
            <w:r>
              <w:rPr>
                <w:rFonts w:ascii="Georgia" w:hAnsi="Georgia" w:cs="Georgia" w:eastAsia="Georgia"/>
                <w:b w:val="0"/>
                <w:sz w:val="18"/>
              </w:rPr>
              <w:t>3</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Pr>
          <w:p>
            <w:pPr>
              <w:spacing w:before="0" w:after="0" w:line="240" w:lineRule="auto"/>
            </w:pPr>
            <w:r>
              <w:rPr>
                <w:rFonts w:ascii="Georgia" w:hAnsi="Georgia" w:cs="Georgia" w:eastAsia="Georgia"/>
                <w:b w:val="0"/>
                <w:sz w:val="18"/>
              </w:rPr>
              <w:t>Clause-level hedges</w:t>
            </w:r>
          </w:p>
        </w:tc>
        <w:tc>
          <w:tcPr>
            <w:tcW w:type="dxa" w:w="1661"/>
          </w:tcPr>
          <w:p>
            <w:pPr>
              <w:spacing w:before="0" w:after="0" w:line="240" w:lineRule="auto"/>
            </w:pPr>
            <w:r>
              <w:rPr>
                <w:rFonts w:ascii="Georgia" w:hAnsi="Georgia" w:cs="Georgia" w:eastAsia="Georgia"/>
                <w:b w:val="0"/>
                <w:sz w:val="18"/>
              </w:rPr>
              <w:t>—</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Total</w:t>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28</w:t>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10</w:t>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27</w:t>
            </w:r>
          </w:p>
        </w:tc>
      </w:tr>
    </w:tbl>
    <w:p w:rsidR="00000000" w:rsidDel="00000000" w:rsidP="00000000" w:rsidRDefault="00000000" w:rsidRPr="00000000" w14:paraId="000000BD">
      <w:pPr>
        <w:spacing w:after="0" w:before="0" w:line="480" w:lineRule="auto"/>
        <w:ind w:firstLine="720"/>
        <w:jc w:val="both"/>
        <w:rPr/>
      </w:pPr>
      <w:r>
        <w:rPr>
          <w:rFonts w:ascii="Georgia" w:hAnsi="Georgia" w:eastAsia="Georgia"/>
          <w:sz w:val="22"/>
        </w:rPr>
        <w:t>The repertoire is lexical first. Writers more often qualify claims with content words such as potential and the suggest family than with modal verbs, and almost never with adverbial hedges. Clause-level packages do not appear. Modal use, when it occurs, is limited to a small set (can, could, may, might), and Agriculture supplies most of the can tokens. Table 3 holds the counts. The linguistic point is the narrow formal range: a few preferred forms do most of the caution work.</w:t>
      </w:r>
    </w:p>
    <w:p>
      <w:pPr>
        <w:spacing w:line="480" w:lineRule="auto" w:before="0" w:after="0"/>
        <w:ind w:firstLine="720"/>
        <w:jc w:val="both"/>
      </w:pPr>
      <w:r>
        <w:rPr>
          <w:rFonts w:ascii="Georgia" w:hAnsi="Georgia" w:eastAsia="Georgia"/>
          <w:sz w:val="22"/>
        </w:rPr>
        <w:t>The three programs do not share the same mix within that narrow range. Agriculture balances modal and lexical caution more evenly. Biology leans heavily on lexical qualification. Veterinary Medicine uses the same lexical preference but with far fewer occasions of either type. The cross-program difference at this level is not access to a wide hedge taxonomy. It is how often, and with which preferred form, writers mark caution at all.</w:t>
      </w:r>
    </w:p>
    <w:p w:rsidR="00000000" w:rsidDel="00000000" w:rsidP="00000000" w:rsidRDefault="00000000" w:rsidRPr="00000000" w14:paraId="00000129">
      <w:pPr>
        <w:spacing w:after="0" w:before="0" w:line="480" w:lineRule="auto"/>
        <w:ind w:firstLine="720"/>
        <w:jc w:val="both"/>
        <w:rPr/>
      </w:pPr>
      <w:r>
        <w:rPr>
          <w:rFonts w:ascii="Georgia" w:hAnsi="Georgia" w:eastAsia="Georgia"/>
          <w:sz w:val="22"/>
        </w:rPr>
        <w:t>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That register leaves little room for the longer clausal packages in which stance is often packaged in student essays or discussion sections.</w:t>
      </w:r>
    </w:p>
    <w:p>
      <w:pPr>
        <w:spacing w:line="480" w:lineRule="auto" w:before="0" w:after="0"/>
        <w:ind w:firstLine="720"/>
        <w:jc w:val="both"/>
      </w:pPr>
      <w:r>
        <w:rPr>
          <w:rFonts w:ascii="Georgia" w:hAnsi="Georgia" w:eastAsia="Georgia"/>
          <w:sz w:val="22"/>
        </w:rPr>
        <w:t>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p>
    <w:p w:rsidR="00000000" w:rsidDel="00000000" w:rsidP="00000000" w:rsidRDefault="00000000" w:rsidRPr="00000000" w14:paraId="0000012D">
      <w:pPr>
        <w:keepNext w:val="1"/>
        <w:spacing w:after="120" w:before="240" w:line="480" w:lineRule="auto"/>
        <w:ind w:firstLine="0"/>
        <w:rPr>
          <w:sz w:val="24"/>
          <w:szCs w:val="24"/>
        </w:rPr>
      </w:pPr>
      <w:r>
        <w:rPr>
          <w:b w:val="1"/>
          <w:bCs w:val="1"/>
          <w:sz w:val="24"/>
          <w:szCs w:val="24"/>
          <w:rtl w:val="0"/>
        </w:rPr>
        <w:t xml:space="preserve">Part II: How Much Caution the Abstracts Display</w:t>
      </w:r>
      <w:r>
        <w:rPr>
          <w:rtl w:val="0"/>
        </w:rPr>
      </w:r>
    </w:p>
    <w:p w:rsidR="00000000" w:rsidDel="00000000" w:rsidP="00000000" w:rsidRDefault="00000000" w:rsidRPr="00000000" w14:paraId="0000012E">
      <w:pPr>
        <w:spacing w:after="0" w:before="0" w:line="480" w:lineRule="auto"/>
        <w:ind w:firstLine="720"/>
        <w:jc w:val="both"/>
        <w:rPr/>
      </w:pPr>
      <w:r>
        <w:rPr>
          <w:rFonts w:ascii="Georgia" w:hAnsi="Georgia" w:eastAsia="Georgia"/>
          <w:sz w:val="22"/>
        </w:rPr>
        <w:t>Part II turns from the formal inventory to how much caution the abstracts actually display in English. The question is comparative across Agriculture, Veterinary Medicine, and Biology: how often retained hedges appear, how often abstracts show none, and what else sits beside those patterns on the same ledger. Table 4 reports the counts. The paragraphs that follow read them as patterns of wording, not as ends in themselves.</w:t>
      </w:r>
    </w:p>
    <w:p w:rsidR="00000000" w:rsidDel="00000000" w:rsidP="00000000" w:rsidRDefault="00000000" w:rsidRPr="00000000" w14:paraId="0000012F">
      <w:pPr>
        <w:keepNext w:val="1"/>
        <w:spacing w:after="0" w:before="720" w:line="480" w:lineRule="auto"/>
        <w:ind w:firstLine="0"/>
        <w:jc w:val="center"/>
        <w:rPr/>
      </w:pPr>
      <w:r>
        <w:rPr>
          <w:rFonts w:ascii="Georgia" w:hAnsi="Georgia" w:eastAsia="Times New Roman" w:cs="Georgia"/>
          <w:b/>
          <w:sz w:val="24"/>
        </w:rPr>
        <w:t>Table 4</w:t>
      </w:r>
    </w:p>
    <w:p w:rsidR="00000000" w:rsidDel="00000000" w:rsidP="00000000" w:rsidRDefault="00000000" w:rsidRPr="00000000" w14:paraId="00000130">
      <w:pPr>
        <w:keepNext w:val="1"/>
        <w:spacing w:after="60" w:before="0" w:line="480" w:lineRule="auto"/>
        <w:jc w:val="center"/>
        <w:rPr/>
      </w:pPr>
      <w:r>
        <w:rPr>
          <w:rtl w:val="0"/>
        </w:rPr>
        <w:t xml:space="preserve">Hedge Frequency by Discipline</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bottom w:val="single" w:sz="4" w:color="000000" w:space="0"/>
            </w:tcBorders>
          </w:tcPr>
          <w:p>
            <w:pPr>
              <w:spacing w:before="0" w:after="0" w:line="240" w:lineRule="auto"/>
            </w:pPr>
            <w:r>
              <w:rPr>
                <w:rFonts w:ascii="Georgia" w:hAnsi="Georgia" w:cs="Georgia" w:eastAsia="Georgia"/>
                <w:b/>
                <w:sz w:val="18"/>
              </w:rPr>
              <w:t>Measure</w:t>
            </w:r>
          </w:p>
        </w:tc>
        <w:tc>
          <w:tcPr>
            <w:tcW w:type="dxa" w:w="1661"/>
            <w:tcBorders>
              <w:bottom w:val="single" w:sz="4" w:color="000000" w:space="0"/>
            </w:tcBorders>
          </w:tcPr>
          <w:p>
            <w:pPr>
              <w:spacing w:before="0" w:after="0" w:line="240" w:lineRule="auto"/>
            </w:pPr>
            <w:r>
              <w:rPr>
                <w:rFonts w:ascii="Georgia" w:hAnsi="Georgia" w:cs="Georgia" w:eastAsia="Georgia"/>
                <w:b/>
                <w:sz w:val="18"/>
              </w:rPr>
              <w:t>Agriculture</w:t>
            </w:r>
          </w:p>
        </w:tc>
        <w:tc>
          <w:tcPr>
            <w:tcW w:type="dxa" w:w="1661"/>
            <w:tcBorders>
              <w:bottom w:val="single" w:sz="4" w:color="000000" w:space="0"/>
            </w:tcBorders>
          </w:tcPr>
          <w:p>
            <w:pPr>
              <w:spacing w:before="0" w:after="0" w:line="240" w:lineRule="auto"/>
            </w:pPr>
            <w:r>
              <w:rPr>
                <w:rFonts w:ascii="Georgia" w:hAnsi="Georgia" w:cs="Georgia" w:eastAsia="Georgia"/>
                <w:b/>
                <w:sz w:val="18"/>
              </w:rPr>
              <w:t>Biology</w:t>
            </w:r>
          </w:p>
        </w:tc>
        <w:tc>
          <w:tcPr>
            <w:tcW w:type="dxa" w:w="1661"/>
            <w:tcBorders>
              <w:bottom w:val="single" w:sz="4" w:color="000000" w:space="0"/>
            </w:tcBorders>
          </w:tcPr>
          <w:p>
            <w:pPr>
              <w:spacing w:before="0" w:after="0" w:line="240" w:lineRule="auto"/>
            </w:pPr>
            <w:r>
              <w:rPr>
                <w:rFonts w:ascii="Georgia" w:hAnsi="Georgia" w:cs="Georgia" w:eastAsia="Georgia"/>
                <w:b/>
                <w:sz w:val="18"/>
              </w:rPr>
              <w:t>Veterinary Medicine</w:t>
            </w:r>
          </w:p>
        </w:tc>
        <w:tc>
          <w:tcPr>
            <w:tcW w:type="dxa" w:w="1661"/>
            <w:tcBorders>
              <w:bottom w:val="single" w:sz="4" w:color="000000" w:space="0"/>
            </w:tcBorders>
          </w:tcPr>
          <w:p>
            <w:pPr>
              <w:spacing w:before="0" w:after="0" w:line="240" w:lineRule="auto"/>
            </w:pPr>
            <w:r>
              <w:rPr>
                <w:rFonts w:ascii="Georgia" w:hAnsi="Georgia" w:cs="Georgia" w:eastAsia="Georgia"/>
                <w:b/>
                <w:sz w:val="18"/>
              </w:rPr>
              <w:t>Total</w:t>
            </w:r>
          </w:p>
        </w:tc>
      </w:tr>
      <w:tr>
        <w:trPr>
          <w:cantSplit/>
        </w:trPr>
        <w:tc>
          <w:tcPr>
            <w:tcW w:type="dxa" w:w="1661"/>
          </w:tcPr>
          <w:p>
            <w:pPr>
              <w:spacing w:before="0" w:after="0" w:line="240" w:lineRule="auto"/>
            </w:pPr>
            <w:r>
              <w:rPr>
                <w:rFonts w:ascii="Georgia" w:hAnsi="Georgia" w:cs="Georgia" w:eastAsia="Georgia"/>
                <w:b/>
                <w:sz w:val="18"/>
              </w:rPr>
              <w:t>Total abstracts</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60</w:t>
            </w:r>
          </w:p>
        </w:tc>
      </w:tr>
      <w:tr>
        <w:trPr>
          <w:cantSplit/>
        </w:trPr>
        <w:tc>
          <w:tcPr>
            <w:tcW w:type="dxa" w:w="1661"/>
          </w:tcPr>
          <w:p>
            <w:pPr>
              <w:spacing w:before="0" w:after="0" w:line="240" w:lineRule="auto"/>
            </w:pPr>
            <w:r>
              <w:rPr>
                <w:rFonts w:ascii="Georgia" w:hAnsi="Georgia" w:cs="Georgia" w:eastAsia="Georgia"/>
                <w:b/>
                <w:sz w:val="18"/>
              </w:rPr>
              <w:t>Words</w:t>
            </w:r>
          </w:p>
        </w:tc>
        <w:tc>
          <w:tcPr>
            <w:tcW w:type="dxa" w:w="1661"/>
          </w:tcPr>
          <w:p>
            <w:pPr>
              <w:spacing w:before="0" w:after="0" w:line="240" w:lineRule="auto"/>
            </w:pPr>
            <w:r>
              <w:rPr>
                <w:rFonts w:ascii="Georgia" w:hAnsi="Georgia" w:cs="Georgia" w:eastAsia="Georgia"/>
                <w:b w:val="0"/>
                <w:sz w:val="18"/>
              </w:rPr>
              <w:t>4,300</w:t>
            </w:r>
          </w:p>
        </w:tc>
        <w:tc>
          <w:tcPr>
            <w:tcW w:type="dxa" w:w="1661"/>
          </w:tcPr>
          <w:p>
            <w:pPr>
              <w:spacing w:before="0" w:after="0" w:line="240" w:lineRule="auto"/>
            </w:pPr>
            <w:r>
              <w:rPr>
                <w:rFonts w:ascii="Georgia" w:hAnsi="Georgia" w:cs="Georgia" w:eastAsia="Georgia"/>
                <w:b w:val="0"/>
                <w:sz w:val="18"/>
              </w:rPr>
              <w:t>4,509</w:t>
            </w:r>
          </w:p>
        </w:tc>
        <w:tc>
          <w:tcPr>
            <w:tcW w:type="dxa" w:w="1661"/>
          </w:tcPr>
          <w:p>
            <w:pPr>
              <w:spacing w:before="0" w:after="0" w:line="240" w:lineRule="auto"/>
            </w:pPr>
            <w:r>
              <w:rPr>
                <w:rFonts w:ascii="Georgia" w:hAnsi="Georgia" w:cs="Georgia" w:eastAsia="Georgia"/>
                <w:b w:val="0"/>
                <w:sz w:val="18"/>
              </w:rPr>
              <w:t>5,060</w:t>
            </w:r>
          </w:p>
        </w:tc>
        <w:tc>
          <w:tcPr>
            <w:tcW w:type="dxa" w:w="1661"/>
          </w:tcPr>
          <w:p>
            <w:pPr>
              <w:spacing w:before="0" w:after="0" w:line="240" w:lineRule="auto"/>
            </w:pPr>
            <w:r>
              <w:rPr>
                <w:rFonts w:ascii="Georgia" w:hAnsi="Georgia" w:cs="Georgia" w:eastAsia="Georgia"/>
                <w:b w:val="0"/>
                <w:sz w:val="18"/>
              </w:rPr>
              <w:t>13,869</w:t>
            </w:r>
          </w:p>
        </w:tc>
      </w:tr>
      <w:tr>
        <w:trPr>
          <w:cantSplit/>
        </w:trPr>
        <w:tc>
          <w:tcPr>
            <w:tcW w:type="dxa" w:w="1661"/>
          </w:tcPr>
          <w:p>
            <w:pPr>
              <w:spacing w:before="0" w:after="0" w:line="240" w:lineRule="auto"/>
            </w:pPr>
            <w:r>
              <w:rPr>
                <w:rFonts w:ascii="Georgia" w:hAnsi="Georgia" w:cs="Georgia" w:eastAsia="Georgia"/>
                <w:b/>
                <w:sz w:val="18"/>
              </w:rPr>
              <w:t>Hedges</w:t>
            </w:r>
          </w:p>
        </w:tc>
        <w:tc>
          <w:tcPr>
            <w:tcW w:type="dxa" w:w="1661"/>
          </w:tcPr>
          <w:p>
            <w:pPr>
              <w:spacing w:before="0" w:after="0" w:line="240" w:lineRule="auto"/>
            </w:pPr>
            <w:r>
              <w:rPr>
                <w:rFonts w:ascii="Georgia" w:hAnsi="Georgia" w:cs="Georgia" w:eastAsia="Georgia"/>
                <w:b w:val="0"/>
                <w:sz w:val="18"/>
              </w:rPr>
              <w:t>27</w:t>
            </w:r>
          </w:p>
        </w:tc>
        <w:tc>
          <w:tcPr>
            <w:tcW w:type="dxa" w:w="1661"/>
          </w:tcPr>
          <w:p>
            <w:pPr>
              <w:spacing w:before="0" w:after="0" w:line="240" w:lineRule="auto"/>
            </w:pPr>
            <w:r>
              <w:rPr>
                <w:rFonts w:ascii="Georgia" w:hAnsi="Georgia" w:cs="Georgia" w:eastAsia="Georgia"/>
                <w:b w:val="0"/>
                <w:sz w:val="18"/>
              </w:rPr>
              <w:t>28</w:t>
            </w:r>
          </w:p>
        </w:tc>
        <w:tc>
          <w:tcPr>
            <w:tcW w:type="dxa" w:w="1661"/>
          </w:tcPr>
          <w:p>
            <w:pPr>
              <w:spacing w:before="0" w:after="0" w:line="240" w:lineRule="auto"/>
            </w:pPr>
            <w:r>
              <w:rPr>
                <w:rFonts w:ascii="Georgia" w:hAnsi="Georgia" w:cs="Georgia" w:eastAsia="Georgia"/>
                <w:b w:val="0"/>
                <w:sz w:val="18"/>
              </w:rPr>
              <w:t>10</w:t>
            </w:r>
          </w:p>
        </w:tc>
        <w:tc>
          <w:tcPr>
            <w:tcW w:type="dxa" w:w="1661"/>
          </w:tcPr>
          <w:p>
            <w:pPr>
              <w:spacing w:before="0" w:after="0" w:line="240" w:lineRule="auto"/>
            </w:pPr>
            <w:r>
              <w:rPr>
                <w:rFonts w:ascii="Georgia" w:hAnsi="Georgia" w:cs="Georgia" w:eastAsia="Georgia"/>
                <w:b w:val="0"/>
                <w:sz w:val="18"/>
              </w:rPr>
              <w:t>65</w:t>
            </w:r>
          </w:p>
        </w:tc>
      </w:tr>
      <w:tr>
        <w:trPr>
          <w:cantSplit/>
        </w:trPr>
        <w:tc>
          <w:tcPr>
            <w:tcW w:type="dxa" w:w="1661"/>
          </w:tcPr>
          <w:p>
            <w:pPr>
              <w:spacing w:before="0" w:after="0" w:line="240" w:lineRule="auto"/>
            </w:pPr>
            <w:r>
              <w:rPr>
                <w:rFonts w:ascii="Georgia" w:hAnsi="Georgia" w:cs="Georgia" w:eastAsia="Georgia"/>
                <w:b/>
                <w:sz w:val="18"/>
              </w:rPr>
              <w:t>Hedges/100w</w:t>
            </w:r>
          </w:p>
        </w:tc>
        <w:tc>
          <w:tcPr>
            <w:tcW w:type="dxa" w:w="1661"/>
          </w:tcPr>
          <w:p>
            <w:pPr>
              <w:spacing w:before="0" w:after="0" w:line="240" w:lineRule="auto"/>
            </w:pPr>
            <w:r>
              <w:rPr>
                <w:rFonts w:ascii="Georgia" w:hAnsi="Georgia" w:cs="Georgia" w:eastAsia="Georgia"/>
                <w:b w:val="0"/>
                <w:sz w:val="18"/>
              </w:rPr>
              <w:t>0.63</w:t>
            </w:r>
          </w:p>
        </w:tc>
        <w:tc>
          <w:tcPr>
            <w:tcW w:type="dxa" w:w="1661"/>
          </w:tcPr>
          <w:p>
            <w:pPr>
              <w:spacing w:before="0" w:after="0" w:line="240" w:lineRule="auto"/>
            </w:pPr>
            <w:r>
              <w:rPr>
                <w:rFonts w:ascii="Georgia" w:hAnsi="Georgia" w:cs="Georgia" w:eastAsia="Georgia"/>
                <w:b w:val="0"/>
                <w:sz w:val="18"/>
              </w:rPr>
              <w:t>0.62</w:t>
            </w:r>
          </w:p>
        </w:tc>
        <w:tc>
          <w:tcPr>
            <w:tcW w:type="dxa" w:w="1661"/>
          </w:tcPr>
          <w:p>
            <w:pPr>
              <w:spacing w:before="0" w:after="0" w:line="240" w:lineRule="auto"/>
            </w:pPr>
            <w:r>
              <w:rPr>
                <w:rFonts w:ascii="Georgia" w:hAnsi="Georgia" w:cs="Georgia" w:eastAsia="Georgia"/>
                <w:b w:val="0"/>
                <w:sz w:val="18"/>
              </w:rPr>
              <w:t>0.20</w:t>
            </w:r>
          </w:p>
        </w:tc>
        <w:tc>
          <w:tcPr>
            <w:tcW w:type="dxa" w:w="1661"/>
          </w:tcPr>
          <w:p>
            <w:pPr>
              <w:spacing w:before="0" w:after="0" w:line="240" w:lineRule="auto"/>
            </w:pPr>
            <w:r>
              <w:rPr>
                <w:rFonts w:ascii="Georgia" w:hAnsi="Georgia" w:cs="Georgia" w:eastAsia="Georgia"/>
                <w:b w:val="0"/>
                <w:sz w:val="18"/>
              </w:rPr>
              <w:t>0.47</w:t>
            </w:r>
          </w:p>
        </w:tc>
      </w:tr>
      <w:tr>
        <w:trPr>
          <w:cantSplit/>
        </w:trPr>
        <w:tc>
          <w:tcPr>
            <w:tcW w:type="dxa" w:w="1661"/>
          </w:tcPr>
          <w:p>
            <w:pPr>
              <w:spacing w:before="0" w:after="0" w:line="240" w:lineRule="auto"/>
            </w:pPr>
            <w:r>
              <w:rPr>
                <w:rFonts w:ascii="Georgia" w:hAnsi="Georgia" w:cs="Georgia" w:eastAsia="Georgia"/>
                <w:b/>
                <w:sz w:val="18"/>
              </w:rPr>
              <w:t>Zero-hedge abstracts</w:t>
            </w:r>
          </w:p>
        </w:tc>
        <w:tc>
          <w:tcPr>
            <w:tcW w:type="dxa" w:w="1661"/>
          </w:tcPr>
          <w:p>
            <w:pPr>
              <w:spacing w:before="0" w:after="0" w:line="240" w:lineRule="auto"/>
            </w:pPr>
            <w:r>
              <w:rPr>
                <w:rFonts w:ascii="Georgia" w:hAnsi="Georgia" w:cs="Georgia" w:eastAsia="Georgia"/>
                <w:b w:val="0"/>
                <w:sz w:val="18"/>
              </w:rPr>
              <w:t>8</w:t>
            </w:r>
          </w:p>
        </w:tc>
        <w:tc>
          <w:tcPr>
            <w:tcW w:type="dxa" w:w="1661"/>
          </w:tcPr>
          <w:p>
            <w:pPr>
              <w:spacing w:before="0" w:after="0" w:line="240" w:lineRule="auto"/>
            </w:pPr>
            <w:r>
              <w:rPr>
                <w:rFonts w:ascii="Georgia" w:hAnsi="Georgia" w:cs="Georgia" w:eastAsia="Georgia"/>
                <w:b w:val="0"/>
                <w:sz w:val="18"/>
              </w:rPr>
              <w:t>5</w:t>
            </w:r>
          </w:p>
        </w:tc>
        <w:tc>
          <w:tcPr>
            <w:tcW w:type="dxa" w:w="1661"/>
          </w:tcPr>
          <w:p>
            <w:pPr>
              <w:spacing w:before="0" w:after="0" w:line="240" w:lineRule="auto"/>
            </w:pPr>
            <w:r>
              <w:rPr>
                <w:rFonts w:ascii="Georgia" w:hAnsi="Georgia" w:cs="Georgia" w:eastAsia="Georgia"/>
                <w:b w:val="0"/>
                <w:sz w:val="18"/>
              </w:rPr>
              <w:t>12</w:t>
            </w:r>
          </w:p>
        </w:tc>
        <w:tc>
          <w:tcPr>
            <w:tcW w:type="dxa" w:w="1661"/>
          </w:tcPr>
          <w:p>
            <w:pPr>
              <w:spacing w:before="0" w:after="0" w:line="240" w:lineRule="auto"/>
            </w:pPr>
            <w:r>
              <w:rPr>
                <w:rFonts w:ascii="Georgia" w:hAnsi="Georgia" w:cs="Georgia" w:eastAsia="Georgia"/>
                <w:b w:val="0"/>
                <w:sz w:val="18"/>
              </w:rPr>
              <w:t>25</w:t>
            </w:r>
          </w:p>
        </w:tc>
      </w:tr>
      <w:tr>
        <w:trPr>
          <w:cantSplit/>
        </w:trPr>
        <w:tc>
          <w:tcPr>
            <w:tcW w:type="dxa" w:w="1661"/>
          </w:tcPr>
          <w:p>
            <w:pPr>
              <w:spacing w:before="0" w:after="0" w:line="240" w:lineRule="auto"/>
            </w:pPr>
            <w:r>
              <w:rPr>
                <w:rFonts w:ascii="Georgia" w:hAnsi="Georgia" w:cs="Georgia" w:eastAsia="Georgia"/>
                <w:b/>
                <w:sz w:val="18"/>
              </w:rPr>
              <w:t>False positives</w:t>
            </w:r>
          </w:p>
        </w:tc>
        <w:tc>
          <w:tcPr>
            <w:tcW w:type="dxa" w:w="1661"/>
          </w:tcPr>
          <w:p>
            <w:pPr>
              <w:spacing w:before="0" w:after="0" w:line="240" w:lineRule="auto"/>
            </w:pPr>
            <w:r>
              <w:rPr>
                <w:rFonts w:ascii="Georgia" w:hAnsi="Georgia" w:cs="Georgia" w:eastAsia="Georgia"/>
                <w:b w:val="0"/>
                <w:sz w:val="18"/>
              </w:rPr>
              <w:t>17</w:t>
            </w:r>
          </w:p>
        </w:tc>
        <w:tc>
          <w:tcPr>
            <w:tcW w:type="dxa" w:w="1661"/>
          </w:tcPr>
          <w:p>
            <w:pPr>
              <w:spacing w:before="0" w:after="0" w:line="240" w:lineRule="auto"/>
            </w:pPr>
            <w:r>
              <w:rPr>
                <w:rFonts w:ascii="Georgia" w:hAnsi="Georgia" w:cs="Georgia" w:eastAsia="Georgia"/>
                <w:b w:val="0"/>
                <w:sz w:val="18"/>
              </w:rPr>
              <w:t>34</w:t>
            </w:r>
          </w:p>
        </w:tc>
        <w:tc>
          <w:tcPr>
            <w:tcW w:type="dxa" w:w="1661"/>
          </w:tcPr>
          <w:p>
            <w:pPr>
              <w:spacing w:before="0" w:after="0" w:line="240" w:lineRule="auto"/>
            </w:pPr>
            <w:r>
              <w:rPr>
                <w:rFonts w:ascii="Georgia" w:hAnsi="Georgia" w:cs="Georgia" w:eastAsia="Georgia"/>
                <w:b w:val="0"/>
                <w:sz w:val="18"/>
              </w:rPr>
              <w:t>14</w:t>
            </w:r>
          </w:p>
        </w:tc>
        <w:tc>
          <w:tcPr>
            <w:tcW w:type="dxa" w:w="1661"/>
          </w:tcPr>
          <w:p>
            <w:pPr>
              <w:spacing w:before="0" w:after="0" w:line="240" w:lineRule="auto"/>
            </w:pPr>
            <w:r>
              <w:rPr>
                <w:rFonts w:ascii="Georgia" w:hAnsi="Georgia" w:cs="Georgia" w:eastAsia="Georgia"/>
                <w:b w:val="0"/>
                <w:sz w:val="18"/>
              </w:rPr>
              <w:t>65</w:t>
            </w:r>
          </w:p>
        </w:tc>
      </w:tr>
      <w:tr>
        <w:trPr>
          <w:cantSplit/>
        </w:trPr>
        <w:tc>
          <w:tcPr>
            <w:tcW w:type="dxa" w:w="1661"/>
            <w:tcBorders>
              <w:bottom w:val="single" w:sz="18" w:color="000000" w:space="0"/>
            </w:tcBorders>
          </w:tcPr>
          <w:p>
            <w:pPr>
              <w:spacing w:before="0" w:after="0" w:line="240" w:lineRule="auto"/>
            </w:pPr>
            <w:r>
              <w:rPr>
                <w:rFonts w:ascii="Georgia" w:hAnsi="Georgia" w:cs="Georgia" w:eastAsia="Georgia"/>
                <w:b/>
                <w:sz w:val="18"/>
              </w:rPr>
              <w:t>Unhedged claims</w:t>
            </w:r>
          </w:p>
        </w:tc>
        <w:tc>
          <w:tcPr>
            <w:tcW w:type="dxa" w:w="1661"/>
            <w:tcBorders>
              <w:bottom w:val="single" w:sz="18" w:color="000000" w:space="0"/>
            </w:tcBorders>
          </w:tcPr>
          <w:p>
            <w:pPr>
              <w:spacing w:before="0" w:after="0" w:line="240" w:lineRule="auto"/>
            </w:pPr>
            <w:r>
              <w:rPr>
                <w:rFonts w:ascii="Georgia" w:hAnsi="Georgia" w:cs="Georgia" w:eastAsia="Georgia"/>
                <w:b w:val="0"/>
                <w:sz w:val="18"/>
              </w:rPr>
              <w:t>6</w:t>
            </w:r>
          </w:p>
        </w:tc>
        <w:tc>
          <w:tcPr>
            <w:tcW w:type="dxa" w:w="1661"/>
            <w:tcBorders>
              <w:bottom w:val="single" w:sz="18" w:color="000000" w:space="0"/>
            </w:tcBorders>
          </w:tcPr>
          <w:p>
            <w:pPr>
              <w:spacing w:before="0" w:after="0" w:line="240" w:lineRule="auto"/>
            </w:pPr>
            <w:r>
              <w:rPr>
                <w:rFonts w:ascii="Georgia" w:hAnsi="Georgia" w:cs="Georgia" w:eastAsia="Georgia"/>
                <w:b w:val="0"/>
                <w:sz w:val="18"/>
              </w:rPr>
              <w:t>4</w:t>
            </w:r>
          </w:p>
        </w:tc>
        <w:tc>
          <w:tcPr>
            <w:tcW w:type="dxa" w:w="1661"/>
            <w:tcBorders>
              <w:bottom w:val="single" w:sz="18" w:color="000000" w:space="0"/>
            </w:tcBorders>
          </w:tcPr>
          <w:p>
            <w:pPr>
              <w:spacing w:before="0" w:after="0" w:line="240" w:lineRule="auto"/>
            </w:pPr>
            <w:r>
              <w:rPr>
                <w:rFonts w:ascii="Georgia" w:hAnsi="Georgia" w:cs="Georgia" w:eastAsia="Georgia"/>
                <w:b w:val="0"/>
                <w:sz w:val="18"/>
              </w:rPr>
              <w:t>4</w:t>
            </w:r>
          </w:p>
        </w:tc>
        <w:tc>
          <w:tcPr>
            <w:tcW w:type="dxa" w:w="1661"/>
            <w:tcBorders>
              <w:bottom w:val="single" w:sz="18" w:color="000000" w:space="0"/>
            </w:tcBorders>
          </w:tcPr>
          <w:p>
            <w:pPr>
              <w:spacing w:before="0" w:after="0" w:line="240" w:lineRule="auto"/>
            </w:pPr>
            <w:r>
              <w:rPr>
                <w:rFonts w:ascii="Georgia" w:hAnsi="Georgia" w:cs="Georgia" w:eastAsia="Georgia"/>
                <w:b w:val="0"/>
                <w:sz w:val="18"/>
              </w:rPr>
              <w:t>14</w:t>
            </w:r>
          </w:p>
        </w:tc>
      </w:tr>
    </w:tbl>
    <w:p w:rsidR="00000000" w:rsidDel="00000000" w:rsidP="00000000" w:rsidRDefault="00000000" w:rsidRPr="00000000" w14:paraId="0000015B">
      <w:pPr>
        <w:spacing w:after="0" w:before="0" w:line="480" w:lineRule="auto"/>
        <w:ind w:firstLine="720"/>
        <w:jc w:val="both"/>
        <w:rPr/>
      </w:pPr>
      <w:r>
        <w:rPr>
          <w:rFonts w:ascii="Georgia" w:hAnsi="Georgia" w:eastAsia="Georgia"/>
          <w:sz w:val="22"/>
        </w:rPr>
        <w:t>Biology and Agriculture mark caution with similar frequency overall. Veterinary Medicine marks it far less often. In linguistic terms, Bio and Ag abstracts more often contain at least some epistemic softening of findings or implications, while many VM abstracts stay with direct results wording from start to finish. Table 4 records the densities. The practical reading is that the Agriculture–Biology gap is negligible in how the English behaves, and Veterinary Medicine is the low-caution corner of the sample.</w:t>
      </w:r>
    </w:p>
    <w:p w:rsidR="00000000" w:rsidDel="00000000" w:rsidP="00000000" w:rsidRDefault="00000000" w:rsidRPr="00000000" w14:paraId="0000015C">
      <w:pPr>
        <w:spacing w:after="0" w:before="0" w:line="480" w:lineRule="auto"/>
        <w:ind w:firstLine="720"/>
        <w:jc w:val="both"/>
        <w:rPr/>
      </w:pPr>
      <w:r>
        <w:rPr>
          <w:rFonts w:ascii="Georgia" w:hAnsi="Georgia" w:eastAsia="Georgia"/>
          <w:sz w:val="22"/>
        </w:rPr>
        <w:t>Abstracts with no retained hedge make that contrast sharper. More than half of the Veterinary Medicine abstracts never open an epistemic softener under the coding rules, while Biology and Agriculture more often include at least one. The VM pattern is therefore not only “fewer tokens per text.” It is a higher share of abstracts whose English never leaves the unsoftened reporting of results.</w:t>
      </w:r>
    </w:p>
    <w:p>
      <w:pPr>
        <w:spacing w:line="480" w:lineRule="auto" w:before="0" w:after="0"/>
        <w:ind w:firstLine="720"/>
        <w:jc w:val="both"/>
      </w:pPr>
      <w:r>
        <w:rPr>
          <w:rFonts w:ascii="Georgia" w:hAnsi="Georgia" w:eastAsia="Georgia"/>
          <w:sz w:val="22"/>
        </w:rPr>
        <w:t>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4.1 illustrates the two subtypes with excerpts from the coded corpus.</w:t>
      </w:r>
    </w:p>
    <w:p>
      <w:pPr>
        <w:spacing w:line="480" w:lineRule="auto"/>
        <w:ind w:firstLine="0"/>
        <w:jc w:val="center"/>
      </w:pPr>
      <w:r>
        <w:rPr>
          <w:b/>
          <w:sz w:val="22"/>
        </w:rPr>
        <w:t>Table 4.1</w:t>
      </w:r>
    </w:p>
    <w:p>
      <w:pPr>
        <w:spacing w:line="480" w:lineRule="auto"/>
        <w:ind w:firstLine="0"/>
        <w:jc w:val="center"/>
      </w:pPr>
      <w:r>
        <w:rPr>
          <w:i/>
          <w:sz w:val="22"/>
        </w:rPr>
        <w:t>Illustrative Unhedged Claims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top w:val="single" w:sz="18" w:space="0" w:color="000000"/>
              <w:bottom w:val="single" w:sz="4" w:space="0" w:color="000000"/>
            </w:tcBorders>
          </w:tcPr>
          <w:p>
            <w:pPr>
              <w:spacing w:before="0" w:after="0"/>
            </w:pPr>
            <w:r>
              <w:rPr>
                <w:b/>
                <w:sz w:val="16"/>
              </w:rPr>
              <w:t>ID</w:t>
            </w:r>
          </w:p>
        </w:tc>
        <w:tc>
          <w:tcPr>
            <w:tcW w:type="dxa" w:w="1661"/>
            <w:tcBorders>
              <w:top w:val="single" w:sz="18" w:space="0" w:color="000000"/>
              <w:bottom w:val="single" w:sz="4" w:space="0" w:color="000000"/>
            </w:tcBorders>
          </w:tcPr>
          <w:p>
            <w:pPr>
              <w:spacing w:before="0" w:after="0"/>
            </w:pPr>
            <w:r>
              <w:rPr>
                <w:b/>
                <w:sz w:val="16"/>
              </w:rPr>
              <w:t>Discipline</w:t>
            </w:r>
          </w:p>
        </w:tc>
        <w:tc>
          <w:tcPr>
            <w:tcW w:type="dxa" w:w="1661"/>
            <w:tcBorders>
              <w:top w:val="single" w:sz="18" w:space="0" w:color="000000"/>
              <w:bottom w:val="single" w:sz="4" w:space="0" w:color="000000"/>
            </w:tcBorders>
          </w:tcPr>
          <w:p>
            <w:pPr>
              <w:spacing w:before="0" w:after="0"/>
            </w:pPr>
            <w:r>
              <w:rPr>
                <w:b/>
                <w:sz w:val="16"/>
              </w:rPr>
              <w:t>Subtype</w:t>
            </w:r>
          </w:p>
        </w:tc>
        <w:tc>
          <w:tcPr>
            <w:tcW w:type="dxa" w:w="1661"/>
            <w:tcBorders>
              <w:top w:val="single" w:sz="18" w:space="0" w:color="000000"/>
              <w:bottom w:val="single" w:sz="4" w:space="0" w:color="000000"/>
            </w:tcBorders>
          </w:tcPr>
          <w:p>
            <w:pPr>
              <w:spacing w:before="0" w:after="0"/>
            </w:pPr>
            <w:r>
              <w:rPr>
                <w:b/>
                <w:sz w:val="16"/>
              </w:rPr>
              <w:t>Excerpt</w:t>
            </w:r>
          </w:p>
        </w:tc>
        <w:tc>
          <w:tcPr>
            <w:tcW w:type="dxa" w:w="1661"/>
            <w:tcBorders>
              <w:top w:val="single" w:sz="18" w:space="0" w:color="000000"/>
              <w:bottom w:val="single" w:sz="4" w:space="0" w:color="000000"/>
            </w:tcBorders>
          </w:tcPr>
          <w:p>
            <w:pPr>
              <w:spacing w:before="0" w:after="0"/>
            </w:pPr>
            <w:r>
              <w:rPr>
                <w:b/>
                <w:sz w:val="16"/>
              </w:rPr>
              <w:t>Why unhedged</w:t>
            </w:r>
          </w:p>
        </w:tc>
      </w:tr>
      <w:tr>
        <w:trPr>
          <w:cantSplit/>
        </w:trPr>
        <w:tc>
          <w:tcPr>
            <w:tcW w:type="dxa" w:w="1661"/>
          </w:tcPr>
          <w:p>
            <w:pPr>
              <w:spacing w:before="0" w:after="0"/>
            </w:pPr>
            <w:r>
              <w:rPr>
                <w:b w:val="0"/>
                <w:sz w:val="16"/>
              </w:rPr>
              <w:t>B6</w:t>
            </w:r>
          </w:p>
        </w:tc>
        <w:tc>
          <w:tcPr>
            <w:tcW w:type="dxa" w:w="1661"/>
          </w:tcPr>
          <w:p>
            <w:pPr>
              <w:spacing w:before="0" w:after="0"/>
            </w:pPr>
            <w:r>
              <w:rPr>
                <w:b w:val="0"/>
                <w:sz w:val="16"/>
              </w:rPr>
              <w:t>Biology</w:t>
            </w:r>
          </w:p>
        </w:tc>
        <w:tc>
          <w:tcPr>
            <w:tcW w:type="dxa" w:w="1661"/>
          </w:tcPr>
          <w:p>
            <w:pPr>
              <w:spacing w:before="0" w:after="0"/>
            </w:pPr>
            <w:r>
              <w:rPr>
                <w:b w:val="0"/>
                <w:sz w:val="16"/>
              </w:rPr>
              <w:t>G</w:t>
            </w:r>
          </w:p>
        </w:tc>
        <w:tc>
          <w:tcPr>
            <w:tcW w:type="dxa" w:w="1661"/>
          </w:tcPr>
          <w:p>
            <w:pPr>
              <w:spacing w:before="0" w:after="0"/>
            </w:pPr>
            <w:r>
              <w:rPr>
                <w:b w:val="0"/>
                <w:sz w:val="16"/>
              </w:rPr>
              <w:t>…making them a weak, unsuitable material to use in building walkways.</w:t>
            </w:r>
          </w:p>
        </w:tc>
        <w:tc>
          <w:tcPr>
            <w:tcW w:type="dxa" w:w="1661"/>
          </w:tcPr>
          <w:p>
            <w:pPr>
              <w:spacing w:before="0" w:after="0"/>
            </w:pPr>
            <w:r>
              <w:rPr>
                <w:b w:val="0"/>
                <w:sz w:val="16"/>
              </w:rPr>
              <w:t>Ranks eco-bricks as unsuitable for a use beyond the measured drop-test result.</w:t>
            </w:r>
          </w:p>
        </w:tc>
      </w:tr>
      <w:tr>
        <w:trPr>
          <w:cantSplit/>
        </w:trPr>
        <w:tc>
          <w:tcPr>
            <w:tcW w:type="dxa" w:w="1661"/>
          </w:tcPr>
          <w:p>
            <w:pPr>
              <w:spacing w:before="0" w:after="0"/>
            </w:pPr>
            <w:r>
              <w:rPr>
                <w:b w:val="0"/>
                <w:sz w:val="16"/>
              </w:rPr>
              <w:t>B9</w:t>
            </w:r>
          </w:p>
        </w:tc>
        <w:tc>
          <w:tcPr>
            <w:tcW w:type="dxa" w:w="1661"/>
          </w:tcPr>
          <w:p>
            <w:pPr>
              <w:spacing w:before="0" w:after="0"/>
            </w:pPr>
            <w:r>
              <w:rPr>
                <w:b w:val="0"/>
                <w:sz w:val="16"/>
              </w:rPr>
              <w:t>Biology</w:t>
            </w:r>
          </w:p>
        </w:tc>
        <w:tc>
          <w:tcPr>
            <w:tcW w:type="dxa" w:w="1661"/>
          </w:tcPr>
          <w:p>
            <w:pPr>
              <w:spacing w:before="0" w:after="0"/>
            </w:pPr>
            <w:r>
              <w:rPr>
                <w:b w:val="0"/>
                <w:sz w:val="16"/>
              </w:rPr>
              <w:t>C</w:t>
            </w:r>
          </w:p>
        </w:tc>
        <w:tc>
          <w:tcPr>
            <w:tcW w:type="dxa" w:w="1661"/>
          </w:tcPr>
          <w:p>
            <w:pPr>
              <w:spacing w:before="0" w:after="0"/>
            </w:pPr>
            <w:r>
              <w:rPr>
                <w:b w:val="0"/>
                <w:sz w:val="16"/>
              </w:rPr>
              <w:t>…pure MSG and pure ethanolic leaf extract of Z. talanai caused the lesions / aberrations to the liver and kidney.</w:t>
            </w:r>
          </w:p>
        </w:tc>
        <w:tc>
          <w:tcPr>
            <w:tcW w:type="dxa" w:w="1661"/>
          </w:tcPr>
          <w:p>
            <w:pPr>
              <w:spacing w:before="0" w:after="0"/>
            </w:pPr>
            <w:r>
              <w:rPr>
                <w:b w:val="0"/>
                <w:sz w:val="16"/>
              </w:rPr>
              <w:t>States causation more strongly than a single experimental design alone supports.</w:t>
            </w:r>
          </w:p>
        </w:tc>
      </w:tr>
      <w:tr>
        <w:trPr>
          <w:cantSplit/>
        </w:trPr>
        <w:tc>
          <w:tcPr>
            <w:tcW w:type="dxa" w:w="1661"/>
          </w:tcPr>
          <w:p>
            <w:pPr>
              <w:spacing w:before="0" w:after="0"/>
            </w:pPr>
            <w:r>
              <w:rPr>
                <w:b w:val="0"/>
                <w:sz w:val="16"/>
              </w:rPr>
              <w:t>Acs10</w:t>
            </w:r>
          </w:p>
        </w:tc>
        <w:tc>
          <w:tcPr>
            <w:tcW w:type="dxa" w:w="1661"/>
          </w:tcPr>
          <w:p>
            <w:pPr>
              <w:spacing w:before="0" w:after="0"/>
            </w:pPr>
            <w:r>
              <w:rPr>
                <w:b w:val="0"/>
                <w:sz w:val="16"/>
              </w:rPr>
              <w:t>Agriculture</w:t>
            </w:r>
          </w:p>
        </w:tc>
        <w:tc>
          <w:tcPr>
            <w:tcW w:type="dxa" w:w="1661"/>
          </w:tcPr>
          <w:p>
            <w:pPr>
              <w:spacing w:before="0" w:after="0"/>
            </w:pPr>
            <w:r>
              <w:rPr>
                <w:b w:val="0"/>
                <w:sz w:val="16"/>
              </w:rPr>
              <w:t>G</w:t>
            </w:r>
          </w:p>
        </w:tc>
        <w:tc>
          <w:tcPr>
            <w:tcW w:type="dxa" w:w="1661"/>
          </w:tcPr>
          <w:p>
            <w:pPr>
              <w:spacing w:before="0" w:after="0"/>
            </w:pPr>
            <w:r>
              <w:rPr>
                <w:b w:val="0"/>
                <w:sz w:val="16"/>
              </w:rPr>
              <w:t>…T3: NPK+14-14-14 was the most compelling treatment among all treatments…</w:t>
            </w:r>
          </w:p>
        </w:tc>
        <w:tc>
          <w:tcPr>
            <w:tcW w:type="dxa" w:w="1661"/>
          </w:tcPr>
          <w:p>
            <w:pPr>
              <w:spacing w:before="0" w:after="0"/>
            </w:pPr>
            <w:r>
              <w:rPr>
                <w:b w:val="0"/>
                <w:sz w:val="16"/>
              </w:rPr>
              <w:t>Generalizes a ranking (“most compelling”) beyond a comparative description of the trial.</w:t>
            </w:r>
          </w:p>
        </w:tc>
      </w:tr>
      <w:tr>
        <w:trPr>
          <w:cantSplit/>
        </w:trPr>
        <w:tc>
          <w:tcPr>
            <w:tcW w:type="dxa" w:w="1661"/>
            <w:tcBorders>
              <w:bottom w:val="single" w:sz="18" w:space="0" w:color="000000"/>
            </w:tcBorders>
          </w:tcPr>
          <w:p>
            <w:pPr>
              <w:spacing w:before="0" w:after="0"/>
            </w:pPr>
            <w:r>
              <w:rPr>
                <w:b w:val="0"/>
                <w:sz w:val="16"/>
              </w:rPr>
              <w:t>VM16</w:t>
            </w:r>
          </w:p>
        </w:tc>
        <w:tc>
          <w:tcPr>
            <w:tcW w:type="dxa" w:w="1661"/>
            <w:tcBorders>
              <w:bottom w:val="single" w:sz="18" w:space="0" w:color="000000"/>
            </w:tcBorders>
          </w:tcPr>
          <w:p>
            <w:pPr>
              <w:spacing w:before="0" w:after="0"/>
            </w:pPr>
            <w:r>
              <w:rPr>
                <w:b w:val="0"/>
                <w:sz w:val="16"/>
              </w:rPr>
              <w:t>Veterinary Medicine</w:t>
            </w:r>
          </w:p>
        </w:tc>
        <w:tc>
          <w:tcPr>
            <w:tcW w:type="dxa" w:w="1661"/>
            <w:tcBorders>
              <w:bottom w:val="single" w:sz="18" w:space="0" w:color="000000"/>
            </w:tcBorders>
          </w:tcPr>
          <w:p>
            <w:pPr>
              <w:spacing w:before="0" w:after="0"/>
            </w:pPr>
            <w:r>
              <w:rPr>
                <w:b w:val="0"/>
                <w:sz w:val="16"/>
              </w:rPr>
              <w:t>G</w:t>
            </w:r>
          </w:p>
        </w:tc>
        <w:tc>
          <w:tcPr>
            <w:tcW w:type="dxa" w:w="1661"/>
            <w:tcBorders>
              <w:bottom w:val="single" w:sz="18" w:space="0" w:color="000000"/>
            </w:tcBorders>
          </w:tcPr>
          <w:p>
            <w:pPr>
              <w:spacing w:before="0" w:after="0"/>
            </w:pPr>
            <w:r>
              <w:rPr>
                <w:b w:val="0"/>
                <w:sz w:val="16"/>
              </w:rPr>
              <w:t>…Noni fruit ethanolic extract with 40% concentration has antibacterial property.</w:t>
            </w:r>
          </w:p>
        </w:tc>
        <w:tc>
          <w:tcPr>
            <w:tcW w:type="dxa" w:w="1661"/>
            <w:tcBorders>
              <w:bottom w:val="single" w:sz="18" w:space="0" w:color="000000"/>
            </w:tcBorders>
          </w:tcPr>
          <w:p>
            <w:pPr>
              <w:spacing w:before="0" w:after="0"/>
            </w:pPr>
            <w:r>
              <w:rPr>
                <w:b w:val="0"/>
                <w:sz w:val="16"/>
              </w:rPr>
              <w:t>States the property as settled from the reported tests without modal or lexical softening.</w:t>
            </w:r>
          </w:p>
        </w:tc>
      </w:tr>
    </w:tbl>
    <w:p>
      <w:pPr>
        <w:spacing w:line="480" w:lineRule="auto" w:before="0" w:after="0"/>
        <w:ind w:firstLine="720"/>
        <w:jc w:val="both"/>
      </w:pPr>
      <w:r>
        <w:rPr>
          <w:rFonts w:ascii="Georgia" w:hAnsi="Georgia" w:eastAsia="Georgia"/>
          <w:sz w:val="22"/>
        </w:rPr>
        <w:t>In the zero-hedge abstracts, assertive reporting forms recur: showed, revealed, observed, and highest among them. These are reporting verbs and a superlative, not a closed booster checklist. They show how those abstracts often deliver findings in direct, unqualified wording. The same count was not run on abstracts that already contain hedges, so it describes the zero-hedge subset only and supports no comparison with hedged abstracts.</w:t>
      </w:r>
    </w:p>
    <w:p w:rsidR="00000000" w:rsidDel="00000000" w:rsidP="00000000" w:rsidRDefault="00000000" w:rsidRPr="00000000" w14:paraId="0000015D">
      <w:pPr>
        <w:spacing w:after="0" w:before="0" w:line="480" w:lineRule="auto"/>
        <w:ind w:firstLine="720"/>
        <w:jc w:val="both"/>
        <w:rPr/>
      </w:pPr>
      <w:r>
        <w:rPr>
          <w:rFonts w:ascii="Georgia" w:hAnsi="Georgia" w:eastAsia="Georgia"/>
          <w:sz w:val="22"/>
        </w:rPr>
        <w:t>Caution is unevenly distributed across individual abstracts, especially in Agriculture. Most Ag texts show little or moderate softening, while Acs2 alone stacks several hedges after a non-significant result. When that one abstract is set aside, Agriculture no longer sits above Biology in how often caution appears. Any simple ranking that treats Agriculture as the most cautious program is therefore partly the effect of one densely hedged text rather than a stable program style.</w:t>
      </w:r>
    </w:p>
    <w:p>
      <w:pPr>
        <w:spacing w:line="480" w:lineRule="auto" w:before="0" w:after="0"/>
        <w:ind w:firstLine="720"/>
        <w:jc w:val="both"/>
      </w:pPr>
      <w:r>
        <w:rPr>
          <w:rFonts w:ascii="Georgia" w:hAnsi="Georgia" w:eastAsia="Georgia"/>
          <w:sz w:val="22"/>
        </w:rPr>
        <w:t>Two further cautions apply. Abstracts within a program may share advisers, so patterns may reflect supervision as much as individual choice, and spread within each program remains large. If potential is set aside, the remaining inventory shrinks and Veterinary Medicine’s share of unsoftened abstracts rises further. Low rates of hedging are widely reported in undergraduate and L2 academic writing (Hyland &amp; Milton, 1997; Qiu et al., 2024). In this PSAU sample the sharpest contrast in how English marks caution is between Biology and Veterinary Medicine. It is a local pattern in ratified abstracts. Supervised texts may reflect program tolerance for soft claims as much as individual rhetorical choice.</w:t>
      </w:r>
    </w:p>
    <w:p w:rsidR="00000000" w:rsidDel="00000000" w:rsidP="00000000" w:rsidRDefault="00000000" w:rsidRPr="00000000" w14:paraId="0000015E">
      <w:pPr>
        <w:spacing w:after="0" w:before="0" w:line="480" w:lineRule="auto"/>
        <w:ind w:firstLine="720"/>
        <w:jc w:val="both"/>
        <w:rPr/>
      </w:pPr>
      <w:r>
        <w:rPr>
          <w:rFonts w:ascii="Georgia" w:hAnsi="Georgia" w:eastAsia="Georgia"/>
          <w:sz w:val="22"/>
        </w:rPr>
        <w:t>The pattern only partly matches prior cross-disciplinary work. Afshar et al. (2014) found agriculture using the fewest hedges among expert research articles. Here Agriculture is level with Biology in the full sample and looks more cautious only because of Acs2. Without that abstract it falls below Biology, which sits closer to Afshar et al.’s direction. Expert research articles and undergraduate abstracts are different genres, so the comparison stays loose. What the present table can support is a local reading of how three programs at one institution word caution, not a general claim about agricultural writing worldwide.</w:t>
      </w:r>
    </w:p>
    <w:p w:rsidR="00000000" w:rsidDel="00000000" w:rsidP="00000000" w:rsidRDefault="00000000" w:rsidRPr="00000000" w14:paraId="0000015F">
      <w:pPr>
        <w:spacing w:after="0" w:before="0" w:line="480" w:lineRule="auto"/>
        <w:ind w:firstLine="720"/>
        <w:jc w:val="both"/>
        <w:rPr/>
      </w:pPr>
      <w:r>
        <w:rPr>
          <w:rFonts w:ascii="Georgia" w:hAnsi="Georgia" w:eastAsia="Georgia"/>
          <w:sz w:val="22"/>
        </w:rPr>
        <w:t>Veterinary Medicine’s thinner caution needs a careful reading. Many VM abstracts report clinical findings from animal studies, including drug-efficacy trials, disease detection, and hematological profiling. Binary or presence-style results are common in that set, but they do not fully explain the wording gap: Biology abstracts with similar result styles still show more epistemic softening of implications. The pattern is better treated as how VM abstracts in this institutional corpus tend to word results, consistent with departmental or supervisory practice, with outcome mix, or with both. It should not be read as a general rule that binary evidence needs no hedge under Salager-Meyer’s (1994) claim-responsibility account.</w:t>
      </w:r>
    </w:p>
    <w:p w:rsidR="00000000" w:rsidDel="00000000" w:rsidP="00000000" w:rsidRDefault="00000000" w:rsidRPr="00000000" w14:paraId="00000160">
      <w:pPr>
        <w:spacing w:after="0" w:before="0" w:line="480" w:lineRule="auto"/>
        <w:ind w:firstLine="720"/>
        <w:jc w:val="both"/>
        <w:rPr/>
      </w:pPr>
      <w:r>
        <w:rPr>
          <w:rFonts w:ascii="Georgia" w:hAnsi="Georgia" w:eastAsia="Georgia"/>
          <w:sz w:val="22"/>
        </w:rPr>
        <w:t>False positives also differ by program, and not in the same direction as retained hedges. Biology yields more rejected lookalikes, often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both softens claims more often when the token is retained and uses more lookalike wording that the scheme rejects, while Veterinary Medicine is low on both retained softeners and rejected lookalikes.</w:t>
      </w:r>
    </w:p>
    <w:p w:rsidR="00000000" w:rsidDel="00000000" w:rsidP="00000000" w:rsidRDefault="00000000" w:rsidRPr="00000000" w14:paraId="00000161">
      <w:pPr>
        <w:keepNext w:val="1"/>
        <w:spacing w:after="120" w:before="240" w:line="480" w:lineRule="auto"/>
        <w:ind w:firstLine="0"/>
        <w:rPr>
          <w:sz w:val="24"/>
          <w:szCs w:val="24"/>
        </w:rPr>
      </w:pPr>
      <w:r>
        <w:rPr>
          <w:b w:val="1"/>
          <w:bCs w:val="1"/>
          <w:sz w:val="24"/>
          <w:szCs w:val="24"/>
          <w:rtl w:val="0"/>
        </w:rPr>
        <w:t xml:space="preserve">Part III: What Hedging Does When It Appears</w:t>
      </w:r>
      <w:r>
        <w:rPr>
          <w:rtl w:val="0"/>
        </w:rPr>
      </w:r>
    </w:p>
    <w:p>
      <w:pPr>
        <w:spacing w:line="480" w:lineRule="auto" w:before="240" w:after="0"/>
        <w:ind w:firstLine="0"/>
        <w:jc w:val="left"/>
      </w:pPr>
      <w:r>
        <w:rPr>
          <w:rFonts w:ascii="Georgia" w:hAnsi="Georgia" w:eastAsia="Georgia"/>
          <w:b/>
          <w:sz w:val="22"/>
        </w:rPr>
        <w:t>Function Profile of Retained Hedges</w:t>
      </w:r>
    </w:p>
    <w:p w:rsidR="00000000" w:rsidDel="00000000" w:rsidP="00000000" w:rsidRDefault="00000000" w:rsidRPr="00000000" w14:paraId="00000162">
      <w:pPr>
        <w:spacing w:after="0" w:before="0" w:line="480" w:lineRule="auto"/>
        <w:ind w:firstLine="720"/>
        <w:jc w:val="both"/>
        <w:rPr/>
      </w:pPr>
      <w:r>
        <w:rPr>
          <w:rFonts w:ascii="Georgia" w:hAnsi="Georgia" w:eastAsia="Georgia"/>
          <w:sz w:val="22"/>
        </w:rPr>
        <w:t>Part III asks what retained hedges do when they appear, and how the coding scheme separates them from lookalike forms. Table 5 reports the Step 2 outcomes for the candidate pool. Every retained token was coded as epistemic caution. None was coded as politeness/deference. An equal number of candidates were logged as false positives because they failed the claim condition or both removal checks. On the retained side, the functional profile is uniform: when a token counts as a hedge in this corpus, it softens commitment to a claim about findings or implications, not interpersonal stance toward the reader.</w:t>
      </w:r>
    </w:p>
    <w:p w:rsidR="00000000" w:rsidDel="00000000" w:rsidP="00000000" w:rsidRDefault="00000000" w:rsidRPr="00000000" w14:paraId="00000163">
      <w:pPr>
        <w:keepNext w:val="1"/>
        <w:spacing w:after="0" w:before="720" w:line="480" w:lineRule="auto"/>
        <w:ind w:firstLine="0"/>
        <w:jc w:val="center"/>
        <w:rPr/>
      </w:pPr>
      <w:r>
        <w:rPr>
          <w:b/>
          <w:sz w:val="22"/>
        </w:rPr>
        <w:t>Table 5</w:t>
      </w:r>
    </w:p>
    <w:p w:rsidR="00000000" w:rsidDel="00000000" w:rsidP="00000000" w:rsidRDefault="00000000" w:rsidRPr="00000000" w14:paraId="00000164">
      <w:pPr>
        <w:keepNext w:val="1"/>
        <w:spacing w:after="60" w:before="0" w:line="480" w:lineRule="auto"/>
        <w:jc w:val="center"/>
        <w:rPr/>
      </w:pPr>
      <w:r>
        <w:rPr>
          <w:rFonts w:ascii="Georgia" w:hAnsi="Georgia" w:cs="Georgia" w:eastAsia="Georgia"/>
          <w:b w:val="0"/>
          <w:sz w:val="24"/>
          <w:rtl w:val="0"/>
        </w:rPr>
        <w:t>Function Distribution among Candidate Tokens</w:t>
      </w:r>
    </w:p>
    <w:tbl>
      <w:tblPr>
        <w:tblStyle w:val="Table6"/>
        <w:tblW w:w="8307.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769"/>
        <w:gridCol w:w="2769"/>
        <w:gridCol w:w="2769"/>
        <w:tblGridChange w:id="0">
          <w:tblGrid>
            <w:gridCol w:w="2769"/>
            <w:gridCol w:w="2769"/>
            <w:gridCol w:w="2769"/>
          </w:tblGrid>
        </w:tblGridChange>
      </w:tblGrid>
      <w:tr>
        <w:trPr>
          <w:cantSplit/>
          <w:tblHeader/>
        </w:trPr>
        <w:tc>
          <w:tcPr>
            <w:tcBorders>
              <w:bottom w:val="single" w:sz="4" w:color="000000" w:space="0"/>
            </w:tcBorders>
          </w:tcPr>
          <w:p w:rsidR="00000000" w:rsidDel="00000000" w:rsidP="00000000" w:rsidRDefault="00000000" w:rsidRPr="00000000" w14:paraId="00000165">
            <w:pPr>
              <w:spacing w:after="0" w:before="0" w:line="240" w:lineRule="auto"/>
              <w:rPr>
                <w:sz w:val="18"/>
                <w:szCs w:val="18"/>
              </w:rPr>
            </w:pPr>
            <w:r>
              <w:rPr>
                <w:rFonts w:ascii="Georgia" w:hAnsi="Georgia" w:cs="Georgia" w:eastAsia="Georgia"/>
                <w:b/>
                <w:sz w:val="18"/>
              </w:rPr>
              <w:t>Function</w:t>
            </w:r>
          </w:p>
        </w:tc>
        <w:tc>
          <w:tcPr>
            <w:tcBorders>
              <w:bottom w:val="single" w:sz="4" w:color="000000" w:space="0"/>
            </w:tcBorders>
          </w:tcPr>
          <w:p w:rsidR="00000000" w:rsidDel="00000000" w:rsidP="00000000" w:rsidRDefault="00000000" w:rsidRPr="00000000" w14:paraId="00000166">
            <w:pPr>
              <w:spacing w:after="0" w:before="0" w:line="240" w:lineRule="auto"/>
              <w:rPr>
                <w:sz w:val="18"/>
                <w:szCs w:val="18"/>
              </w:rPr>
            </w:pPr>
            <w:r>
              <w:rPr>
                <w:rFonts w:ascii="Georgia" w:hAnsi="Georgia" w:cs="Georgia" w:eastAsia="Georgia"/>
                <w:b/>
                <w:sz w:val="18"/>
              </w:rPr>
              <w:t>Frequency</w:t>
            </w:r>
          </w:p>
        </w:tc>
        <w:tc>
          <w:tcPr>
            <w:tcBorders>
              <w:bottom w:val="single" w:sz="4" w:color="000000" w:space="0"/>
            </w:tcBorders>
          </w:tcPr>
          <w:p w:rsidR="00000000" w:rsidDel="00000000" w:rsidP="00000000" w:rsidRDefault="00000000" w:rsidRPr="00000000" w14:paraId="00000167">
            <w:pPr>
              <w:spacing w:after="0" w:before="0" w:line="240" w:lineRule="auto"/>
              <w:rPr>
                <w:sz w:val="18"/>
                <w:szCs w:val="18"/>
              </w:rPr>
            </w:pPr>
            <w:r>
              <w:rPr>
                <w:rFonts w:ascii="Georgia" w:hAnsi="Georgia" w:cs="Georgia" w:eastAsia="Georgia"/>
                <w:b/>
                <w:sz w:val="18"/>
              </w:rPr>
              <w:t>Note</w:t>
            </w:r>
          </w:p>
        </w:tc>
      </w:tr>
      <w:tr>
        <w:trPr>
          <w:cantSplit/>
        </w:trPr>
        <w:tc>
          <w:tcPr/>
          <w:p w:rsidR="00000000" w:rsidDel="00000000" w:rsidP="00000000" w:rsidRDefault="00000000" w:rsidRPr="00000000" w14:paraId="00000168">
            <w:pPr>
              <w:spacing w:after="0" w:before="0" w:line="240" w:lineRule="auto"/>
              <w:rPr>
                <w:sz w:val="18"/>
                <w:szCs w:val="18"/>
              </w:rPr>
            </w:pPr>
            <w:r>
              <w:rPr>
                <w:rFonts w:ascii="Georgia" w:hAnsi="Georgia" w:cs="Georgia" w:eastAsia="Georgia"/>
                <w:b w:val="0"/>
                <w:sz w:val="18"/>
              </w:rPr>
              <w:t>Epistemic caution</w:t>
            </w:r>
          </w:p>
        </w:tc>
        <w:tc>
          <w:tcPr/>
          <w:p w:rsidR="00000000" w:rsidDel="00000000" w:rsidP="00000000" w:rsidRDefault="00000000" w:rsidRPr="00000000" w14:paraId="00000169">
            <w:pPr>
              <w:spacing w:after="0" w:before="0" w:line="240" w:lineRule="auto"/>
              <w:rPr>
                <w:sz w:val="18"/>
                <w:szCs w:val="18"/>
              </w:rPr>
            </w:pPr>
            <w:r>
              <w:rPr>
                <w:rFonts w:ascii="Georgia" w:hAnsi="Georgia" w:cs="Georgia" w:eastAsia="Georgia"/>
                <w:b w:val="0"/>
                <w:sz w:val="18"/>
              </w:rPr>
              <w:t>65</w:t>
            </w:r>
          </w:p>
        </w:tc>
        <w:tc>
          <w:tcPr/>
          <w:p w:rsidR="00000000" w:rsidDel="00000000" w:rsidP="00000000" w:rsidRDefault="00000000" w:rsidRPr="00000000" w14:paraId="0000016A">
            <w:pPr>
              <w:spacing w:after="0" w:before="0" w:line="240" w:lineRule="auto"/>
              <w:rPr>
                <w:sz w:val="18"/>
                <w:szCs w:val="18"/>
              </w:rPr>
            </w:pPr>
            <w:r>
              <w:rPr>
                <w:rFonts w:ascii="Georgia" w:hAnsi="Georgia" w:cs="Georgia" w:eastAsia="Georgia"/>
                <w:b w:val="0"/>
                <w:sz w:val="18"/>
              </w:rPr>
              <w:t>Retained; passed Working Test</w:t>
            </w:r>
          </w:p>
        </w:tc>
      </w:tr>
      <w:tr>
        <w:trPr>
          <w:cantSplit/>
        </w:trPr>
        <w:tc>
          <w:tcPr/>
          <w:p w:rsidR="00000000" w:rsidDel="00000000" w:rsidP="00000000" w:rsidRDefault="00000000" w:rsidRPr="00000000" w14:paraId="0000016B">
            <w:pPr>
              <w:spacing w:after="0" w:before="0" w:line="240" w:lineRule="auto"/>
              <w:rPr>
                <w:sz w:val="18"/>
                <w:szCs w:val="18"/>
              </w:rPr>
            </w:pPr>
            <w:r>
              <w:rPr>
                <w:rFonts w:ascii="Georgia" w:hAnsi="Georgia" w:cs="Georgia" w:eastAsia="Georgia"/>
                <w:b w:val="0"/>
                <w:sz w:val="18"/>
              </w:rPr>
              <w:t>Politeness / deference</w:t>
            </w:r>
          </w:p>
        </w:tc>
        <w:tc>
          <w:tcPr/>
          <w:p w:rsidR="00000000" w:rsidDel="00000000" w:rsidP="00000000" w:rsidRDefault="00000000" w:rsidRPr="00000000" w14:paraId="0000016C">
            <w:pPr>
              <w:spacing w:after="0" w:before="0" w:line="240" w:lineRule="auto"/>
              <w:rPr>
                <w:sz w:val="18"/>
                <w:szCs w:val="18"/>
              </w:rPr>
            </w:pPr>
            <w:r>
              <w:rPr>
                <w:rFonts w:ascii="Georgia" w:hAnsi="Georgia" w:cs="Georgia" w:eastAsia="Georgia"/>
                <w:b w:val="0"/>
                <w:sz w:val="18"/>
              </w:rPr>
              <w:t>0</w:t>
            </w:r>
          </w:p>
        </w:tc>
        <w:tc>
          <w:tcPr/>
          <w:p w:rsidR="00000000" w:rsidDel="00000000" w:rsidP="00000000" w:rsidRDefault="00000000" w:rsidRPr="00000000" w14:paraId="0000016D">
            <w:pPr>
              <w:spacing w:after="0" w:before="0" w:line="240" w:lineRule="auto"/>
              <w:rPr>
                <w:sz w:val="18"/>
                <w:szCs w:val="18"/>
              </w:rPr>
            </w:pPr>
            <w:r>
              <w:rPr>
                <w:rFonts w:ascii="Georgia" w:hAnsi="Georgia" w:cs="Georgia" w:eastAsia="Georgia"/>
                <w:b w:val="0"/>
                <w:sz w:val="18"/>
              </w:rPr>
              <w:t>Null in this sample</w:t>
            </w:r>
          </w:p>
        </w:tc>
      </w:tr>
      <w:tr>
        <w:trPr>
          <w:cantSplit/>
        </w:trPr>
        <w:tc>
          <w:tcPr/>
          <w:p w:rsidR="00000000" w:rsidDel="00000000" w:rsidP="00000000" w:rsidRDefault="00000000" w:rsidRPr="00000000" w14:paraId="0000016E">
            <w:pPr>
              <w:spacing w:after="0" w:before="0" w:line="240" w:lineRule="auto"/>
              <w:rPr>
                <w:sz w:val="18"/>
                <w:szCs w:val="18"/>
              </w:rPr>
            </w:pPr>
            <w:r>
              <w:rPr>
                <w:rFonts w:ascii="Georgia" w:hAnsi="Georgia" w:cs="Georgia" w:eastAsia="Georgia"/>
                <w:b w:val="0"/>
                <w:sz w:val="18"/>
              </w:rPr>
              <w:t>False positive</w:t>
            </w:r>
          </w:p>
        </w:tc>
        <w:tc>
          <w:tcPr/>
          <w:p w:rsidR="00000000" w:rsidDel="00000000" w:rsidP="00000000" w:rsidRDefault="00000000" w:rsidRPr="00000000" w14:paraId="0000016F">
            <w:pPr>
              <w:spacing w:after="0" w:before="0" w:line="240" w:lineRule="auto"/>
              <w:rPr>
                <w:sz w:val="18"/>
                <w:szCs w:val="18"/>
              </w:rPr>
            </w:pPr>
            <w:r>
              <w:rPr>
                <w:rFonts w:ascii="Georgia" w:hAnsi="Georgia" w:cs="Georgia" w:eastAsia="Georgia"/>
                <w:b w:val="0"/>
                <w:sz w:val="18"/>
              </w:rPr>
              <w:t>65</w:t>
            </w:r>
          </w:p>
        </w:tc>
        <w:tc>
          <w:tcPr/>
          <w:p w:rsidR="00000000" w:rsidDel="00000000" w:rsidP="00000000" w:rsidRDefault="00000000" w:rsidRPr="00000000" w14:paraId="00000170">
            <w:pPr>
              <w:spacing w:after="0" w:before="0" w:line="240" w:lineRule="auto"/>
              <w:rPr>
                <w:sz w:val="18"/>
                <w:szCs w:val="18"/>
              </w:rPr>
            </w:pPr>
            <w:r>
              <w:rPr>
                <w:rFonts w:ascii="Georgia" w:hAnsi="Georgia" w:cs="Georgia" w:eastAsia="Georgia"/>
                <w:b w:val="0"/>
                <w:sz w:val="18"/>
              </w:rPr>
              <w:t>Not retained (failed claim condition or removal checks)</w:t>
            </w:r>
          </w:p>
        </w:tc>
      </w:tr>
      <w:tr>
        <w:trPr>
          <w:cantSplit/>
        </w:trPr>
        <w:tc>
          <w:tcPr>
            <w:tcBorders>
              <w:top w:val="single" w:sz="4" w:color="000000" w:space="0"/>
              <w:bottom w:val="single" w:sz="18" w:color="000000" w:space="0"/>
            </w:tcBorders>
          </w:tcPr>
          <w:p w:rsidR="00000000" w:rsidDel="00000000" w:rsidP="00000000" w:rsidRDefault="00000000" w:rsidRPr="00000000" w14:paraId="00000171">
            <w:pPr>
              <w:spacing w:after="0" w:before="0" w:line="240" w:lineRule="auto"/>
              <w:rPr>
                <w:sz w:val="18"/>
                <w:szCs w:val="18"/>
              </w:rPr>
            </w:pPr>
            <w:r>
              <w:rPr>
                <w:rFonts w:ascii="Georgia" w:hAnsi="Georgia" w:cs="Georgia" w:eastAsia="Georgia"/>
                <w:b w:val="0"/>
                <w:sz w:val="18"/>
              </w:rPr>
              <w:t>Total</w:t>
            </w:r>
          </w:p>
        </w:tc>
        <w:tc>
          <w:tcPr>
            <w:tcBorders>
              <w:top w:val="single" w:sz="4" w:color="000000" w:space="0"/>
              <w:bottom w:val="single" w:sz="18" w:color="000000" w:space="0"/>
            </w:tcBorders>
          </w:tcPr>
          <w:p w:rsidR="00000000" w:rsidDel="00000000" w:rsidP="00000000" w:rsidRDefault="00000000" w:rsidRPr="00000000" w14:paraId="00000172">
            <w:pPr>
              <w:spacing w:after="0" w:before="0" w:line="240" w:lineRule="auto"/>
              <w:rPr>
                <w:sz w:val="18"/>
                <w:szCs w:val="18"/>
              </w:rPr>
            </w:pPr>
            <w:r>
              <w:rPr>
                <w:rFonts w:ascii="Georgia" w:hAnsi="Georgia" w:cs="Georgia" w:eastAsia="Georgia"/>
                <w:b w:val="0"/>
                <w:sz w:val="18"/>
              </w:rPr>
              <w:t>130</w:t>
            </w:r>
          </w:p>
        </w:tc>
        <w:tc>
          <w:tcPr>
            <w:tcBorders>
              <w:top w:val="single" w:sz="4" w:color="000000" w:space="0"/>
              <w:bottom w:val="single" w:sz="18" w:color="000000" w:space="0"/>
            </w:tcBorders>
          </w:tcPr>
          <w:p w:rsidR="00000000" w:rsidDel="00000000" w:rsidP="00000000" w:rsidRDefault="00000000" w:rsidRPr="00000000" w14:paraId="00000173">
            <w:pPr>
              <w:spacing w:after="0" w:before="0" w:line="240" w:lineRule="auto"/>
              <w:rPr>
                <w:sz w:val="18"/>
                <w:szCs w:val="18"/>
              </w:rPr>
            </w:pPr>
            <w:r>
              <w:rPr>
                <w:rFonts w:ascii="Georgia" w:hAnsi="Georgia" w:cs="Georgia" w:eastAsia="Georgia"/>
                <w:b w:val="0"/>
                <w:sz w:val="18"/>
              </w:rPr>
              <w:t>Logged candidate decisions</w:t>
            </w:r>
          </w:p>
        </w:tc>
      </w:tr>
    </w:tbl>
    <w:p w:rsidR="00000000" w:rsidDel="00000000" w:rsidP="00000000" w:rsidRDefault="00000000" w:rsidRPr="00000000" w14:paraId="00000174">
      <w:pPr>
        <w:spacing w:after="0" w:before="0" w:line="480" w:lineRule="auto"/>
        <w:ind w:firstLine="720"/>
        <w:jc w:val="both"/>
        <w:rPr/>
      </w:pPr>
      <w:r>
        <w:rPr>
          <w:rFonts w:ascii="Georgia" w:hAnsi="Georgia" w:eastAsia="Georgia"/>
          <w:sz w:val="22"/>
        </w:rPr>
        <w:t>That uniformity is a consequence of the Step 2 rule, not a claim that abstracts never soften directives in any linguistic sense. Only tokens attached to claims that pass the claim condition and at least one removal check enter the retained set. Recommendations and other non-claims are logged as false positives and never receive a politeness/deference label under this scheme. Fifteen recommendation-framed tokens sit in that false-positive pool. A wider definition of interpersonal softening could treat some of them differently. The all–epistemic-caution result fits how scientific English often uses hedges on knowledge claims (Hyland, 1996, 1998; Salager-Meyer, 1994): the devices manage how far a proposition should be trusted.</w:t>
      </w:r>
    </w:p>
    <w:p w:rsidR="00000000" w:rsidDel="00000000" w:rsidP="00000000" w:rsidRDefault="00000000" w:rsidRPr="00000000" w14:paraId="00000175">
      <w:pPr>
        <w:spacing w:after="0" w:before="0" w:line="480" w:lineRule="auto"/>
        <w:ind w:firstLine="720"/>
        <w:jc w:val="both"/>
        <w:rPr/>
      </w:pPr>
      <w:r>
        <w:rPr>
          <w:rFonts w:ascii="Georgia" w:hAnsi="Georgia" w:eastAsia="Georgia"/>
          <w:sz w:val="22"/>
        </w:rPr>
        <w:t>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Writers more often qualify what the findings mean for application or interpretation (potential, the suggest family) than they soften the reporting of the measured result itself. Results lines more often use factive reporting verbs without qualification. Table 5.1 shows how the same surface forms are kept or rejected once the claim condition and removal checks are applied. Table 5.2 then samples retained wording across the three programs.</w:t>
      </w:r>
    </w:p>
    <w:p w:rsidR="00000000" w:rsidDel="00000000" w:rsidP="00000000" w:rsidRDefault="00000000" w:rsidRPr="00000000" w14:paraId="00000176">
      <w:pPr>
        <w:spacing w:after="0" w:before="0" w:line="480" w:lineRule="auto"/>
        <w:ind w:firstLine="720"/>
        <w:jc w:val="both"/>
        <w:rPr/>
      </w:pPr>
      <w:r>
        <w:rPr>
          <w:rFonts w:ascii="Georgia" w:hAnsi="Georgia" w:eastAsia="Georgia"/>
          <w:sz w:val="22"/>
        </w:rPr>
        <w:t>Taken together, the English of these abstracts adjusts the epistemic weight of findings and implications when hedges are retained. It does not show retained hedges doing interpersonal softening of those claims. The stance repertoire that survives Step 2 is functionally narrow and centered on the proposition.</w:t>
      </w:r>
    </w:p>
    <w:p>
      <w:pPr>
        <w:spacing w:line="480" w:lineRule="auto" w:before="240" w:after="0"/>
        <w:ind w:firstLine="0"/>
        <w:jc w:val="left"/>
      </w:pPr>
      <w:r>
        <w:rPr>
          <w:rFonts w:ascii="Georgia" w:hAnsi="Georgia" w:eastAsia="Georgia"/>
          <w:b/>
          <w:sz w:val="22"/>
        </w:rPr>
        <w:t>Hedge versus False Positive in the Wording</w:t>
      </w:r>
    </w:p>
    <w:p>
      <w:pPr>
        <w:spacing w:line="480" w:lineRule="auto"/>
        <w:ind w:firstLine="0"/>
        <w:jc w:val="center"/>
      </w:pPr>
      <w:r>
        <w:rPr>
          <w:b/>
          <w:sz w:val="22"/>
        </w:rPr>
        <w:t>Table 5.1</w:t>
      </w:r>
    </w:p>
    <w:p>
      <w:pPr>
        <w:spacing w:line="480" w:lineRule="auto"/>
        <w:ind w:firstLine="0"/>
        <w:jc w:val="center"/>
      </w:pPr>
      <w:r>
        <w:rPr>
          <w:i/>
          <w:sz w:val="22"/>
        </w:rPr>
        <w:t>Retained Hedge versus False Positive: Coding Contrasts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top w:val="single" w:sz="18" w:space="0" w:color="000000"/>
              <w:bottom w:val="single" w:sz="4" w:space="0" w:color="000000"/>
            </w:tcBorders>
          </w:tcPr>
          <w:p>
            <w:pPr>
              <w:spacing w:before="0" w:after="0"/>
            </w:pPr>
            <w:r>
              <w:rPr>
                <w:b/>
                <w:sz w:val="16"/>
              </w:rPr>
              <w:t>ID</w:t>
            </w:r>
          </w:p>
        </w:tc>
        <w:tc>
          <w:tcPr>
            <w:tcW w:type="dxa" w:w="1661"/>
            <w:tcBorders>
              <w:top w:val="single" w:sz="18" w:space="0" w:color="000000"/>
              <w:bottom w:val="single" w:sz="4" w:space="0" w:color="000000"/>
            </w:tcBorders>
          </w:tcPr>
          <w:p>
            <w:pPr>
              <w:spacing w:before="0" w:after="0"/>
            </w:pPr>
            <w:r>
              <w:rPr>
                <w:b/>
                <w:sz w:val="16"/>
              </w:rPr>
              <w:t>Token</w:t>
            </w:r>
          </w:p>
        </w:tc>
        <w:tc>
          <w:tcPr>
            <w:tcW w:type="dxa" w:w="1661"/>
            <w:tcBorders>
              <w:top w:val="single" w:sz="18" w:space="0" w:color="000000"/>
              <w:bottom w:val="single" w:sz="4" w:space="0" w:color="000000"/>
            </w:tcBorders>
          </w:tcPr>
          <w:p>
            <w:pPr>
              <w:spacing w:before="0" w:after="0"/>
            </w:pPr>
            <w:r>
              <w:rPr>
                <w:b/>
                <w:sz w:val="16"/>
              </w:rPr>
              <w:t>Decision</w:t>
            </w:r>
          </w:p>
        </w:tc>
        <w:tc>
          <w:tcPr>
            <w:tcW w:type="dxa" w:w="1661"/>
            <w:tcBorders>
              <w:top w:val="single" w:sz="18" w:space="0" w:color="000000"/>
              <w:bottom w:val="single" w:sz="4" w:space="0" w:color="000000"/>
            </w:tcBorders>
          </w:tcPr>
          <w:p>
            <w:pPr>
              <w:spacing w:before="0" w:after="0"/>
            </w:pPr>
            <w:r>
              <w:rPr>
                <w:b/>
                <w:sz w:val="16"/>
              </w:rPr>
              <w:t>Excerpt</w:t>
            </w:r>
          </w:p>
        </w:tc>
        <w:tc>
          <w:tcPr>
            <w:tcW w:type="dxa" w:w="1661"/>
            <w:tcBorders>
              <w:top w:val="single" w:sz="18" w:space="0" w:color="000000"/>
              <w:bottom w:val="single" w:sz="4" w:space="0" w:color="000000"/>
            </w:tcBorders>
          </w:tcPr>
          <w:p>
            <w:pPr>
              <w:spacing w:before="0" w:after="0"/>
            </w:pPr>
            <w:r>
              <w:rPr>
                <w:b/>
                <w:sz w:val="16"/>
              </w:rPr>
              <w:t>Coding rationale</w:t>
            </w:r>
          </w:p>
        </w:tc>
      </w:tr>
      <w:tr>
        <w:trPr>
          <w:cantSplit/>
        </w:trPr>
        <w:tc>
          <w:tcPr>
            <w:tcW w:type="dxa" w:w="1661"/>
          </w:tcPr>
          <w:p>
            <w:pPr>
              <w:spacing w:before="0" w:after="0"/>
            </w:pPr>
            <w:r>
              <w:rPr>
                <w:b w:val="0"/>
                <w:sz w:val="16"/>
              </w:rPr>
              <w:t>B1</w:t>
            </w:r>
          </w:p>
        </w:tc>
        <w:tc>
          <w:tcPr>
            <w:tcW w:type="dxa" w:w="1661"/>
          </w:tcPr>
          <w:p>
            <w:pPr>
              <w:spacing w:before="0" w:after="0"/>
            </w:pPr>
            <w:r>
              <w:rPr>
                <w:b w:val="0"/>
                <w:sz w:val="16"/>
              </w:rPr>
              <w:t>potential</w:t>
            </w:r>
          </w:p>
        </w:tc>
        <w:tc>
          <w:tcPr>
            <w:tcW w:type="dxa" w:w="1661"/>
          </w:tcPr>
          <w:p>
            <w:pPr>
              <w:spacing w:before="0" w:after="0"/>
            </w:pPr>
            <w:r>
              <w:rPr>
                <w:b w:val="0"/>
                <w:sz w:val="16"/>
              </w:rPr>
              <w:t>Retained (lexical)</w:t>
            </w:r>
          </w:p>
        </w:tc>
        <w:tc>
          <w:tcPr>
            <w:tcW w:type="dxa" w:w="1661"/>
          </w:tcPr>
          <w:p>
            <w:pPr>
              <w:spacing w:before="0" w:after="0"/>
            </w:pPr>
            <w:r>
              <w:rPr>
                <w:b w:val="0"/>
                <w:sz w:val="16"/>
              </w:rPr>
              <w:t>…insights into the potential of B. subtilis as a sustainable solution…</w:t>
            </w:r>
          </w:p>
        </w:tc>
        <w:tc>
          <w:tcPr>
            <w:tcW w:type="dxa" w:w="1661"/>
          </w:tcPr>
          <w:p>
            <w:pPr>
              <w:spacing w:before="0" w:after="0"/>
            </w:pPr>
            <w:r>
              <w:rPr>
                <w:b w:val="0"/>
                <w:sz w:val="16"/>
              </w:rPr>
              <w:t>Qualifies a finding-side claim about what the results support.</w:t>
            </w:r>
          </w:p>
        </w:tc>
      </w:tr>
      <w:tr>
        <w:trPr>
          <w:cantSplit/>
        </w:trPr>
        <w:tc>
          <w:tcPr>
            <w:tcW w:type="dxa" w:w="1661"/>
          </w:tcPr>
          <w:p>
            <w:pPr>
              <w:spacing w:before="0" w:after="0"/>
            </w:pPr>
            <w:r>
              <w:rPr>
                <w:b w:val="0"/>
                <w:sz w:val="16"/>
              </w:rPr>
              <w:t>B1</w:t>
            </w:r>
          </w:p>
        </w:tc>
        <w:tc>
          <w:tcPr>
            <w:tcW w:type="dxa" w:w="1661"/>
          </w:tcPr>
          <w:p>
            <w:pPr>
              <w:spacing w:before="0" w:after="0"/>
            </w:pPr>
            <w:r>
              <w:rPr>
                <w:b w:val="0"/>
                <w:sz w:val="16"/>
              </w:rPr>
              <w:t>potential</w:t>
            </w:r>
          </w:p>
        </w:tc>
        <w:tc>
          <w:tcPr>
            <w:tcW w:type="dxa" w:w="1661"/>
          </w:tcPr>
          <w:p>
            <w:pPr>
              <w:spacing w:before="0" w:after="0"/>
            </w:pPr>
            <w:r>
              <w:rPr>
                <w:b w:val="0"/>
                <w:sz w:val="16"/>
              </w:rPr>
              <w:t>False positive (topic-naming)</w:t>
            </w:r>
          </w:p>
        </w:tc>
        <w:tc>
          <w:tcPr>
            <w:tcW w:type="dxa" w:w="1661"/>
          </w:tcPr>
          <w:p>
            <w:pPr>
              <w:spacing w:before="0" w:after="0"/>
            </w:pPr>
            <w:r>
              <w:rPr>
                <w:b w:val="0"/>
                <w:sz w:val="16"/>
              </w:rPr>
              <w:t>In this study, the growth promoting potential of Bacillus subtilis… was assessed…</w:t>
            </w:r>
          </w:p>
        </w:tc>
        <w:tc>
          <w:tcPr>
            <w:tcW w:type="dxa" w:w="1661"/>
          </w:tcPr>
          <w:p>
            <w:pPr>
              <w:spacing w:before="0" w:after="0"/>
            </w:pPr>
            <w:r>
              <w:rPr>
                <w:b w:val="0"/>
                <w:sz w:val="16"/>
              </w:rPr>
              <w:t>Names the object of study in an aim/methods frame (non-claim).</w:t>
            </w:r>
          </w:p>
        </w:tc>
      </w:tr>
      <w:tr>
        <w:trPr>
          <w:cantSplit/>
        </w:trPr>
        <w:tc>
          <w:tcPr>
            <w:tcW w:type="dxa" w:w="1661"/>
          </w:tcPr>
          <w:p>
            <w:pPr>
              <w:spacing w:before="0" w:after="0"/>
            </w:pPr>
            <w:r>
              <w:rPr>
                <w:b w:val="0"/>
                <w:sz w:val="16"/>
              </w:rPr>
              <w:t>Acs3</w:t>
            </w:r>
          </w:p>
        </w:tc>
        <w:tc>
          <w:tcPr>
            <w:tcW w:type="dxa" w:w="1661"/>
          </w:tcPr>
          <w:p>
            <w:pPr>
              <w:spacing w:before="0" w:after="0"/>
            </w:pPr>
            <w:r>
              <w:rPr>
                <w:b w:val="0"/>
                <w:sz w:val="16"/>
              </w:rPr>
              <w:t>can</w:t>
            </w:r>
          </w:p>
        </w:tc>
        <w:tc>
          <w:tcPr>
            <w:tcW w:type="dxa" w:w="1661"/>
          </w:tcPr>
          <w:p>
            <w:pPr>
              <w:spacing w:before="0" w:after="0"/>
            </w:pPr>
            <w:r>
              <w:rPr>
                <w:b w:val="0"/>
                <w:sz w:val="16"/>
              </w:rPr>
              <w:t>Retained (modal)</w:t>
            </w:r>
          </w:p>
        </w:tc>
        <w:tc>
          <w:tcPr>
            <w:tcW w:type="dxa" w:w="1661"/>
          </w:tcPr>
          <w:p>
            <w:pPr>
              <w:spacing w:before="0" w:after="0"/>
            </w:pPr>
            <w:r>
              <w:rPr>
                <w:b w:val="0"/>
                <w:sz w:val="16"/>
              </w:rPr>
              <w:t>…it can be derived that the application of different alternative rooting hormones…</w:t>
            </w:r>
          </w:p>
        </w:tc>
        <w:tc>
          <w:tcPr>
            <w:tcW w:type="dxa" w:w="1661"/>
          </w:tcPr>
          <w:p>
            <w:pPr>
              <w:spacing w:before="0" w:after="0"/>
            </w:pPr>
            <w:r>
              <w:rPr>
                <w:b w:val="0"/>
                <w:sz w:val="16"/>
              </w:rPr>
              <w:t>Possibility reading on an interpretive claim; removing can raises commitment.</w:t>
            </w:r>
          </w:p>
        </w:tc>
      </w:tr>
      <w:tr>
        <w:trPr>
          <w:cantSplit/>
        </w:trPr>
        <w:tc>
          <w:tcPr>
            <w:tcW w:type="dxa" w:w="1661"/>
          </w:tcPr>
          <w:p>
            <w:pPr>
              <w:spacing w:before="0" w:after="0"/>
            </w:pPr>
            <w:r>
              <w:rPr>
                <w:b w:val="0"/>
                <w:sz w:val="16"/>
              </w:rPr>
              <w:t>Aas3</w:t>
            </w:r>
          </w:p>
        </w:tc>
        <w:tc>
          <w:tcPr>
            <w:tcW w:type="dxa" w:w="1661"/>
          </w:tcPr>
          <w:p>
            <w:pPr>
              <w:spacing w:before="0" w:after="0"/>
            </w:pPr>
            <w:r>
              <w:rPr>
                <w:b w:val="0"/>
                <w:sz w:val="16"/>
              </w:rPr>
              <w:t>can</w:t>
            </w:r>
          </w:p>
        </w:tc>
        <w:tc>
          <w:tcPr>
            <w:tcW w:type="dxa" w:w="1661"/>
          </w:tcPr>
          <w:p>
            <w:pPr>
              <w:spacing w:before="0" w:after="0"/>
            </w:pPr>
            <w:r>
              <w:rPr>
                <w:b w:val="0"/>
                <w:sz w:val="16"/>
              </w:rPr>
              <w:t>False positive (capability)</w:t>
            </w:r>
          </w:p>
        </w:tc>
        <w:tc>
          <w:tcPr>
            <w:tcW w:type="dxa" w:w="1661"/>
          </w:tcPr>
          <w:p>
            <w:pPr>
              <w:spacing w:before="0" w:after="0"/>
            </w:pPr>
            <w:r>
              <w:rPr>
                <w:b w:val="0"/>
                <w:sz w:val="16"/>
              </w:rPr>
              <w:t>…rice bran mixed with water spinach… can help minimize…</w:t>
            </w:r>
          </w:p>
        </w:tc>
        <w:tc>
          <w:tcPr>
            <w:tcW w:type="dxa" w:w="1661"/>
          </w:tcPr>
          <w:p>
            <w:pPr>
              <w:spacing w:before="0" w:after="0"/>
            </w:pPr>
            <w:r>
              <w:rPr>
                <w:b w:val="0"/>
                <w:sz w:val="16"/>
              </w:rPr>
              <w:t>Marks ability of a treatment, not uncertainty about a finding-claim.</w:t>
            </w:r>
          </w:p>
        </w:tc>
      </w:tr>
      <w:tr>
        <w:trPr>
          <w:cantSplit/>
        </w:trPr>
        <w:tc>
          <w:tcPr>
            <w:tcW w:type="dxa" w:w="1661"/>
          </w:tcPr>
          <w:p>
            <w:pPr>
              <w:spacing w:before="0" w:after="0"/>
            </w:pPr>
            <w:r>
              <w:rPr>
                <w:b w:val="0"/>
                <w:sz w:val="16"/>
              </w:rPr>
              <w:t>B3</w:t>
            </w:r>
          </w:p>
        </w:tc>
        <w:tc>
          <w:tcPr>
            <w:tcW w:type="dxa" w:w="1661"/>
          </w:tcPr>
          <w:p>
            <w:pPr>
              <w:spacing w:before="0" w:after="0"/>
            </w:pPr>
            <w:r>
              <w:rPr>
                <w:b w:val="0"/>
                <w:sz w:val="16"/>
              </w:rPr>
              <w:t>indicating</w:t>
            </w:r>
          </w:p>
        </w:tc>
        <w:tc>
          <w:tcPr>
            <w:tcW w:type="dxa" w:w="1661"/>
          </w:tcPr>
          <w:p>
            <w:pPr>
              <w:spacing w:before="0" w:after="0"/>
            </w:pPr>
            <w:r>
              <w:rPr>
                <w:b w:val="0"/>
                <w:sz w:val="16"/>
              </w:rPr>
              <w:t>Retained (lexical)</w:t>
            </w:r>
          </w:p>
        </w:tc>
        <w:tc>
          <w:tcPr>
            <w:tcW w:type="dxa" w:w="1661"/>
          </w:tcPr>
          <w:p>
            <w:pPr>
              <w:spacing w:before="0" w:after="0"/>
            </w:pPr>
            <w:r>
              <w:rPr>
                <w:b w:val="0"/>
                <w:sz w:val="16"/>
              </w:rPr>
              <w:t>…presence of bacterial coliform and E. coli…, indicating unsafe conditions…</w:t>
            </w:r>
          </w:p>
        </w:tc>
        <w:tc>
          <w:tcPr>
            <w:tcW w:type="dxa" w:w="1661"/>
          </w:tcPr>
          <w:p>
            <w:pPr>
              <w:spacing w:before="0" w:after="0"/>
            </w:pPr>
            <w:r>
              <w:rPr>
                <w:b w:val="0"/>
                <w:sz w:val="16"/>
              </w:rPr>
              <w:t>Inference beyond the operational lab result.</w:t>
            </w:r>
          </w:p>
        </w:tc>
      </w:tr>
      <w:tr>
        <w:trPr>
          <w:cantSplit/>
        </w:trPr>
        <w:tc>
          <w:tcPr>
            <w:tcW w:type="dxa" w:w="1661"/>
            <w:tcBorders>
              <w:bottom w:val="single" w:sz="18" w:space="0" w:color="000000"/>
            </w:tcBorders>
          </w:tcPr>
          <w:p>
            <w:pPr>
              <w:spacing w:before="0" w:after="0"/>
            </w:pPr>
            <w:r>
              <w:rPr>
                <w:b w:val="0"/>
                <w:sz w:val="16"/>
              </w:rPr>
              <w:t>Aas8</w:t>
            </w:r>
          </w:p>
        </w:tc>
        <w:tc>
          <w:tcPr>
            <w:tcW w:type="dxa" w:w="1661"/>
            <w:tcBorders>
              <w:bottom w:val="single" w:sz="18" w:space="0" w:color="000000"/>
            </w:tcBorders>
          </w:tcPr>
          <w:p>
            <w:pPr>
              <w:spacing w:before="0" w:after="0"/>
            </w:pPr>
            <w:r>
              <w:rPr>
                <w:b w:val="0"/>
                <w:sz w:val="16"/>
              </w:rPr>
              <w:t>indicating</w:t>
            </w:r>
          </w:p>
        </w:tc>
        <w:tc>
          <w:tcPr>
            <w:tcW w:type="dxa" w:w="1661"/>
            <w:tcBorders>
              <w:bottom w:val="single" w:sz="18" w:space="0" w:color="000000"/>
            </w:tcBorders>
          </w:tcPr>
          <w:p>
            <w:pPr>
              <w:spacing w:before="0" w:after="0"/>
            </w:pPr>
            <w:r>
              <w:rPr>
                <w:b w:val="0"/>
                <w:sz w:val="16"/>
              </w:rPr>
              <w:t>False positive (restatement)</w:t>
            </w:r>
          </w:p>
        </w:tc>
        <w:tc>
          <w:tcPr>
            <w:tcW w:type="dxa" w:w="1661"/>
            <w:tcBorders>
              <w:bottom w:val="single" w:sz="18" w:space="0" w:color="000000"/>
            </w:tcBorders>
          </w:tcPr>
          <w:p>
            <w:pPr>
              <w:spacing w:before="0" w:after="0"/>
            </w:pPr>
            <w:r>
              <w:rPr>
                <w:b w:val="0"/>
                <w:sz w:val="16"/>
              </w:rPr>
              <w:t>…lowest feed conversion ratio…, indicating superior feed efficiency…</w:t>
            </w:r>
          </w:p>
        </w:tc>
        <w:tc>
          <w:tcPr>
            <w:tcW w:type="dxa" w:w="1661"/>
            <w:tcBorders>
              <w:bottom w:val="single" w:sz="18" w:space="0" w:color="000000"/>
            </w:tcBorders>
          </w:tcPr>
          <w:p>
            <w:pPr>
              <w:spacing w:before="0" w:after="0"/>
            </w:pPr>
            <w:r>
              <w:rPr>
                <w:b w:val="0"/>
                <w:sz w:val="16"/>
              </w:rPr>
              <w:t>Restates what the measure already means operationally.</w:t>
            </w:r>
          </w:p>
        </w:tc>
      </w:tr>
    </w:tbl>
    <w:p>
      <w:pPr>
        <w:spacing w:line="480" w:lineRule="auto" w:before="0" w:after="0"/>
        <w:ind w:firstLine="720"/>
        <w:jc w:val="both"/>
      </w:pPr>
      <w:r>
        <w:rPr>
          <w:rFonts w:ascii="Georgia" w:hAnsi="Georgia" w:eastAsia="Georgia"/>
          <w:sz w:val="22"/>
        </w:rPr>
        <w:t>The pairs in Table 5.1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p>
    <w:p>
      <w:pPr>
        <w:spacing w:line="480" w:lineRule="auto"/>
        <w:ind w:firstLine="0"/>
        <w:jc w:val="center"/>
      </w:pPr>
      <w:r>
        <w:rPr>
          <w:b/>
          <w:sz w:val="22"/>
        </w:rPr>
        <w:t>Table 5.2</w:t>
      </w:r>
    </w:p>
    <w:p>
      <w:pPr>
        <w:spacing w:line="480" w:lineRule="auto"/>
        <w:ind w:firstLine="0"/>
        <w:jc w:val="center"/>
      </w:pPr>
      <w:r>
        <w:rPr>
          <w:i/>
          <w:sz w:val="22"/>
        </w:rPr>
        <w:t>Illustrative Retained Hedges by Program</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076"/>
        <w:gridCol w:w="2076"/>
        <w:gridCol w:w="2076"/>
        <w:gridCol w:w="2076"/>
      </w:tblGrid>
      <w:tr>
        <w:trPr>
          <w:cantSplit/>
          <w:tblHeader/>
        </w:trPr>
        <w:tc>
          <w:tcPr>
            <w:tcW w:type="dxa" w:w="2076"/>
            <w:tcBorders>
              <w:top w:val="single" w:sz="18" w:space="0" w:color="000000"/>
              <w:bottom w:val="single" w:sz="4" w:space="0" w:color="000000"/>
            </w:tcBorders>
          </w:tcPr>
          <w:p>
            <w:pPr>
              <w:spacing w:before="0" w:after="0"/>
            </w:pPr>
            <w:r>
              <w:rPr>
                <w:b/>
                <w:sz w:val="16"/>
              </w:rPr>
              <w:t>Discipline</w:t>
            </w:r>
          </w:p>
        </w:tc>
        <w:tc>
          <w:tcPr>
            <w:tcW w:type="dxa" w:w="2076"/>
            <w:tcBorders>
              <w:top w:val="single" w:sz="18" w:space="0" w:color="000000"/>
              <w:bottom w:val="single" w:sz="4" w:space="0" w:color="000000"/>
            </w:tcBorders>
          </w:tcPr>
          <w:p>
            <w:pPr>
              <w:spacing w:before="0" w:after="0"/>
            </w:pPr>
            <w:r>
              <w:rPr>
                <w:b/>
                <w:sz w:val="16"/>
              </w:rPr>
              <w:t>ID</w:t>
            </w:r>
          </w:p>
        </w:tc>
        <w:tc>
          <w:tcPr>
            <w:tcW w:type="dxa" w:w="2076"/>
            <w:tcBorders>
              <w:top w:val="single" w:sz="18" w:space="0" w:color="000000"/>
              <w:bottom w:val="single" w:sz="4" w:space="0" w:color="000000"/>
            </w:tcBorders>
          </w:tcPr>
          <w:p>
            <w:pPr>
              <w:spacing w:before="0" w:after="0"/>
            </w:pPr>
            <w:r>
              <w:rPr>
                <w:b/>
                <w:sz w:val="16"/>
              </w:rPr>
              <w:t>Token</w:t>
            </w:r>
          </w:p>
        </w:tc>
        <w:tc>
          <w:tcPr>
            <w:tcW w:type="dxa" w:w="2076"/>
            <w:tcBorders>
              <w:top w:val="single" w:sz="18" w:space="0" w:color="000000"/>
              <w:bottom w:val="single" w:sz="4" w:space="0" w:color="000000"/>
            </w:tcBorders>
          </w:tcPr>
          <w:p>
            <w:pPr>
              <w:spacing w:before="0" w:after="0"/>
            </w:pPr>
            <w:r>
              <w:rPr>
                <w:b/>
                <w:sz w:val="16"/>
              </w:rPr>
              <w:t>Excerpt</w:t>
            </w:r>
          </w:p>
        </w:tc>
      </w:tr>
      <w:tr>
        <w:trPr>
          <w:cantSplit/>
        </w:trPr>
        <w:tc>
          <w:tcPr>
            <w:tcW w:type="dxa" w:w="2076"/>
          </w:tcPr>
          <w:p>
            <w:pPr>
              <w:spacing w:before="0" w:after="0"/>
            </w:pPr>
            <w:r>
              <w:rPr>
                <w:b w:val="0"/>
                <w:sz w:val="16"/>
              </w:rPr>
              <w:t>Agriculture</w:t>
            </w:r>
          </w:p>
        </w:tc>
        <w:tc>
          <w:tcPr>
            <w:tcW w:type="dxa" w:w="2076"/>
          </w:tcPr>
          <w:p>
            <w:pPr>
              <w:spacing w:before="0" w:after="0"/>
            </w:pPr>
            <w:r>
              <w:rPr>
                <w:b w:val="0"/>
                <w:sz w:val="16"/>
              </w:rPr>
              <w:t>Acs1</w:t>
            </w:r>
          </w:p>
        </w:tc>
        <w:tc>
          <w:tcPr>
            <w:tcW w:type="dxa" w:w="2076"/>
          </w:tcPr>
          <w:p>
            <w:pPr>
              <w:spacing w:before="0" w:after="0"/>
            </w:pPr>
            <w:r>
              <w:rPr>
                <w:b w:val="0"/>
                <w:sz w:val="16"/>
              </w:rPr>
              <w:t>suggest</w:t>
            </w:r>
          </w:p>
        </w:tc>
        <w:tc>
          <w:tcPr>
            <w:tcW w:type="dxa" w:w="2076"/>
          </w:tcPr>
          <w:p>
            <w:pPr>
              <w:spacing w:before="0" w:after="0"/>
            </w:pPr>
            <w:r>
              <w:rPr>
                <w:b w:val="0"/>
                <w:sz w:val="16"/>
              </w:rPr>
              <w:t>These findings suggest that fermented banana peel…</w:t>
            </w:r>
          </w:p>
        </w:tc>
      </w:tr>
      <w:tr>
        <w:trPr>
          <w:cantSplit/>
        </w:trPr>
        <w:tc>
          <w:tcPr>
            <w:tcW w:type="dxa" w:w="2076"/>
          </w:tcPr>
          <w:p>
            <w:pPr>
              <w:spacing w:before="0" w:after="0"/>
            </w:pPr>
            <w:r>
              <w:rPr>
                <w:b w:val="0"/>
                <w:sz w:val="16"/>
              </w:rPr>
              <w:t>Agriculture</w:t>
            </w:r>
          </w:p>
        </w:tc>
        <w:tc>
          <w:tcPr>
            <w:tcW w:type="dxa" w:w="2076"/>
          </w:tcPr>
          <w:p>
            <w:pPr>
              <w:spacing w:before="0" w:after="0"/>
            </w:pPr>
            <w:r>
              <w:rPr>
                <w:b w:val="0"/>
                <w:sz w:val="16"/>
              </w:rPr>
              <w:t>Acs2</w:t>
            </w:r>
          </w:p>
        </w:tc>
        <w:tc>
          <w:tcPr>
            <w:tcW w:type="dxa" w:w="2076"/>
          </w:tcPr>
          <w:p>
            <w:pPr>
              <w:spacing w:before="0" w:after="0"/>
            </w:pPr>
            <w:r>
              <w:rPr>
                <w:b w:val="0"/>
                <w:sz w:val="16"/>
              </w:rPr>
              <w:t>could / potential</w:t>
            </w:r>
          </w:p>
        </w:tc>
        <w:tc>
          <w:tcPr>
            <w:tcW w:type="dxa" w:w="2076"/>
          </w:tcPr>
          <w:p>
            <w:pPr>
              <w:spacing w:before="0" w:after="0"/>
            </w:pPr>
            <w:r>
              <w:rPr>
                <w:b w:val="0"/>
                <w:sz w:val="16"/>
              </w:rPr>
              <w:t>…the mycorrhiza treatment could still offer potential benefits…</w:t>
            </w:r>
          </w:p>
        </w:tc>
      </w:tr>
      <w:tr>
        <w:trPr>
          <w:cantSplit/>
        </w:trPr>
        <w:tc>
          <w:tcPr>
            <w:tcW w:type="dxa" w:w="2076"/>
          </w:tcPr>
          <w:p>
            <w:pPr>
              <w:spacing w:before="0" w:after="0"/>
            </w:pPr>
            <w:r>
              <w:rPr>
                <w:b w:val="0"/>
                <w:sz w:val="16"/>
              </w:rPr>
              <w:t>Biology</w:t>
            </w:r>
          </w:p>
        </w:tc>
        <w:tc>
          <w:tcPr>
            <w:tcW w:type="dxa" w:w="2076"/>
          </w:tcPr>
          <w:p>
            <w:pPr>
              <w:spacing w:before="0" w:after="0"/>
            </w:pPr>
            <w:r>
              <w:rPr>
                <w:b w:val="0"/>
                <w:sz w:val="16"/>
              </w:rPr>
              <w:t>B1</w:t>
            </w:r>
          </w:p>
        </w:tc>
        <w:tc>
          <w:tcPr>
            <w:tcW w:type="dxa" w:w="2076"/>
          </w:tcPr>
          <w:p>
            <w:pPr>
              <w:spacing w:before="0" w:after="0"/>
            </w:pPr>
            <w:r>
              <w:rPr>
                <w:b w:val="0"/>
                <w:sz w:val="16"/>
              </w:rPr>
              <w:t>implies</w:t>
            </w:r>
          </w:p>
        </w:tc>
        <w:tc>
          <w:tcPr>
            <w:tcW w:type="dxa" w:w="2076"/>
          </w:tcPr>
          <w:p>
            <w:pPr>
              <w:spacing w:before="0" w:after="0"/>
            </w:pPr>
            <w:r>
              <w:rPr>
                <w:b w:val="0"/>
                <w:sz w:val="16"/>
              </w:rPr>
              <w:t>This implies that the use of low concentration of B. subtilis…</w:t>
            </w:r>
          </w:p>
        </w:tc>
      </w:tr>
      <w:tr>
        <w:trPr>
          <w:cantSplit/>
        </w:trPr>
        <w:tc>
          <w:tcPr>
            <w:tcW w:type="dxa" w:w="2076"/>
          </w:tcPr>
          <w:p>
            <w:pPr>
              <w:spacing w:before="0" w:after="0"/>
            </w:pPr>
            <w:r>
              <w:rPr>
                <w:b w:val="0"/>
                <w:sz w:val="16"/>
              </w:rPr>
              <w:t>Biology</w:t>
            </w:r>
          </w:p>
        </w:tc>
        <w:tc>
          <w:tcPr>
            <w:tcW w:type="dxa" w:w="2076"/>
          </w:tcPr>
          <w:p>
            <w:pPr>
              <w:spacing w:before="0" w:after="0"/>
            </w:pPr>
            <w:r>
              <w:rPr>
                <w:b w:val="0"/>
                <w:sz w:val="16"/>
              </w:rPr>
              <w:t>B4</w:t>
            </w:r>
          </w:p>
        </w:tc>
        <w:tc>
          <w:tcPr>
            <w:tcW w:type="dxa" w:w="2076"/>
          </w:tcPr>
          <w:p>
            <w:pPr>
              <w:spacing w:before="0" w:after="0"/>
            </w:pPr>
            <w:r>
              <w:rPr>
                <w:b w:val="0"/>
                <w:sz w:val="16"/>
              </w:rPr>
              <w:t>may</w:t>
            </w:r>
          </w:p>
        </w:tc>
        <w:tc>
          <w:tcPr>
            <w:tcW w:type="dxa" w:w="2076"/>
          </w:tcPr>
          <w:p>
            <w:pPr>
              <w:spacing w:before="0" w:after="0"/>
            </w:pPr>
            <w:r>
              <w:rPr>
                <w:b w:val="0"/>
                <w:sz w:val="16"/>
              </w:rPr>
              <w:t>…flavonoids and saponins may contribute to its therapeutic effects.</w:t>
            </w:r>
          </w:p>
        </w:tc>
      </w:tr>
      <w:tr>
        <w:trPr>
          <w:cantSplit/>
        </w:trPr>
        <w:tc>
          <w:tcPr>
            <w:tcW w:type="dxa" w:w="2076"/>
          </w:tcPr>
          <w:p>
            <w:pPr>
              <w:spacing w:before="0" w:after="0"/>
            </w:pPr>
            <w:r>
              <w:rPr>
                <w:b w:val="0"/>
                <w:sz w:val="16"/>
              </w:rPr>
              <w:t>Veterinary Medicine</w:t>
            </w:r>
          </w:p>
        </w:tc>
        <w:tc>
          <w:tcPr>
            <w:tcW w:type="dxa" w:w="2076"/>
          </w:tcPr>
          <w:p>
            <w:pPr>
              <w:spacing w:before="0" w:after="0"/>
            </w:pPr>
            <w:r>
              <w:rPr>
                <w:b w:val="0"/>
                <w:sz w:val="16"/>
              </w:rPr>
              <w:t>VM5</w:t>
            </w:r>
          </w:p>
        </w:tc>
        <w:tc>
          <w:tcPr>
            <w:tcW w:type="dxa" w:w="2076"/>
          </w:tcPr>
          <w:p>
            <w:pPr>
              <w:spacing w:before="0" w:after="0"/>
            </w:pPr>
            <w:r>
              <w:rPr>
                <w:b w:val="0"/>
                <w:sz w:val="16"/>
              </w:rPr>
              <w:t>potential</w:t>
            </w:r>
          </w:p>
        </w:tc>
        <w:tc>
          <w:tcPr>
            <w:tcW w:type="dxa" w:w="2076"/>
          </w:tcPr>
          <w:p>
            <w:pPr>
              <w:spacing w:before="0" w:after="0"/>
            </w:pPr>
            <w:r>
              <w:rPr>
                <w:b w:val="0"/>
                <w:sz w:val="16"/>
              </w:rPr>
              <w:t>…highlight the potential of M. calabura L. as a source of antifungal agents…</w:t>
            </w:r>
          </w:p>
        </w:tc>
      </w:tr>
      <w:tr>
        <w:trPr>
          <w:cantSplit/>
        </w:trPr>
        <w:tc>
          <w:tcPr>
            <w:tcW w:type="dxa" w:w="2076"/>
            <w:tcBorders>
              <w:bottom w:val="single" w:sz="18" w:space="0" w:color="000000"/>
            </w:tcBorders>
          </w:tcPr>
          <w:p>
            <w:pPr>
              <w:spacing w:before="0" w:after="0"/>
            </w:pPr>
            <w:r>
              <w:rPr>
                <w:b w:val="0"/>
                <w:sz w:val="16"/>
              </w:rPr>
              <w:t>Veterinary Medicine</w:t>
            </w:r>
          </w:p>
        </w:tc>
        <w:tc>
          <w:tcPr>
            <w:tcW w:type="dxa" w:w="2076"/>
            <w:tcBorders>
              <w:bottom w:val="single" w:sz="18" w:space="0" w:color="000000"/>
            </w:tcBorders>
          </w:tcPr>
          <w:p>
            <w:pPr>
              <w:spacing w:before="0" w:after="0"/>
            </w:pPr>
            <w:r>
              <w:rPr>
                <w:b w:val="0"/>
                <w:sz w:val="16"/>
              </w:rPr>
              <w:t>VM12</w:t>
            </w:r>
          </w:p>
        </w:tc>
        <w:tc>
          <w:tcPr>
            <w:tcW w:type="dxa" w:w="2076"/>
            <w:tcBorders>
              <w:bottom w:val="single" w:sz="18" w:space="0" w:color="000000"/>
            </w:tcBorders>
          </w:tcPr>
          <w:p>
            <w:pPr>
              <w:spacing w:before="0" w:after="0"/>
            </w:pPr>
            <w:r>
              <w:rPr>
                <w:b w:val="0"/>
                <w:sz w:val="16"/>
              </w:rPr>
              <w:t>might</w:t>
            </w:r>
          </w:p>
        </w:tc>
        <w:tc>
          <w:tcPr>
            <w:tcW w:type="dxa" w:w="2076"/>
            <w:tcBorders>
              <w:bottom w:val="single" w:sz="18" w:space="0" w:color="000000"/>
            </w:tcBorders>
          </w:tcPr>
          <w:p>
            <w:pPr>
              <w:spacing w:before="0" w:after="0"/>
            </w:pPr>
            <w:r>
              <w:rPr>
                <w:b w:val="0"/>
                <w:sz w:val="16"/>
              </w:rPr>
              <w:t>…might be effective… but it is not conclusive that ASF is not present…</w:t>
            </w:r>
          </w:p>
        </w:tc>
      </w:tr>
    </w:tbl>
    <w:p w:rsidR="00000000" w:rsidDel="00000000" w:rsidP="00000000" w:rsidRDefault="00000000" w:rsidRPr="00000000" w14:paraId="00000177">
      <w:pPr>
        <w:keepNext w:val="1"/>
        <w:spacing w:after="120" w:before="240" w:line="480" w:lineRule="auto"/>
        <w:ind w:firstLine="0"/>
        <w:rPr>
          <w:sz w:val="24"/>
          <w:szCs w:val="24"/>
        </w:rPr>
      </w:pPr>
      <w:r>
        <w:rPr>
          <w:b w:val="1"/>
          <w:bCs w:val="1"/>
          <w:sz w:val="24"/>
          <w:szCs w:val="24"/>
          <w:rtl w:val="0"/>
        </w:rPr>
        <w:t xml:space="preserve">Part IV: Uneven Caution across Programs</w:t>
      </w:r>
      <w:r>
        <w:rPr>
          <w:rtl w:val="0"/>
        </w:rPr>
      </w:r>
    </w:p>
    <w:p w:rsidR="00000000" w:rsidDel="00000000" w:rsidP="00000000" w:rsidRDefault="00000000" w:rsidRPr="00000000" w14:paraId="00000178">
      <w:pPr>
        <w:spacing w:after="0" w:before="0" w:line="480" w:lineRule="auto"/>
        <w:ind w:firstLine="720"/>
        <w:jc w:val="both"/>
        <w:rPr/>
      </w:pPr>
      <w:r>
        <w:rPr>
          <w:rFonts w:ascii="Georgia" w:hAnsi="Georgia" w:eastAsia="Georgia"/>
          <w:sz w:val="22"/>
        </w:rPr>
        <w:t>Part IV asks what the density and function findings mean once outcome type and program wording are read together. The discussion draws on Salager-Meyer’s (1994) claim-responsibility framework and Hyland’s (2005) stance model. Table 6 classifies how each abstract reports its main results. Table 6.1 samples how the programs word caution in concrete excerpts.</w:t>
      </w:r>
    </w:p>
    <w:p w:rsidR="00000000" w:rsidDel="00000000" w:rsidP="00000000" w:rsidRDefault="00000000" w:rsidRPr="00000000" w14:paraId="00000179">
      <w:pPr>
        <w:keepNext w:val="1"/>
        <w:pageBreakBefore w:val="0"/>
        <w:spacing w:after="0" w:before="720" w:line="480" w:lineRule="auto"/>
        <w:ind w:firstLine="0"/>
        <w:jc w:val="center"/>
        <w:rPr/>
      </w:pPr>
      <w:r>
        <w:rPr>
          <w:b/>
          <w:sz w:val="22"/>
        </w:rPr>
        <w:t>Table 6</w:t>
      </w:r>
    </w:p>
    <w:p w:rsidR="00000000" w:rsidDel="00000000" w:rsidP="00000000" w:rsidRDefault="00000000" w:rsidRPr="00000000" w14:paraId="0000017A">
      <w:pPr>
        <w:keepNext w:val="1"/>
        <w:spacing w:after="60" w:before="0" w:line="480" w:lineRule="auto"/>
        <w:jc w:val="center"/>
        <w:rPr/>
      </w:pPr>
      <w:r>
        <w:rPr>
          <w:rtl w:val="0"/>
        </w:rPr>
        <w:t xml:space="preserve">Outcome Type by Discipline</w:t>
      </w:r>
    </w:p>
    <w:tbl>
      <w:tblPr>
        <w:tblStyle w:val="Table7"/>
        <w:tblW w:w="8305.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Change w:id="0">
          <w:tblGrid>
            <w:gridCol w:w="1661"/>
            <w:gridCol w:w="1661"/>
            <w:gridCol w:w="1661"/>
            <w:gridCol w:w="1661"/>
            <w:gridCol w:w="1661"/>
          </w:tblGrid>
        </w:tblGridChange>
      </w:tblGrid>
      <w:tr>
        <w:trPr>
          <w:cantSplit/>
          <w:tblHeader/>
        </w:trPr>
        <w:tc>
          <w:tcPr>
            <w:tcBorders>
              <w:bottom w:val="single" w:sz="4" w:color="000000" w:space="0"/>
            </w:tcBorders>
          </w:tcPr>
          <w:p w:rsidR="00000000" w:rsidDel="00000000" w:rsidP="00000000" w:rsidRDefault="00000000" w:rsidRPr="00000000" w14:paraId="0000017B">
            <w:pPr>
              <w:spacing w:after="0" w:before="0" w:line="480" w:lineRule="auto"/>
              <w:rPr>
                <w:sz w:val="18"/>
                <w:szCs w:val="18"/>
              </w:rPr>
            </w:pPr>
            <w:r>
              <w:rPr>
                <w:b w:val="1"/>
                <w:bCs w:val="1"/>
                <w:sz w:val="18"/>
                <w:szCs w:val="18"/>
                <w:rtl w:val="0"/>
              </w:rPr>
              <w:t xml:space="preserve">Outcome Type</w:t>
            </w:r>
            <w:r>
              <w:rPr>
                <w:rtl w:val="0"/>
              </w:rPr>
            </w:r>
          </w:p>
        </w:tc>
        <w:tc>
          <w:tcPr>
            <w:tcBorders>
              <w:bottom w:val="single" w:sz="4" w:color="000000" w:space="0"/>
            </w:tcBorders>
          </w:tcPr>
          <w:p w:rsidR="00000000" w:rsidDel="00000000" w:rsidP="00000000" w:rsidRDefault="00000000" w:rsidRPr="00000000" w14:paraId="0000017C">
            <w:pPr>
              <w:spacing w:after="0" w:before="0" w:line="480" w:lineRule="auto"/>
              <w:rPr>
                <w:sz w:val="18"/>
                <w:szCs w:val="18"/>
              </w:rPr>
            </w:pPr>
            <w:r>
              <w:rPr>
                <w:b w:val="1"/>
                <w:bCs w:val="1"/>
                <w:sz w:val="18"/>
                <w:szCs w:val="18"/>
                <w:rtl w:val="0"/>
              </w:rPr>
              <w:t xml:space="preserve">Agriculture</w:t>
            </w:r>
            <w:r>
              <w:rPr>
                <w:rtl w:val="0"/>
              </w:rPr>
            </w:r>
          </w:p>
        </w:tc>
        <w:tc>
          <w:tcPr>
            <w:tcBorders>
              <w:bottom w:val="single" w:sz="4" w:color="000000" w:space="0"/>
            </w:tcBorders>
          </w:tcPr>
          <w:p w:rsidR="00000000" w:rsidDel="00000000" w:rsidP="00000000" w:rsidRDefault="00000000" w:rsidRPr="00000000" w14:paraId="0000017D">
            <w:pPr>
              <w:spacing w:after="0" w:before="0" w:line="480" w:lineRule="auto"/>
              <w:rPr>
                <w:sz w:val="18"/>
                <w:szCs w:val="18"/>
              </w:rPr>
            </w:pPr>
            <w:r>
              <w:rPr>
                <w:b w:val="1"/>
                <w:bCs w:val="1"/>
                <w:sz w:val="18"/>
                <w:szCs w:val="18"/>
                <w:rtl w:val="0"/>
              </w:rPr>
              <w:t xml:space="preserve">Veterinary Medicine</w:t>
            </w:r>
            <w:r>
              <w:rPr>
                <w:rtl w:val="0"/>
              </w:rPr>
            </w:r>
          </w:p>
        </w:tc>
        <w:tc>
          <w:tcPr>
            <w:tcBorders>
              <w:bottom w:val="single" w:sz="4" w:color="000000" w:space="0"/>
            </w:tcBorders>
          </w:tcPr>
          <w:p w:rsidR="00000000" w:rsidDel="00000000" w:rsidP="00000000" w:rsidRDefault="00000000" w:rsidRPr="00000000" w14:paraId="0000017E">
            <w:pPr>
              <w:spacing w:after="0" w:before="0" w:line="480" w:lineRule="auto"/>
              <w:rPr>
                <w:sz w:val="18"/>
                <w:szCs w:val="18"/>
              </w:rPr>
            </w:pPr>
            <w:r>
              <w:rPr>
                <w:b w:val="1"/>
                <w:bCs w:val="1"/>
                <w:sz w:val="18"/>
                <w:szCs w:val="18"/>
                <w:rtl w:val="0"/>
              </w:rPr>
              <w:t xml:space="preserve">Biology</w:t>
            </w:r>
            <w:r>
              <w:rPr>
                <w:rtl w:val="0"/>
              </w:rPr>
            </w:r>
          </w:p>
        </w:tc>
        <w:tc>
          <w:tcPr>
            <w:tcBorders>
              <w:bottom w:val="single" w:sz="4" w:color="000000" w:space="0"/>
            </w:tcBorders>
          </w:tcPr>
          <w:p w:rsidR="00000000" w:rsidDel="00000000" w:rsidP="00000000" w:rsidRDefault="00000000" w:rsidRPr="00000000" w14:paraId="0000017F">
            <w:pPr>
              <w:spacing w:after="0" w:before="0" w:line="480" w:lineRule="auto"/>
              <w:rPr>
                <w:sz w:val="18"/>
                <w:szCs w:val="18"/>
              </w:rPr>
            </w:pPr>
            <w:r>
              <w:rPr>
                <w:b w:val="1"/>
                <w:bCs w:val="1"/>
                <w:sz w:val="18"/>
                <w:szCs w:val="18"/>
                <w:rtl w:val="0"/>
              </w:rPr>
              <w:t xml:space="preserve">Total</w:t>
            </w:r>
            <w:r>
              <w:rPr>
                <w:rtl w:val="0"/>
              </w:rPr>
            </w:r>
          </w:p>
        </w:tc>
      </w:tr>
      <w:tr>
        <w:trPr>
          <w:cantSplit/>
        </w:trPr>
        <w:tc>
          <w:tcPr/>
          <w:p w:rsidR="00000000" w:rsidDel="00000000" w:rsidP="00000000" w:rsidRDefault="00000000" w:rsidRPr="00000000" w14:paraId="00000180">
            <w:pPr>
              <w:spacing w:after="0" w:before="0" w:line="480" w:lineRule="auto"/>
              <w:rPr>
                <w:sz w:val="18"/>
                <w:szCs w:val="18"/>
              </w:rPr>
            </w:pPr>
            <w:r>
              <w:rPr>
                <w:sz w:val="18"/>
                <w:szCs w:val="18"/>
                <w:rtl w:val="0"/>
              </w:rPr>
              <w:t xml:space="preserve">Binary</w:t>
            </w:r>
          </w:p>
        </w:tc>
        <w:tc>
          <w:tcPr/>
          <w:p w:rsidR="00000000" w:rsidDel="00000000" w:rsidP="00000000" w:rsidRDefault="00000000" w:rsidRPr="00000000" w14:paraId="00000181">
            <w:pPr>
              <w:spacing w:after="0" w:before="0" w:line="480" w:lineRule="auto"/>
              <w:rPr>
                <w:sz w:val="18"/>
                <w:szCs w:val="18"/>
              </w:rPr>
            </w:pPr>
            <w:r>
              <w:rPr>
                <w:sz w:val="18"/>
                <w:szCs w:val="18"/>
                <w:rtl w:val="0"/>
              </w:rPr>
              <w:t xml:space="preserve">0</w:t>
            </w:r>
          </w:p>
        </w:tc>
        <w:tc>
          <w:tcPr/>
          <w:p w:rsidR="00000000" w:rsidDel="00000000" w:rsidP="00000000" w:rsidRDefault="00000000" w:rsidRPr="00000000" w14:paraId="00000182">
            <w:pPr>
              <w:spacing w:after="0" w:before="0" w:line="480" w:lineRule="auto"/>
              <w:rPr>
                <w:sz w:val="18"/>
                <w:szCs w:val="18"/>
              </w:rPr>
            </w:pPr>
            <w:r>
              <w:rPr>
                <w:sz w:val="18"/>
                <w:szCs w:val="18"/>
                <w:rtl w:val="0"/>
              </w:rPr>
              <w:t xml:space="preserve">8</w:t>
            </w:r>
          </w:p>
        </w:tc>
        <w:tc>
          <w:tcPr/>
          <w:p w:rsidR="00000000" w:rsidDel="00000000" w:rsidP="00000000" w:rsidRDefault="00000000" w:rsidRPr="00000000" w14:paraId="00000183">
            <w:pPr>
              <w:spacing w:after="0" w:before="0" w:line="480" w:lineRule="auto"/>
              <w:rPr>
                <w:sz w:val="18"/>
                <w:szCs w:val="18"/>
              </w:rPr>
            </w:pPr>
            <w:r>
              <w:rPr>
                <w:sz w:val="18"/>
                <w:szCs w:val="18"/>
                <w:rtl w:val="0"/>
              </w:rPr>
              <w:t xml:space="preserve">7</w:t>
            </w:r>
          </w:p>
        </w:tc>
        <w:tc>
          <w:tcPr/>
          <w:p w:rsidR="00000000" w:rsidDel="00000000" w:rsidP="00000000" w:rsidRDefault="00000000" w:rsidRPr="00000000" w14:paraId="00000184">
            <w:pPr>
              <w:spacing w:after="0" w:before="0" w:line="480" w:lineRule="auto"/>
              <w:rPr>
                <w:sz w:val="18"/>
                <w:szCs w:val="18"/>
              </w:rPr>
            </w:pPr>
            <w:r>
              <w:rPr>
                <w:sz w:val="18"/>
                <w:szCs w:val="18"/>
                <w:rtl w:val="0"/>
              </w:rPr>
              <w:t xml:space="preserve">15</w:t>
            </w:r>
          </w:p>
        </w:tc>
      </w:tr>
      <w:tr>
        <w:trPr>
          <w:cantSplit/>
        </w:trPr>
        <w:tc>
          <w:tcPr/>
          <w:p w:rsidR="00000000" w:rsidDel="00000000" w:rsidP="00000000" w:rsidRDefault="00000000" w:rsidRPr="00000000" w14:paraId="00000185">
            <w:pPr>
              <w:spacing w:after="0" w:before="0" w:line="480" w:lineRule="auto"/>
              <w:rPr>
                <w:sz w:val="18"/>
                <w:szCs w:val="18"/>
              </w:rPr>
            </w:pPr>
            <w:r>
              <w:rPr>
                <w:sz w:val="18"/>
                <w:szCs w:val="18"/>
                <w:rtl w:val="0"/>
              </w:rPr>
              <w:t xml:space="preserve">Continuous</w:t>
            </w:r>
          </w:p>
        </w:tc>
        <w:tc>
          <w:tcPr/>
          <w:p w:rsidR="00000000" w:rsidDel="00000000" w:rsidP="00000000" w:rsidRDefault="00000000" w:rsidRPr="00000000" w14:paraId="00000186">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7">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8">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89">
            <w:pPr>
              <w:spacing w:after="0" w:before="0" w:line="480" w:lineRule="auto"/>
              <w:rPr>
                <w:sz w:val="18"/>
                <w:szCs w:val="18"/>
              </w:rPr>
            </w:pPr>
            <w:r>
              <w:rPr>
                <w:sz w:val="18"/>
                <w:szCs w:val="18"/>
                <w:rtl w:val="0"/>
              </w:rPr>
              <w:t xml:space="preserve">10</w:t>
            </w:r>
          </w:p>
        </w:tc>
      </w:tr>
      <w:tr>
        <w:trPr>
          <w:cantSplit/>
        </w:trPr>
        <w:tc>
          <w:tcPr/>
          <w:p w:rsidR="00000000" w:rsidDel="00000000" w:rsidP="00000000" w:rsidRDefault="00000000" w:rsidRPr="00000000" w14:paraId="0000018A">
            <w:pPr>
              <w:spacing w:after="0" w:before="0" w:line="480" w:lineRule="auto"/>
              <w:rPr>
                <w:sz w:val="18"/>
                <w:szCs w:val="18"/>
              </w:rPr>
            </w:pPr>
            <w:r>
              <w:rPr>
                <w:sz w:val="18"/>
                <w:szCs w:val="18"/>
                <w:rtl w:val="0"/>
              </w:rPr>
              <w:t xml:space="preserve">Mixed</w:t>
            </w:r>
          </w:p>
        </w:tc>
        <w:tc>
          <w:tcPr/>
          <w:p w:rsidR="00000000" w:rsidDel="00000000" w:rsidP="00000000" w:rsidRDefault="00000000" w:rsidRPr="00000000" w14:paraId="0000018B">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8C">
            <w:pPr>
              <w:spacing w:after="0" w:before="0" w:line="480" w:lineRule="auto"/>
              <w:rPr>
                <w:sz w:val="18"/>
                <w:szCs w:val="18"/>
              </w:rPr>
            </w:pPr>
            <w:r>
              <w:rPr>
                <w:sz w:val="18"/>
                <w:szCs w:val="18"/>
                <w:rtl w:val="0"/>
              </w:rPr>
              <w:t xml:space="preserve">3</w:t>
            </w:r>
          </w:p>
        </w:tc>
        <w:tc>
          <w:tcPr/>
          <w:p w:rsidR="00000000" w:rsidDel="00000000" w:rsidP="00000000" w:rsidRDefault="00000000" w:rsidRPr="00000000" w14:paraId="0000018D">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E">
            <w:pPr>
              <w:spacing w:after="0" w:before="0" w:line="480" w:lineRule="auto"/>
              <w:rPr>
                <w:sz w:val="18"/>
                <w:szCs w:val="18"/>
              </w:rPr>
            </w:pPr>
            <w:r>
              <w:rPr>
                <w:sz w:val="18"/>
                <w:szCs w:val="18"/>
                <w:rtl w:val="0"/>
              </w:rPr>
              <w:t xml:space="preserve">9</w:t>
            </w:r>
          </w:p>
        </w:tc>
      </w:tr>
      <w:tr>
        <w:trPr>
          <w:cantSplit/>
        </w:trPr>
        <w:tc>
          <w:tcPr/>
          <w:p w:rsidR="00000000" w:rsidDel="00000000" w:rsidP="00000000" w:rsidRDefault="00000000" w:rsidRPr="00000000" w14:paraId="0000018F">
            <w:pPr>
              <w:spacing w:after="0" w:before="0" w:line="480" w:lineRule="auto"/>
              <w:rPr>
                <w:sz w:val="18"/>
                <w:szCs w:val="18"/>
              </w:rPr>
            </w:pPr>
            <w:r>
              <w:rPr>
                <w:sz w:val="18"/>
                <w:szCs w:val="18"/>
                <w:rtl w:val="0"/>
              </w:rPr>
              <w:t xml:space="preserve">Null/NS</w:t>
            </w:r>
          </w:p>
        </w:tc>
        <w:tc>
          <w:tcPr/>
          <w:p w:rsidR="00000000" w:rsidDel="00000000" w:rsidP="00000000" w:rsidRDefault="00000000" w:rsidRPr="00000000" w14:paraId="00000190">
            <w:pPr>
              <w:spacing w:after="0" w:before="0" w:line="480" w:lineRule="auto"/>
              <w:rPr>
                <w:sz w:val="18"/>
                <w:szCs w:val="18"/>
              </w:rPr>
            </w:pPr>
            <w:r>
              <w:rPr>
                <w:sz w:val="18"/>
                <w:szCs w:val="18"/>
                <w:rtl w:val="0"/>
              </w:rPr>
              <w:t xml:space="preserve">14</w:t>
            </w:r>
          </w:p>
        </w:tc>
        <w:tc>
          <w:tcPr/>
          <w:p w:rsidR="00000000" w:rsidDel="00000000" w:rsidP="00000000" w:rsidRDefault="00000000" w:rsidRPr="00000000" w14:paraId="00000191">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92">
            <w:pPr>
              <w:spacing w:after="0" w:before="0" w:line="480" w:lineRule="auto"/>
              <w:rPr>
                <w:sz w:val="18"/>
                <w:szCs w:val="18"/>
              </w:rPr>
            </w:pPr>
            <w:r>
              <w:rPr>
                <w:sz w:val="18"/>
                <w:szCs w:val="18"/>
                <w:rtl w:val="0"/>
              </w:rPr>
              <w:t xml:space="preserve">5</w:t>
            </w:r>
          </w:p>
        </w:tc>
        <w:tc>
          <w:tcPr/>
          <w:p w:rsidR="00000000" w:rsidDel="00000000" w:rsidP="00000000" w:rsidRDefault="00000000" w:rsidRPr="00000000" w14:paraId="00000193">
            <w:pPr>
              <w:spacing w:after="0" w:before="0" w:line="480" w:lineRule="auto"/>
              <w:rPr>
                <w:sz w:val="18"/>
                <w:szCs w:val="18"/>
              </w:rPr>
            </w:pPr>
            <w:r>
              <w:rPr>
                <w:sz w:val="18"/>
                <w:szCs w:val="18"/>
                <w:rtl w:val="0"/>
              </w:rPr>
              <w:t xml:space="preserve">21</w:t>
            </w:r>
          </w:p>
        </w:tc>
      </w:tr>
      <w:tr>
        <w:trPr>
          <w:cantSplit/>
        </w:trPr>
        <w:tc>
          <w:tcPr/>
          <w:p w:rsidR="00000000" w:rsidDel="00000000" w:rsidP="00000000" w:rsidRDefault="00000000" w:rsidRPr="00000000" w14:paraId="00000194">
            <w:pPr>
              <w:spacing w:after="0" w:before="0" w:line="480" w:lineRule="auto"/>
              <w:rPr>
                <w:sz w:val="18"/>
                <w:szCs w:val="18"/>
              </w:rPr>
            </w:pPr>
            <w:r>
              <w:rPr>
                <w:sz w:val="18"/>
                <w:szCs w:val="18"/>
                <w:rtl w:val="0"/>
              </w:rPr>
              <w:t xml:space="preserve">Other</w:t>
            </w:r>
          </w:p>
        </w:tc>
        <w:tc>
          <w:tcPr/>
          <w:p w:rsidR="00000000" w:rsidDel="00000000" w:rsidP="00000000" w:rsidRDefault="00000000" w:rsidRPr="00000000" w14:paraId="00000195">
            <w:pPr>
              <w:spacing w:after="0" w:before="0" w:line="480" w:lineRule="auto"/>
              <w:rPr>
                <w:sz w:val="18"/>
                <w:szCs w:val="18"/>
              </w:rPr>
            </w:pPr>
            <w:r>
              <w:rPr>
                <w:sz w:val="18"/>
                <w:szCs w:val="18"/>
                <w:rtl w:val="0"/>
              </w:rPr>
              <w:t xml:space="preserve">0</w:t>
            </w:r>
          </w:p>
        </w:tc>
        <w:tc>
          <w:tcPr/>
          <w:p w:rsidR="00000000" w:rsidDel="00000000" w:rsidP="00000000" w:rsidRDefault="00000000" w:rsidRPr="00000000" w14:paraId="00000196">
            <w:pPr>
              <w:spacing w:after="0" w:before="0" w:line="480" w:lineRule="auto"/>
              <w:rPr>
                <w:sz w:val="18"/>
                <w:szCs w:val="18"/>
              </w:rPr>
            </w:pPr>
            <w:r>
              <w:rPr>
                <w:sz w:val="18"/>
                <w:szCs w:val="18"/>
                <w:rtl w:val="0"/>
              </w:rPr>
              <w:t xml:space="preserve">3</w:t>
            </w:r>
          </w:p>
        </w:tc>
        <w:tc>
          <w:tcPr/>
          <w:p w:rsidR="00000000" w:rsidDel="00000000" w:rsidP="00000000" w:rsidRDefault="00000000" w:rsidRPr="00000000" w14:paraId="00000197">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98">
            <w:pPr>
              <w:spacing w:after="0" w:before="0" w:line="480" w:lineRule="auto"/>
              <w:rPr>
                <w:sz w:val="18"/>
                <w:szCs w:val="18"/>
              </w:rPr>
            </w:pPr>
            <w:r>
              <w:rPr>
                <w:sz w:val="18"/>
                <w:szCs w:val="18"/>
                <w:rtl w:val="0"/>
              </w:rPr>
              <w:t xml:space="preserve">5</w:t>
            </w:r>
          </w:p>
        </w:tc>
      </w:tr>
      <w:tr>
        <w:trPr>
          <w:cantSplit/>
        </w:trPr>
        <w:tc>
          <w:tcPr>
            <w:tcBorders>
              <w:top w:val="single" w:sz="4" w:space="0" w:color="000000"/>
              <w:bottom w:val="single" w:sz="18" w:color="000000" w:space="0"/>
            </w:tcBorders>
          </w:tcPr>
          <w:p w:rsidR="00000000" w:rsidDel="00000000" w:rsidP="00000000" w:rsidRDefault="00000000" w:rsidRPr="00000000" w14:paraId="00000199">
            <w:pPr>
              <w:spacing w:after="0" w:before="0" w:line="480" w:lineRule="auto"/>
              <w:rPr>
                <w:sz w:val="18"/>
                <w:szCs w:val="18"/>
              </w:rPr>
            </w:pPr>
            <w:r>
              <w:rPr>
                <w:sz w:val="18"/>
                <w:szCs w:val="18"/>
                <w:rtl w:val="0"/>
              </w:rPr>
              <w:t xml:space="preserve">Total</w:t>
            </w:r>
          </w:p>
        </w:tc>
        <w:tc>
          <w:tcPr>
            <w:tcBorders>
              <w:top w:val="single" w:sz="4" w:space="0" w:color="000000"/>
              <w:bottom w:val="single" w:sz="18" w:color="000000" w:space="0"/>
            </w:tcBorders>
          </w:tcPr>
          <w:p w:rsidR="00000000" w:rsidDel="00000000" w:rsidP="00000000" w:rsidRDefault="00000000" w:rsidRPr="00000000" w14:paraId="0000019A">
            <w:pPr>
              <w:spacing w:after="0" w:before="0" w:line="480" w:lineRule="auto"/>
              <w:rPr>
                <w:sz w:val="18"/>
                <w:szCs w:val="18"/>
              </w:rPr>
            </w:pPr>
            <w:r>
              <w:rPr>
                <w:sz w:val="18"/>
                <w:szCs w:val="18"/>
                <w:rtl w:val="0"/>
              </w:rPr>
              <w:t xml:space="preserve">20</w:t>
            </w:r>
          </w:p>
        </w:tc>
        <w:tc>
          <w:tcPr>
            <w:tcBorders>
              <w:top w:val="single" w:sz="4" w:space="0" w:color="000000"/>
              <w:bottom w:val="single" w:sz="18" w:color="000000" w:space="0"/>
            </w:tcBorders>
          </w:tcPr>
          <w:p w:rsidR="00000000" w:rsidDel="00000000" w:rsidP="00000000" w:rsidRDefault="00000000" w:rsidRPr="00000000" w14:paraId="0000019B">
            <w:pPr>
              <w:spacing w:after="0" w:before="0" w:line="480" w:lineRule="auto"/>
              <w:rPr>
                <w:sz w:val="18"/>
                <w:szCs w:val="18"/>
              </w:rPr>
            </w:pPr>
            <w:r>
              <w:rPr>
                <w:sz w:val="18"/>
                <w:szCs w:val="18"/>
                <w:rtl w:val="0"/>
              </w:rPr>
              <w:t xml:space="preserve">20</w:t>
            </w:r>
          </w:p>
        </w:tc>
        <w:tc>
          <w:tcPr>
            <w:tcBorders>
              <w:top w:val="single" w:sz="4" w:space="0" w:color="000000"/>
              <w:bottom w:val="single" w:sz="18" w:color="000000" w:space="0"/>
            </w:tcBorders>
          </w:tcPr>
          <w:p w:rsidR="00000000" w:rsidDel="00000000" w:rsidP="00000000" w:rsidRDefault="00000000" w:rsidRPr="00000000" w14:paraId="0000019C">
            <w:pPr>
              <w:spacing w:after="0" w:before="0" w:line="480" w:lineRule="auto"/>
              <w:rPr>
                <w:sz w:val="18"/>
                <w:szCs w:val="18"/>
              </w:rPr>
            </w:pPr>
            <w:r>
              <w:rPr>
                <w:sz w:val="18"/>
                <w:szCs w:val="18"/>
                <w:rtl w:val="0"/>
              </w:rPr>
              <w:t xml:space="preserve">20</w:t>
            </w:r>
          </w:p>
        </w:tc>
        <w:tc>
          <w:tcPr>
            <w:tcBorders>
              <w:top w:val="single" w:sz="4" w:space="0" w:color="000000"/>
              <w:bottom w:val="single" w:sz="18" w:color="000000" w:space="0"/>
            </w:tcBorders>
          </w:tcPr>
          <w:p w:rsidR="00000000" w:rsidDel="00000000" w:rsidP="00000000" w:rsidRDefault="00000000" w:rsidRPr="00000000" w14:paraId="0000019D">
            <w:pPr>
              <w:spacing w:after="0" w:before="0" w:line="480" w:lineRule="auto"/>
              <w:rPr>
                <w:sz w:val="18"/>
                <w:szCs w:val="18"/>
              </w:rPr>
            </w:pPr>
            <w:r>
              <w:rPr>
                <w:sz w:val="18"/>
                <w:szCs w:val="18"/>
                <w:rtl w:val="0"/>
              </w:rPr>
              <w:t xml:space="preserve">60</w:t>
            </w:r>
          </w:p>
        </w:tc>
      </w:tr>
    </w:tbl>
    <w:p>
      <w:pPr>
        <w:spacing w:line="480" w:lineRule="auto" w:before="240" w:after="0"/>
        <w:ind w:firstLine="0"/>
        <w:jc w:val="left"/>
      </w:pPr>
      <w:r>
        <w:rPr>
          <w:rFonts w:ascii="Georgia" w:hAnsi="Georgia" w:eastAsia="Georgia"/>
          <w:b/>
          <w:sz w:val="22"/>
        </w:rPr>
        <w:t>Outcome Type and the Limits of a Design Explanation</w:t>
      </w:r>
    </w:p>
    <w:p w:rsidR="00000000" w:rsidDel="00000000" w:rsidP="00000000" w:rsidRDefault="00000000" w:rsidRPr="00000000" w14:paraId="0000019E">
      <w:pPr>
        <w:spacing w:after="0" w:before="0" w:line="480" w:lineRule="auto"/>
        <w:ind w:firstLine="720"/>
        <w:jc w:val="both"/>
        <w:rPr/>
      </w:pPr>
      <w:r>
        <w:rPr>
          <w:rFonts w:ascii="Georgia" w:hAnsi="Georgia" w:eastAsia="Georgia"/>
          <w:sz w:val="22"/>
        </w:rPr>
        <w:t>Outcome type classifies how each abstract reports its main results from the abstract’s own results language: binary presence/absence findings, continuous measures, mixed formats, null or non-significant results, and residual forms. Table 6 shows that outcome mix alone does not explain the program contrast. Veterinary Medicine is not simply a binary-only set, and Biology is not simply continuous-only. The same broad result styles appear in more than one program, so the difference in caution is not reducible to “VM only reports yes/no findings.”</w:t>
      </w:r>
    </w:p>
    <w:p>
      <w:pPr>
        <w:spacing w:line="480" w:lineRule="auto" w:before="240" w:after="0"/>
        <w:ind w:firstLine="0"/>
        <w:jc w:val="left"/>
      </w:pPr>
      <w:r>
        <w:rPr>
          <w:rFonts w:ascii="Georgia" w:hAnsi="Georgia" w:eastAsia="Georgia"/>
          <w:b/>
          <w:sz w:val="22"/>
        </w:rPr>
        <w:t>How Programs Word Caution</w:t>
      </w:r>
    </w:p>
    <w:p w:rsidR="00000000" w:rsidDel="00000000" w:rsidP="00000000" w:rsidRDefault="00000000" w:rsidRPr="00000000" w14:paraId="0000019F">
      <w:pPr>
        <w:spacing w:after="0" w:before="0" w:line="480" w:lineRule="auto"/>
        <w:ind w:firstLine="720"/>
        <w:jc w:val="both"/>
        <w:rPr/>
      </w:pPr>
      <w:r>
        <w:rPr>
          <w:rFonts w:ascii="Georgia" w:hAnsi="Georgia" w:eastAsia="Georgia"/>
          <w:sz w:val="22"/>
        </w:rPr>
        <w:t>Where hedges do appear, they more often mark the move from result to implication than the bare reporting of a measured value. That tendency is easiest to see in Agriculture, where implication sentences frequently carry suggest, could, or potential. It is hardest to see in Veterinary Medicine, where many abstracts stay with direct results wording and never open an implication frame that would invite softening. Under Salager-Meyer’s (1994) account, hedging an implication takes partial distance from a conclusion that goes beyond the measured finding. Thinner softening in the VM subset is therefore readable as less explicit negotiation of that responsibility in the ratified English of the abstract. It is not readable as more overclaiming: the unhedged-claim inventory is not higher for VM than for Biology (Table 4). Hyland’s (2005) stance model fits the same linguistic picture: fewer hedges mean less explicit softening of authorial commitment in the text that remains.</w:t>
      </w:r>
    </w:p>
    <w:p w:rsidR="00000000" w:rsidDel="00000000" w:rsidP="00000000" w:rsidRDefault="00000000" w:rsidRPr="00000000" w14:paraId="000001A0">
      <w:pPr>
        <w:spacing w:after="0" w:before="0" w:line="480" w:lineRule="auto"/>
        <w:ind w:firstLine="720"/>
        <w:jc w:val="both"/>
        <w:rPr/>
      </w:pPr>
      <w:r>
        <w:rPr>
          <w:rFonts w:ascii="Georgia" w:hAnsi="Georgia" w:eastAsia="Georgia"/>
          <w:sz w:val="22"/>
        </w:rPr>
        <w:t>Reading abstracts with similar result styles side by side makes the contrast concrete. Biology excerpts more often carry an inferential step after the finding (implies, indicating where the inference exceeds the lab result). Veterinary Medicine excerpts more often stop at the finding or use a single cautious modal in a limited frame. Acs2 shows the opposite pole inside Agriculture: after non-significance, residual benefits are still worded with stacked caution (suggests, might, could, potential), which keeps a softened positive reading in play after the statistical claim has failed. Table 6.1 places these wordings next to one another so the difference is visible in the English, not only in the program totals.</w:t>
      </w:r>
    </w:p>
    <w:p>
      <w:pPr>
        <w:spacing w:line="480" w:lineRule="auto"/>
        <w:ind w:firstLine="0"/>
        <w:jc w:val="center"/>
      </w:pPr>
      <w:r>
        <w:rPr>
          <w:b/>
          <w:sz w:val="22"/>
        </w:rPr>
        <w:t>Table 6.1</w:t>
      </w:r>
    </w:p>
    <w:p>
      <w:pPr>
        <w:spacing w:line="480" w:lineRule="auto"/>
        <w:ind w:firstLine="0"/>
        <w:jc w:val="center"/>
      </w:pPr>
      <w:r>
        <w:rPr>
          <w:i/>
          <w:sz w:val="22"/>
        </w:rPr>
        <w:t>Program Contrast: Sample Excerpts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top w:val="single" w:sz="18" w:space="0" w:color="000000"/>
              <w:bottom w:val="single" w:sz="4" w:space="0" w:color="000000"/>
            </w:tcBorders>
          </w:tcPr>
          <w:p>
            <w:pPr>
              <w:spacing w:before="0" w:after="0"/>
            </w:pPr>
            <w:r>
              <w:rPr>
                <w:b/>
                <w:sz w:val="16"/>
              </w:rPr>
              <w:t>Discipline</w:t>
            </w:r>
          </w:p>
        </w:tc>
        <w:tc>
          <w:tcPr>
            <w:tcW w:type="dxa" w:w="1661"/>
            <w:tcBorders>
              <w:top w:val="single" w:sz="18" w:space="0" w:color="000000"/>
              <w:bottom w:val="single" w:sz="4" w:space="0" w:color="000000"/>
            </w:tcBorders>
          </w:tcPr>
          <w:p>
            <w:pPr>
              <w:spacing w:before="0" w:after="0"/>
            </w:pPr>
            <w:r>
              <w:rPr>
                <w:b/>
                <w:sz w:val="16"/>
              </w:rPr>
              <w:t>ID</w:t>
            </w:r>
          </w:p>
        </w:tc>
        <w:tc>
          <w:tcPr>
            <w:tcW w:type="dxa" w:w="1661"/>
            <w:tcBorders>
              <w:top w:val="single" w:sz="18" w:space="0" w:color="000000"/>
              <w:bottom w:val="single" w:sz="4" w:space="0" w:color="000000"/>
            </w:tcBorders>
          </w:tcPr>
          <w:p>
            <w:pPr>
              <w:spacing w:before="0" w:after="0"/>
            </w:pPr>
            <w:r>
              <w:rPr>
                <w:b/>
                <w:sz w:val="16"/>
              </w:rPr>
              <w:t>Role in contrast</w:t>
            </w:r>
          </w:p>
        </w:tc>
        <w:tc>
          <w:tcPr>
            <w:tcW w:type="dxa" w:w="1661"/>
            <w:tcBorders>
              <w:top w:val="single" w:sz="18" w:space="0" w:color="000000"/>
              <w:bottom w:val="single" w:sz="4" w:space="0" w:color="000000"/>
            </w:tcBorders>
          </w:tcPr>
          <w:p>
            <w:pPr>
              <w:spacing w:before="0" w:after="0"/>
            </w:pPr>
            <w:r>
              <w:rPr>
                <w:b/>
                <w:sz w:val="16"/>
              </w:rPr>
              <w:t>Token</w:t>
            </w:r>
          </w:p>
        </w:tc>
        <w:tc>
          <w:tcPr>
            <w:tcW w:type="dxa" w:w="1661"/>
            <w:tcBorders>
              <w:top w:val="single" w:sz="18" w:space="0" w:color="000000"/>
              <w:bottom w:val="single" w:sz="4" w:space="0" w:color="000000"/>
            </w:tcBorders>
          </w:tcPr>
          <w:p>
            <w:pPr>
              <w:spacing w:before="0" w:after="0"/>
            </w:pPr>
            <w:r>
              <w:rPr>
                <w:b/>
                <w:sz w:val="16"/>
              </w:rPr>
              <w:t>Excerpt</w:t>
            </w:r>
          </w:p>
        </w:tc>
      </w:tr>
      <w:tr>
        <w:trPr>
          <w:cantSplit/>
        </w:trPr>
        <w:tc>
          <w:tcPr>
            <w:tcW w:type="dxa" w:w="1661"/>
          </w:tcPr>
          <w:p>
            <w:pPr>
              <w:spacing w:before="0" w:after="0"/>
            </w:pPr>
            <w:r>
              <w:rPr>
                <w:b w:val="0"/>
                <w:sz w:val="16"/>
              </w:rPr>
              <w:t>Biology</w:t>
            </w:r>
          </w:p>
        </w:tc>
        <w:tc>
          <w:tcPr>
            <w:tcW w:type="dxa" w:w="1661"/>
          </w:tcPr>
          <w:p>
            <w:pPr>
              <w:spacing w:before="0" w:after="0"/>
            </w:pPr>
            <w:r>
              <w:rPr>
                <w:b w:val="0"/>
                <w:sz w:val="16"/>
              </w:rPr>
              <w:t>B3</w:t>
            </w:r>
          </w:p>
        </w:tc>
        <w:tc>
          <w:tcPr>
            <w:tcW w:type="dxa" w:w="1661"/>
          </w:tcPr>
          <w:p>
            <w:pPr>
              <w:spacing w:before="0" w:after="0"/>
            </w:pPr>
            <w:r>
              <w:rPr>
                <w:b w:val="0"/>
                <w:sz w:val="16"/>
              </w:rPr>
              <w:t>Retained hedge</w:t>
            </w:r>
          </w:p>
        </w:tc>
        <w:tc>
          <w:tcPr>
            <w:tcW w:type="dxa" w:w="1661"/>
          </w:tcPr>
          <w:p>
            <w:pPr>
              <w:spacing w:before="0" w:after="0"/>
            </w:pPr>
            <w:r>
              <w:rPr>
                <w:b w:val="0"/>
                <w:sz w:val="16"/>
              </w:rPr>
              <w:t>indicating</w:t>
            </w:r>
          </w:p>
        </w:tc>
        <w:tc>
          <w:tcPr>
            <w:tcW w:type="dxa" w:w="1661"/>
          </w:tcPr>
          <w:p>
            <w:pPr>
              <w:spacing w:before="0" w:after="0"/>
            </w:pPr>
            <w:r>
              <w:rPr>
                <w:b w:val="0"/>
                <w:sz w:val="16"/>
              </w:rPr>
              <w:t>…coliform and E. coli…, indicating unsafe conditions…</w:t>
            </w:r>
          </w:p>
        </w:tc>
      </w:tr>
      <w:tr>
        <w:trPr>
          <w:cantSplit/>
        </w:trPr>
        <w:tc>
          <w:tcPr>
            <w:tcW w:type="dxa" w:w="1661"/>
          </w:tcPr>
          <w:p>
            <w:pPr>
              <w:spacing w:before="0" w:after="0"/>
            </w:pPr>
            <w:r>
              <w:rPr>
                <w:b w:val="0"/>
                <w:sz w:val="16"/>
              </w:rPr>
              <w:t>Biology</w:t>
            </w:r>
          </w:p>
        </w:tc>
        <w:tc>
          <w:tcPr>
            <w:tcW w:type="dxa" w:w="1661"/>
          </w:tcPr>
          <w:p>
            <w:pPr>
              <w:spacing w:before="0" w:after="0"/>
            </w:pPr>
            <w:r>
              <w:rPr>
                <w:b w:val="0"/>
                <w:sz w:val="16"/>
              </w:rPr>
              <w:t>B1</w:t>
            </w:r>
          </w:p>
        </w:tc>
        <w:tc>
          <w:tcPr>
            <w:tcW w:type="dxa" w:w="1661"/>
          </w:tcPr>
          <w:p>
            <w:pPr>
              <w:spacing w:before="0" w:after="0"/>
            </w:pPr>
            <w:r>
              <w:rPr>
                <w:b w:val="0"/>
                <w:sz w:val="16"/>
              </w:rPr>
              <w:t>Retained hedge</w:t>
            </w:r>
          </w:p>
        </w:tc>
        <w:tc>
          <w:tcPr>
            <w:tcW w:type="dxa" w:w="1661"/>
          </w:tcPr>
          <w:p>
            <w:pPr>
              <w:spacing w:before="0" w:after="0"/>
            </w:pPr>
            <w:r>
              <w:rPr>
                <w:b w:val="0"/>
                <w:sz w:val="16"/>
              </w:rPr>
              <w:t>implies</w:t>
            </w:r>
          </w:p>
        </w:tc>
        <w:tc>
          <w:tcPr>
            <w:tcW w:type="dxa" w:w="1661"/>
          </w:tcPr>
          <w:p>
            <w:pPr>
              <w:spacing w:before="0" w:after="0"/>
            </w:pPr>
            <w:r>
              <w:rPr>
                <w:b w:val="0"/>
                <w:sz w:val="16"/>
              </w:rPr>
              <w:t>This implies that the use of low concentration of B. subtilis…</w:t>
            </w:r>
          </w:p>
        </w:tc>
      </w:tr>
      <w:tr>
        <w:trPr>
          <w:cantSplit/>
        </w:trPr>
        <w:tc>
          <w:tcPr>
            <w:tcW w:type="dxa" w:w="1661"/>
          </w:tcPr>
          <w:p>
            <w:pPr>
              <w:spacing w:before="0" w:after="0"/>
            </w:pPr>
            <w:r>
              <w:rPr>
                <w:b w:val="0"/>
                <w:sz w:val="16"/>
              </w:rPr>
              <w:t>Veterinary Medicine</w:t>
            </w:r>
          </w:p>
        </w:tc>
        <w:tc>
          <w:tcPr>
            <w:tcW w:type="dxa" w:w="1661"/>
          </w:tcPr>
          <w:p>
            <w:pPr>
              <w:spacing w:before="0" w:after="0"/>
            </w:pPr>
            <w:r>
              <w:rPr>
                <w:b w:val="0"/>
                <w:sz w:val="16"/>
              </w:rPr>
              <w:t>VM2</w:t>
            </w:r>
          </w:p>
        </w:tc>
        <w:tc>
          <w:tcPr>
            <w:tcW w:type="dxa" w:w="1661"/>
          </w:tcPr>
          <w:p>
            <w:pPr>
              <w:spacing w:before="0" w:after="0"/>
            </w:pPr>
            <w:r>
              <w:rPr>
                <w:b w:val="0"/>
                <w:sz w:val="16"/>
              </w:rPr>
              <w:t>Retained hedge</w:t>
            </w:r>
          </w:p>
        </w:tc>
        <w:tc>
          <w:tcPr>
            <w:tcW w:type="dxa" w:w="1661"/>
          </w:tcPr>
          <w:p>
            <w:pPr>
              <w:spacing w:before="0" w:after="0"/>
            </w:pPr>
            <w:r>
              <w:rPr>
                <w:b w:val="0"/>
                <w:sz w:val="16"/>
              </w:rPr>
              <w:t>indicating</w:t>
            </w:r>
          </w:p>
        </w:tc>
        <w:tc>
          <w:tcPr>
            <w:tcW w:type="dxa" w:w="1661"/>
          </w:tcPr>
          <w:p>
            <w:pPr>
              <w:spacing w:before="0" w:after="0"/>
            </w:pPr>
            <w:r>
              <w:rPr>
                <w:b w:val="0"/>
                <w:sz w:val="16"/>
              </w:rPr>
              <w:t>…92% … showed good attitude, indicating a strong sense of empathy…</w:t>
            </w:r>
          </w:p>
        </w:tc>
      </w:tr>
      <w:tr>
        <w:trPr>
          <w:cantSplit/>
        </w:trPr>
        <w:tc>
          <w:tcPr>
            <w:tcW w:type="dxa" w:w="1661"/>
          </w:tcPr>
          <w:p>
            <w:pPr>
              <w:spacing w:before="0" w:after="0"/>
            </w:pPr>
            <w:r>
              <w:rPr>
                <w:b w:val="0"/>
                <w:sz w:val="16"/>
              </w:rPr>
              <w:t>Veterinary Medicine</w:t>
            </w:r>
          </w:p>
        </w:tc>
        <w:tc>
          <w:tcPr>
            <w:tcW w:type="dxa" w:w="1661"/>
          </w:tcPr>
          <w:p>
            <w:pPr>
              <w:spacing w:before="0" w:after="0"/>
            </w:pPr>
            <w:r>
              <w:rPr>
                <w:b w:val="0"/>
                <w:sz w:val="16"/>
              </w:rPr>
              <w:t>VM12</w:t>
            </w:r>
          </w:p>
        </w:tc>
        <w:tc>
          <w:tcPr>
            <w:tcW w:type="dxa" w:w="1661"/>
          </w:tcPr>
          <w:p>
            <w:pPr>
              <w:spacing w:before="0" w:after="0"/>
            </w:pPr>
            <w:r>
              <w:rPr>
                <w:b w:val="0"/>
                <w:sz w:val="16"/>
              </w:rPr>
              <w:t>Retained hedge</w:t>
            </w:r>
          </w:p>
        </w:tc>
        <w:tc>
          <w:tcPr>
            <w:tcW w:type="dxa" w:w="1661"/>
          </w:tcPr>
          <w:p>
            <w:pPr>
              <w:spacing w:before="0" w:after="0"/>
            </w:pPr>
            <w:r>
              <w:rPr>
                <w:b w:val="0"/>
                <w:sz w:val="16"/>
              </w:rPr>
              <w:t>might</w:t>
            </w:r>
          </w:p>
        </w:tc>
        <w:tc>
          <w:tcPr>
            <w:tcW w:type="dxa" w:w="1661"/>
          </w:tcPr>
          <w:p>
            <w:pPr>
              <w:spacing w:before="0" w:after="0"/>
            </w:pPr>
            <w:r>
              <w:rPr>
                <w:b w:val="0"/>
                <w:sz w:val="16"/>
              </w:rPr>
              <w:t>…might be effective… but it is not conclusive…</w:t>
            </w:r>
          </w:p>
        </w:tc>
      </w:tr>
      <w:tr>
        <w:trPr>
          <w:cantSplit/>
        </w:trPr>
        <w:tc>
          <w:tcPr>
            <w:tcW w:type="dxa" w:w="1661"/>
          </w:tcPr>
          <w:p>
            <w:pPr>
              <w:spacing w:before="0" w:after="0"/>
            </w:pPr>
            <w:r>
              <w:rPr>
                <w:b w:val="0"/>
                <w:sz w:val="16"/>
              </w:rPr>
              <w:t>Veterinary Medicine</w:t>
            </w:r>
          </w:p>
        </w:tc>
        <w:tc>
          <w:tcPr>
            <w:tcW w:type="dxa" w:w="1661"/>
          </w:tcPr>
          <w:p>
            <w:pPr>
              <w:spacing w:before="0" w:after="0"/>
            </w:pPr>
            <w:r>
              <w:rPr>
                <w:b w:val="0"/>
                <w:sz w:val="16"/>
              </w:rPr>
              <w:t>VM1</w:t>
            </w:r>
          </w:p>
        </w:tc>
        <w:tc>
          <w:tcPr>
            <w:tcW w:type="dxa" w:w="1661"/>
          </w:tcPr>
          <w:p>
            <w:pPr>
              <w:spacing w:before="0" w:after="0"/>
            </w:pPr>
            <w:r>
              <w:rPr>
                <w:b w:val="0"/>
                <w:sz w:val="16"/>
              </w:rPr>
              <w:t>Zero-hedge abstract</w:t>
            </w:r>
          </w:p>
        </w:tc>
        <w:tc>
          <w:tcPr>
            <w:tcW w:type="dxa" w:w="1661"/>
          </w:tcPr>
          <w:p>
            <w:pPr>
              <w:spacing w:before="0" w:after="0"/>
            </w:pPr>
            <w:r>
              <w:rPr>
                <w:b w:val="0"/>
                <w:sz w:val="16"/>
              </w:rPr>
              <w:t>—</w:t>
            </w:r>
          </w:p>
        </w:tc>
        <w:tc>
          <w:tcPr>
            <w:tcW w:type="dxa" w:w="1661"/>
          </w:tcPr>
          <w:p>
            <w:pPr>
              <w:spacing w:before="0" w:after="0"/>
            </w:pPr>
            <w:r>
              <w:rPr>
                <w:b w:val="0"/>
                <w:sz w:val="16"/>
              </w:rPr>
              <w:t>No retained hedge token in the abstract under Step 2.</w:t>
            </w:r>
          </w:p>
        </w:tc>
      </w:tr>
      <w:tr>
        <w:trPr>
          <w:cantSplit/>
        </w:trPr>
        <w:tc>
          <w:tcPr>
            <w:tcW w:type="dxa" w:w="1661"/>
            <w:tcBorders>
              <w:bottom w:val="single" w:sz="18" w:space="0" w:color="000000"/>
            </w:tcBorders>
          </w:tcPr>
          <w:p>
            <w:pPr>
              <w:spacing w:before="0" w:after="0"/>
            </w:pPr>
            <w:r>
              <w:rPr>
                <w:b w:val="0"/>
                <w:sz w:val="16"/>
              </w:rPr>
              <w:t>Agriculture</w:t>
            </w:r>
          </w:p>
        </w:tc>
        <w:tc>
          <w:tcPr>
            <w:tcW w:type="dxa" w:w="1661"/>
            <w:tcBorders>
              <w:bottom w:val="single" w:sz="18" w:space="0" w:color="000000"/>
            </w:tcBorders>
          </w:tcPr>
          <w:p>
            <w:pPr>
              <w:spacing w:before="0" w:after="0"/>
            </w:pPr>
            <w:r>
              <w:rPr>
                <w:b w:val="0"/>
                <w:sz w:val="16"/>
              </w:rPr>
              <w:t>Acs2</w:t>
            </w:r>
          </w:p>
        </w:tc>
        <w:tc>
          <w:tcPr>
            <w:tcW w:type="dxa" w:w="1661"/>
            <w:tcBorders>
              <w:bottom w:val="single" w:sz="18" w:space="0" w:color="000000"/>
            </w:tcBorders>
          </w:tcPr>
          <w:p>
            <w:pPr>
              <w:spacing w:before="0" w:after="0"/>
            </w:pPr>
            <w:r>
              <w:rPr>
                <w:b w:val="0"/>
                <w:sz w:val="16"/>
              </w:rPr>
              <w:t>Stacked hedges</w:t>
            </w:r>
          </w:p>
        </w:tc>
        <w:tc>
          <w:tcPr>
            <w:tcW w:type="dxa" w:w="1661"/>
            <w:tcBorders>
              <w:bottom w:val="single" w:sz="18" w:space="0" w:color="000000"/>
            </w:tcBorders>
          </w:tcPr>
          <w:p>
            <w:pPr>
              <w:spacing w:before="0" w:after="0"/>
            </w:pPr>
            <w:r>
              <w:rPr>
                <w:b w:val="0"/>
                <w:sz w:val="16"/>
              </w:rPr>
              <w:t>suggests / might / could / potential</w:t>
            </w:r>
          </w:p>
        </w:tc>
        <w:tc>
          <w:tcPr>
            <w:tcW w:type="dxa" w:w="1661"/>
            <w:tcBorders>
              <w:bottom w:val="single" w:sz="18" w:space="0" w:color="000000"/>
            </w:tcBorders>
          </w:tcPr>
          <w:p>
            <w:pPr>
              <w:spacing w:before="0" w:after="0"/>
            </w:pPr>
            <w:r>
              <w:rPr>
                <w:b w:val="0"/>
                <w:sz w:val="16"/>
              </w:rPr>
              <w:t>…suggests that while statistical significance might not have been observed, the treatment could still offer potential benefits…</w:t>
            </w:r>
          </w:p>
        </w:tc>
      </w:tr>
    </w:tbl>
    <w:p>
      <w:pPr>
        <w:spacing w:line="480" w:lineRule="auto" w:before="240" w:after="0"/>
        <w:ind w:firstLine="0"/>
        <w:jc w:val="left"/>
      </w:pPr>
      <w:r>
        <w:rPr>
          <w:rFonts w:ascii="Georgia" w:hAnsi="Georgia" w:eastAsia="Georgia"/>
          <w:b/>
          <w:sz w:val="22"/>
        </w:rPr>
        <w:t>What the Contrast Can and Cannot Mean</w:t>
      </w:r>
    </w:p>
    <w:p w:rsidR="00000000" w:rsidDel="00000000" w:rsidP="00000000" w:rsidRDefault="00000000" w:rsidRPr="00000000" w14:paraId="000001A1">
      <w:pPr>
        <w:spacing w:after="0" w:before="0" w:line="480" w:lineRule="auto"/>
        <w:ind w:firstLine="720"/>
        <w:jc w:val="both"/>
        <w:rPr/>
      </w:pPr>
      <w:r>
        <w:rPr>
          <w:rFonts w:ascii="Georgia" w:hAnsi="Georgia" w:eastAsia="Georgia"/>
          <w:sz w:val="22"/>
        </w:rPr>
        <w:t>Across the three programs, the contrast that stands out is therefore not a raw ranking of counts but a difference in how caution is worded around findings and implications. Biology more often sustains epistemic softening when results turn into meaning. Veterinary Medicine more often leaves that turn thinly marked or absent. Agriculture sits between those poles and occasionally stacks caution after a weak statistical claim. Abstract text alone cannot separate field convention, adviser practice, and individual skill as causes of that pattern.</w:t>
      </w:r>
    </w:p>
    <w:p>
      <w:pPr>
        <w:spacing w:line="480" w:lineRule="auto" w:before="240" w:after="0"/>
        <w:ind w:firstLine="0"/>
        <w:jc w:val="left"/>
      </w:pPr>
      <w:r>
        <w:rPr>
          <w:rFonts w:ascii="Georgia" w:hAnsi="Georgia" w:eastAsia="Georgia"/>
          <w:b/>
          <w:sz w:val="22"/>
        </w:rPr>
        <w:t>Open Readings</w:t>
      </w:r>
    </w:p>
    <w:p w:rsidR="00000000" w:rsidDel="00000000" w:rsidP="00000000" w:rsidRDefault="00000000" w:rsidRPr="00000000" w14:paraId="000001A2">
      <w:pPr>
        <w:spacing w:after="0" w:before="0" w:line="480" w:lineRule="auto"/>
        <w:ind w:firstLine="720"/>
        <w:jc w:val="both"/>
        <w:rPr/>
      </w:pPr>
      <w:r>
        <w:rPr>
          <w:rFonts w:ascii="Georgia" w:hAnsi="Georgia" w:eastAsia="Georgia"/>
          <w:sz w:val="22"/>
        </w:rPr>
        <w:t>Two readings follow as hypotheses for later work. First, VM abstracts may more often end on results with no implication sentence, which leaves less linguistic room to hedge. A move-structured count of the VM subset would test that. Second, advisers may filter interpersonal softening out of final abstracts, which would help explain why retained hedges in this corpus do only epistemic work. Comparing early drafts with the ratified abstracts would test that second reading.</w:t>
      </w:r>
    </w:p>
    <w:p w:rsidR="00000000" w:rsidDel="00000000" w:rsidP="00000000" w:rsidRDefault="00000000" w:rsidRPr="00000000" w14:paraId="000001A3">
      <w:pPr>
        <w:spacing w:after="0" w:before="0" w:line="480" w:lineRule="auto"/>
        <w:ind w:firstLine="720"/>
        <w:jc w:val="both"/>
        <w:rPr/>
        <w:sectPr>
          <w:headerReference r:id="rId21" w:type="default"/>
          <w:headerReference r:id="rId22" w:type="first"/>
          <w:footerReference r:id="rId23" w:type="default"/>
          <w:footerReference r:id="rId24" w:type="first"/>
          <w:type w:val="nextPage"/>
          <w:pgSz w:h="16838" w:w="11906" w:orient="portrait"/>
          <w:pgMar w:bottom="1440" w:top="1440" w:left="2160" w:right="1440" w:header="720" w:footer="720"/>
          <w:titlePg w:val="1"/>
        </w:sectPr>
      </w:pPr>
      <w:r>
        <w:br w:type="page"/>
      </w:r>
      <w:r>
        <w:rPr>
          <w:rtl w:val="0"/>
        </w:rPr>
      </w:r>
    </w:p>
    <w:p w:rsidR="00000000" w:rsidDel="00000000" w:rsidP="00000000" w:rsidRDefault="00000000" w:rsidRPr="00000000" w14:paraId="000001A4">
      <w:pPr>
        <w:spacing w:after="240" w:before="0" w:line="480" w:lineRule="auto"/>
        <w:ind w:firstLine="0"/>
        <w:jc w:val="center"/>
        <w:rPr>
          <w:sz w:val="28"/>
          <w:szCs w:val="28"/>
        </w:rPr>
      </w:pPr>
      <w:r>
        <w:rPr>
          <w:b w:val="1"/>
          <w:bCs w:val="1"/>
          <w:sz w:val="28"/>
          <w:szCs w:val="28"/>
          <w:rtl w:val="0"/>
        </w:rPr>
        <w:t xml:space="preserve">CONCLUSIONS AND RECOMMENDATIONS</w:t>
      </w:r>
      <w:r>
        <w:rPr>
          <w:rtl w:val="0"/>
        </w:rPr>
      </w:r>
    </w:p>
    <w:p w:rsidR="00000000" w:rsidDel="00000000" w:rsidP="00000000" w:rsidRDefault="00000000" w:rsidRPr="00000000" w14:paraId="000001A5">
      <w:pPr>
        <w:spacing w:after="0" w:before="0" w:line="480" w:lineRule="auto"/>
        <w:ind w:firstLine="720"/>
        <w:jc w:val="both"/>
        <w:rPr/>
      </w:pPr>
      <w:r>
        <w:rPr>
          <w:rtl w:val="0"/>
        </w:rPr>
      </w:r>
    </w:p>
    <w:p w:rsidR="00000000" w:rsidDel="00000000" w:rsidP="00000000" w:rsidRDefault="00000000" w:rsidRPr="00000000" w14:paraId="000001A6">
      <w:pPr>
        <w:spacing w:after="0" w:before="0" w:line="480" w:lineRule="auto"/>
        <w:ind w:firstLine="720"/>
        <w:jc w:val="both"/>
        <w:rPr/>
      </w:pPr>
      <w:r>
        <w:rPr>
          <w:rtl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ind w:firstLine="720"/>
        <w:jc w:val="both"/>
        <w:rPr/>
      </w:pPr>
      <w:r>
        <w:rPr>
          <w:rtl w:val="0"/>
        </w:rPr>
        <w:t xml:space="preserve">What follows states what that design allows the study to conclude about hedging in this corpus.</w:t>
      </w:r>
    </w:p>
    <w:p w:rsidR="00000000" w:rsidDel="00000000" w:rsidP="00000000" w:rsidRDefault="00000000" w:rsidRPr="00000000" w14:paraId="000001A8">
      <w:pPr>
        <w:keepNext w:val="1"/>
        <w:spacing w:after="120" w:before="240" w:line="480" w:lineRule="auto"/>
        <w:ind w:firstLine="0"/>
        <w:rPr>
          <w:sz w:val="24"/>
          <w:szCs w:val="24"/>
        </w:rPr>
      </w:pPr>
      <w:r>
        <w:rPr>
          <w:b w:val="1"/>
          <w:bCs w:val="1"/>
          <w:sz w:val="24"/>
          <w:szCs w:val="24"/>
          <w:rtl w:val="0"/>
        </w:rPr>
        <w:t xml:space="preserve">Conclusions</w:t>
      </w:r>
      <w:r>
        <w:rPr>
          <w:rtl w:val="0"/>
        </w:rPr>
      </w:r>
    </w:p>
    <w:p w:rsidR="00000000" w:rsidDel="00000000" w:rsidP="00000000" w:rsidRDefault="00000000" w:rsidRPr="00000000" w14:paraId="000001A9">
      <w:pPr>
        <w:spacing w:after="0" w:before="0" w:line="480" w:lineRule="auto"/>
        <w:ind w:firstLine="720"/>
        <w:jc w:val="both"/>
        <w:rPr/>
      </w:pPr>
      <w:r>
        <w:rPr>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ind w:firstLine="720"/>
        <w:jc w:val="both"/>
        <w:rPr/>
      </w:pPr>
      <w:r>
        <w:rPr>
          <w:rFonts w:ascii="Georgia" w:hAnsi="Georgia" w:eastAsia="Georgia"/>
          <w:sz w:val="22"/>
        </w:rPr>
        <w:t>Disciplinary difference exists, but it is thinner than a strong “three cultures” story would predict. Veterinary Medicine is the clearest low-caution corner of the sample: its abstracts more often leave findings and implications unsoftened. Agriculture and Biology are less distinct from each other once Acs2 is read as one densely hedged text rather than as proof of a whole-program style. The deeper point is institutional as much as linguistic. These texts are supervised products.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ind w:firstLine="720"/>
        <w:jc w:val="both"/>
        <w:rPr/>
      </w:pPr>
      <w:r>
        <w:rPr>
          <w:rtl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keepNext w:val="1"/>
        <w:spacing w:after="120" w:before="240" w:line="480" w:lineRule="auto"/>
        <w:ind w:firstLine="0"/>
        <w:rPr>
          <w:sz w:val="24"/>
          <w:szCs w:val="24"/>
        </w:rPr>
      </w:pPr>
      <w:r>
        <w:rPr>
          <w:b w:val="1"/>
          <w:bCs w:val="1"/>
          <w:sz w:val="24"/>
          <w:szCs w:val="24"/>
          <w:rtl w:val="0"/>
        </w:rPr>
        <w:t xml:space="preserve">Recommendations</w:t>
      </w:r>
      <w:r>
        <w:rPr>
          <w:rtl w:val="0"/>
        </w:rPr>
      </w:r>
    </w:p>
    <w:p w:rsidR="00000000" w:rsidDel="00000000" w:rsidP="00000000" w:rsidRDefault="00000000" w:rsidRPr="00000000" w14:paraId="000001AD">
      <w:pPr>
        <w:spacing w:after="0" w:before="0" w:line="480" w:lineRule="auto"/>
        <w:ind w:firstLine="720"/>
        <w:jc w:val="both"/>
        <w:rPr/>
      </w:pPr>
      <w:r>
        <w:rPr>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ind w:firstLine="720"/>
        <w:jc w:val="both"/>
        <w:rPr/>
      </w:pPr>
      <w:r>
        <w:rPr>
          <w:rtl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Pr>
          <w:i w:val="1"/>
          <w:iCs w:val="1"/>
          <w:rtl w:val="0"/>
        </w:rPr>
        <w:t xml:space="preserve">potential</w:t>
      </w:r>
      <w:r>
        <w:rPr>
          <w:rtl w:val="0"/>
        </w:rPr>
        <w:t xml:space="preserve"> and </w:t>
      </w:r>
      <w:r>
        <w:rPr>
          <w:i w:val="1"/>
          <w:iCs w:val="1"/>
          <w:rtl w:val="0"/>
        </w:rPr>
        <w:t xml:space="preserve">suggest</w:t>
      </w:r>
      <w:r>
        <w:rPr>
          <w:rtl w:val="0"/>
        </w:rPr>
        <w:t>, with modal verbs as the other main resource. Instruction that assumes a full academic hedging repertoire will miss what this campus sample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ind w:firstLine="720"/>
        <w:jc w:val="both"/>
        <w:rPr/>
      </w:pPr>
      <w:r>
        <w:rPr>
          <w:rtl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ind w:firstLine="720"/>
        <w:jc w:val="both"/>
        <w:rPr/>
        <w:sectPr>
          <w:headerReference r:id="rId25" w:type="default"/>
          <w:headerReference r:id="rId26" w:type="first"/>
          <w:footerReference r:id="rId27" w:type="default"/>
          <w:footerReference r:id="rId28" w:type="first"/>
          <w:type w:val="nextPage"/>
          <w:pgSz w:h="16838" w:w="11906" w:orient="portrait"/>
          <w:pgMar w:bottom="1440" w:top="1440" w:left="2160" w:right="1440" w:header="720" w:footer="720"/>
          <w:titlePg w:val="1"/>
        </w:sectPr>
      </w:pPr>
      <w:r>
        <w:rPr>
          <w:rtl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spacing w:after="240" w:before="720" w:line="480" w:lineRule="auto"/>
        <w:ind w:firstLine="0"/>
        <w:jc w:val="center"/>
        <w:rPr>
          <w:sz w:val="28"/>
          <w:szCs w:val="28"/>
        </w:rPr>
      </w:pPr>
      <w:r>
        <w:rPr>
          <w:b w:val="1"/>
          <w:bCs w:val="1"/>
          <w:sz w:val="28"/>
          <w:szCs w:val="28"/>
          <w:rtl w:val="0"/>
        </w:rPr>
        <w:t xml:space="preserve">REFERENCES</w:t>
      </w:r>
      <w:r>
        <w:rPr>
          <w:rtl w:val="0"/>
        </w:rPr>
      </w:r>
    </w:p>
    <w:p w:rsidR="00000000" w:rsidDel="00000000" w:rsidP="00000000" w:rsidRDefault="00000000" w:rsidRPr="00000000" w14:paraId="000001B2">
      <w:pPr>
        <w:spacing w:after="0" w:before="0" w:line="480" w:lineRule="auto"/>
        <w:ind w:left="720" w:firstLine="720"/>
        <w:jc w:val="both"/>
        <w:rPr/>
      </w:pPr>
      <w:r>
        <w:rPr>
          <w:rtl w:val="0"/>
        </w:rPr>
      </w:r>
    </w:p>
    <w:p w:rsidR="00000000" w:rsidDel="00000000" w:rsidP="00000000" w:rsidRDefault="00000000" w:rsidRPr="00000000" w14:paraId="000001B3">
      <w:pPr>
        <w:spacing w:after="0" w:before="0" w:line="480" w:lineRule="auto"/>
        <w:ind w:left="720" w:hanging="720"/>
        <w:jc w:val="both"/>
        <w:rPr/>
      </w:pPr>
      <w:r>
        <w:rPr>
          <w:rtl w:val="0"/>
        </w:rPr>
        <w:t xml:space="preserve">Afshar, H. S., Moradi, M., &amp; Hamzavi, R. (2014). Frequency and type of hedging devices used in the research articles of humanities, basic sciences and agriculture. Procedia - Social and Behavioral Sciences, 136, 70-74. </w:t>
      </w:r>
      <w:hyperlink r:id="rId29">
        <w:r>
          <w:rPr>
            <w:color w:val="1155cc"/>
            <w:u w:val="single"/>
            <w:rtl w:val="0"/>
          </w:rPr>
          <w:t xml:space="preserve">https://doi.org/10.1016/j.sbspro.2014.05.290</w:t>
        </w:r>
      </w:hyperlink>
      <w:r>
        <w:rPr>
          <w:rtl w:val="0"/>
        </w:rPr>
      </w:r>
    </w:p>
    <w:p>
      <w:r>
        <w:t>Al-Zarieni, M. M., &amp; Alkhresheh, M. M. (2024). Hedges and boosters in the abstract sections of master thesis at Yarmouk University. International Journal of Linguistics, Literature and Translation, 7(1), 199–207. https://doi.org/10.32996/ijllt.2024.7.1.18</w:t>
      </w:r>
    </w:p>
    <w:p>
      <w:pPr>
        <w:spacing w:line="480" w:lineRule="auto"/>
        <w:ind w:left="720" w:hanging="720"/>
      </w:pPr>
      <w:r>
        <w:rPr>
          <w:rFonts w:ascii="Georgia" w:hAnsi="Georgia"/>
          <w:sz w:val="22"/>
        </w:rPr>
        <w:t>Bayraktar-Çepni, S., &amp; Kulaksız, E. (2022). A comparative study on the use of hedging devices across ELT MA and PhD theses. Futuristic Implementations of Research in Education (FIRE), 3(1), 58–66.</w:t>
      </w:r>
    </w:p>
    <w:p w:rsidR="00000000" w:rsidDel="00000000" w:rsidP="00000000" w:rsidRDefault="00000000" w:rsidRPr="00000000" w14:paraId="000001B4">
      <w:pPr>
        <w:spacing w:after="0" w:before="0" w:line="480" w:lineRule="auto"/>
        <w:ind w:left="720" w:hanging="720"/>
        <w:jc w:val="both"/>
        <w:rPr/>
      </w:pPr>
      <w:r>
        <w:rPr>
          <w:rtl w:val="0"/>
        </w:rPr>
        <w:t xml:space="preserve">Biber, D., Conrad, S., &amp; Reppen, R. (1998). </w:t>
      </w:r>
      <w:r>
        <w:rPr>
          <w:i w:val="1"/>
          <w:iCs w:val="1"/>
          <w:rtl w:val="0"/>
        </w:rPr>
        <w:t xml:space="preserve">Corpus linguistics: Investigating language structure and use</w:t>
      </w:r>
      <w:r>
        <w:rPr>
          <w:rtl w:val="0"/>
        </w:rPr>
        <w:t xml:space="preserve">. Cambridge University Press.</w:t>
      </w:r>
    </w:p>
    <w:p w:rsidR="00000000" w:rsidDel="00000000" w:rsidP="00000000" w:rsidRDefault="00000000" w:rsidRPr="00000000" w14:paraId="000001B5">
      <w:pPr>
        <w:spacing w:after="0" w:before="0" w:line="480" w:lineRule="auto"/>
        <w:ind w:left="720" w:hanging="720"/>
        <w:jc w:val="both"/>
        <w:rPr/>
      </w:pPr>
      <w:r>
        <w:rPr>
          <w:rtl w:val="0"/>
        </w:rPr>
        <w:t xml:space="preserve">Crompton, P. (1997). Hedging in academic writing: Some theoretical problems. English for Specific Purposes, 16(4), 271-287. </w:t>
      </w:r>
      <w:hyperlink r:id="rId30">
        <w:r>
          <w:rPr>
            <w:color w:val="1155cc"/>
            <w:u w:val="single"/>
            <w:rtl w:val="0"/>
          </w:rPr>
          <w:t xml:space="preserve">https://doi.org/10.1016/S0889-4906(97)00007-0</w:t>
        </w:r>
      </w:hyperlink>
      <w:r>
        <w:rPr>
          <w:rtl w:val="0"/>
        </w:rPr>
      </w:r>
    </w:p>
    <w:p>
      <w:r>
        <w:t>Chafidha, L. N., &amp; Mujiyanto, J. (2021). The comparative study of hedges in theses' abstracts written by English and Indonesian graduate programs of Universitas Negeri Semarang. The Journal of Educational Development, 9(2), 91–100.</w:t>
      </w:r>
    </w:p>
    <w:p w:rsidR="00000000" w:rsidDel="00000000" w:rsidP="00000000" w:rsidRDefault="00000000" w:rsidRPr="00000000" w14:paraId="000001B6">
      <w:pPr>
        <w:spacing w:after="0" w:before="0" w:line="480" w:lineRule="auto"/>
        <w:ind w:left="720" w:hanging="720"/>
        <w:jc w:val="both"/>
        <w:rPr/>
      </w:pPr>
      <w:r>
        <w:rPr>
          <w:rtl w:val="0"/>
        </w:rPr>
        <w:t xml:space="preserve">Demir, C. (2018). Hedging and academic writing: An analysis of lexical hedges. Journal of Language and Linguistic Studies, 14(4), 74-92. </w:t>
      </w:r>
      <w:hyperlink r:id="rId31">
        <w:r>
          <w:rPr>
            <w:color w:val="1155cc"/>
            <w:u w:val="single"/>
            <w:rtl w:val="0"/>
          </w:rPr>
          <w:t xml:space="preserve">https://files.eric.ed.gov/fulltext/EJ1201945.pdf</w:t>
        </w:r>
      </w:hyperlink>
      <w:r>
        <w:rPr>
          <w:rtl w:val="0"/>
        </w:rPr>
      </w:r>
    </w:p>
    <w:p>
      <w:r>
        <w:t>Demanou, G., &amp; Tabe, C. A. (2022). Disciplinary and move analyses of hedging in abstracts of DIPES II dissertations of the Higher Teachers' Training College of Maroua. International Journal of Applied Linguistics and English Literature, 11(4), 76–86. https://doi.org/10.7575/aiac.ijalel.v.11n.4p.76</w:t>
      </w:r>
    </w:p>
    <w:p>
      <w:r>
        <w:t>Doğan, Z. N., &amp; Akbaş, E. (2021). An exploratory study of epistemic stance in results and discussion sections of medical research articles. Atatürk Üniversitesi Sosyal Bilimler Enstitüsü Dergisi, 25(3), 1132–1150. https://doi.org/10.53487/ataunisosbil.951126</w:t>
      </w:r>
    </w:p>
    <w:p w:rsidR="00000000" w:rsidDel="00000000" w:rsidP="00000000" w:rsidRDefault="00000000" w:rsidRPr="00000000" w14:paraId="000001B7">
      <w:pPr>
        <w:spacing w:after="0" w:before="0" w:line="480" w:lineRule="auto"/>
        <w:ind w:left="720" w:hanging="720"/>
        <w:jc w:val="both"/>
        <w:rPr/>
      </w:pPr>
      <w:r>
        <w:rPr>
          <w:rtl w:val="0"/>
        </w:rPr>
        <w:t xml:space="preserve">Escalona, S. L. (2025). Hedges and boosters in college essays: A study of linguistic modulation in student writing. International Journal of English Literature and Social Sciences, 10(1), 7-17. </w:t>
      </w:r>
      <w:hyperlink r:id="rId32">
        <w:r>
          <w:rPr>
            <w:color w:val="1155cc"/>
            <w:u w:val="single"/>
            <w:rtl w:val="0"/>
          </w:rPr>
          <w:t xml:space="preserve">https://doi.org/10.22161/ijels.101.2</w:t>
        </w:r>
      </w:hyperlink>
      <w:r>
        <w:rPr>
          <w:rtl w:val="0"/>
        </w:rPr>
      </w:r>
    </w:p>
    <w:p w:rsidR="00000000" w:rsidDel="00000000" w:rsidP="00000000" w:rsidRDefault="00000000" w:rsidRPr="00000000" w14:paraId="000001B8">
      <w:pPr>
        <w:spacing w:after="0" w:before="0" w:line="480" w:lineRule="auto"/>
        <w:ind w:left="720" w:hanging="720"/>
        <w:jc w:val="both"/>
        <w:rPr/>
      </w:pPr>
      <w:r>
        <w:rPr>
          <w:rtl w:val="0"/>
        </w:rPr>
        <w:t xml:space="preserve">Ghia, E., Petrocelli, E., &amp; Pizziconi, S. (2022). Data possibly suggest… Hedging in second language writing: A study on advanced Italian EFL learners. Belgrade English Language and Literature Studies, 14, 47-72. </w:t>
      </w:r>
      <w:hyperlink r:id="rId33">
        <w:r>
          <w:rPr>
            <w:color w:val="1155cc"/>
            <w:u w:val="single"/>
            <w:rtl w:val="0"/>
          </w:rPr>
          <w:t xml:space="preserve">https://doi.org/10.18485/bells.2022.14.2</w:t>
        </w:r>
      </w:hyperlink>
      <w:r>
        <w:rPr>
          <w:rtl w:val="0"/>
        </w:rPr>
      </w:r>
    </w:p>
    <w:p>
      <w:pPr>
        <w:spacing w:line="480" w:lineRule="auto"/>
        <w:ind w:left="720" w:hanging="720"/>
        <w:jc w:val="left"/>
      </w:pPr>
      <w:r>
        <w:rPr>
          <w:rFonts w:ascii="Georgia" w:hAnsi="Georgia" w:eastAsia="Georgia"/>
          <w:sz w:val="22"/>
        </w:rPr>
        <w:t>Halabisaz, B., Pazhakh, A., &amp; Shakibafar, M. (2014). Hedging in thesis abstracts on applied linguistics across Persian and English. International Review of Social Sciences and Humanities, 7(1), 211–218. https://www.irssh.com/yahoo_site_admin/assets/docs/20_IRSSH-841-V7N1.131231112.pdf</w:t>
      </w:r>
    </w:p>
    <w:p w:rsidR="00000000" w:rsidDel="00000000" w:rsidP="00000000" w:rsidRDefault="00000000" w:rsidRPr="00000000" w14:paraId="000001B9">
      <w:pPr>
        <w:spacing w:after="0" w:before="0" w:line="480" w:lineRule="auto"/>
        <w:ind w:left="720" w:hanging="720"/>
        <w:jc w:val="both"/>
        <w:rPr/>
      </w:pPr>
      <w:r>
        <w:rPr>
          <w:rtl w:val="0"/>
        </w:rPr>
        <w:t xml:space="preserve">Gillaerts, P., &amp; Van de Velde, F. (2010). Interactional metadiscourse in research article abstracts. Journal of English for Academic Purposes, 9(2), 128-139. https://doi.org/10.1016/j.jeap.2010.02.004</w:t>
      </w:r>
    </w:p>
    <w:p w:rsidR="00000000" w:rsidDel="00000000" w:rsidP="00000000" w:rsidRDefault="00000000" w:rsidRPr="00000000" w14:paraId="000001BA">
      <w:pPr>
        <w:spacing w:after="0" w:before="0" w:line="480" w:lineRule="auto"/>
        <w:ind w:left="720" w:hanging="720"/>
        <w:jc w:val="both"/>
        <w:rPr/>
      </w:pPr>
      <w:r>
        <w:rPr>
          <w:rtl w:val="0"/>
        </w:rPr>
        <w:t xml:space="preserve">Hamidi, H., Najafi Sarem, S., &amp; Lotfi, A. H. (2025). Exploring hedging devices in scientific research papers: A content analysis study of the Medical Journal of the Islamic Republic of Iran. </w:t>
      </w:r>
      <w:r>
        <w:rPr>
          <w:i w:val="1"/>
          <w:iCs w:val="1"/>
          <w:rtl w:val="0"/>
        </w:rPr>
        <w:t xml:space="preserve">Medical Journal of the Islamic Republic of Iran, 39</w:t>
      </w:r>
      <w:r>
        <w:rPr>
          <w:rtl w:val="0"/>
        </w:rPr>
        <w:t xml:space="preserve">, Article 125. </w:t>
      </w:r>
      <w:hyperlink r:id="rId34">
        <w:r>
          <w:rPr>
            <w:color w:val="1155cc"/>
            <w:u w:val="single"/>
            <w:rtl w:val="0"/>
          </w:rPr>
          <w:t xml:space="preserve">https://pmc.ncbi.nlm.nih.gov/articles/PMC12584097/</w:t>
        </w:r>
      </w:hyperlink>
      <w:r>
        <w:rPr>
          <w:rtl w:val="0"/>
        </w:rPr>
      </w:r>
    </w:p>
    <w:p>
      <w:pPr>
        <w:spacing w:line="480" w:lineRule="auto"/>
        <w:ind w:left="720" w:hanging="720"/>
      </w:pPr>
      <w:r>
        <w:rPr>
          <w:rFonts w:ascii="Georgia" w:hAnsi="Georgia"/>
          <w:sz w:val="22"/>
        </w:rPr>
        <w:t>Hinkel, E. (2005). Hedging, inflating, and persuading in L2 academic writing. Applied Language Learning, 15(1–2), 29–53.</w:t>
      </w:r>
    </w:p>
    <w:p w:rsidR="00000000" w:rsidDel="00000000" w:rsidP="00000000" w:rsidRDefault="00000000" w:rsidRPr="00000000" w14:paraId="000001BB">
      <w:pPr>
        <w:spacing w:after="0" w:before="0" w:line="480" w:lineRule="auto"/>
        <w:ind w:left="720" w:hanging="720"/>
        <w:jc w:val="both"/>
        <w:rPr/>
      </w:pPr>
      <w:r>
        <w:rPr>
          <w:rtl w:val="0"/>
        </w:rPr>
        <w:t xml:space="preserve">Hu, G., &amp; Cao, F. (2011). Hedging and boosting in abstracts of applied linguistics articles: A comparative study of English- and Chinese-medium journals. Journal of Pragmatics, 43(11), 2795-2809. </w:t>
      </w:r>
      <w:hyperlink r:id="rId35">
        <w:r>
          <w:rPr>
            <w:color w:val="1155cc"/>
            <w:u w:val="single"/>
            <w:rtl w:val="0"/>
          </w:rPr>
          <w:t xml:space="preserve">https://doi.org/10.1016/j.pragma.2011.04.007</w:t>
        </w:r>
      </w:hyperlink>
      <w:r>
        <w:rPr>
          <w:rtl w:val="0"/>
        </w:rPr>
      </w:r>
    </w:p>
    <w:p w:rsidR="00000000" w:rsidDel="00000000" w:rsidP="00000000" w:rsidRDefault="00000000" w:rsidRPr="00000000" w14:paraId="000001BC">
      <w:pPr>
        <w:spacing w:after="0" w:before="0" w:line="480" w:lineRule="auto"/>
        <w:ind w:left="720" w:hanging="720"/>
        <w:jc w:val="both"/>
        <w:rPr/>
      </w:pPr>
      <w:r>
        <w:rPr>
          <w:rtl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ind w:left="720" w:hanging="720"/>
        <w:jc w:val="both"/>
        <w:rPr/>
      </w:pPr>
      <w:r>
        <w:rPr>
          <w:rtl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BE">
      <w:pPr>
        <w:spacing w:after="0" w:before="0" w:line="480" w:lineRule="auto"/>
        <w:ind w:left="720" w:hanging="720"/>
        <w:jc w:val="both"/>
        <w:rPr/>
      </w:pPr>
      <w:r>
        <w:rPr>
          <w:rtl w:val="0"/>
        </w:rPr>
        <w:t xml:space="preserve">Hyland, K. (1998). </w:t>
      </w:r>
      <w:r>
        <w:rPr>
          <w:i w:val="1"/>
          <w:iCs w:val="1"/>
          <w:rtl w:val="0"/>
        </w:rPr>
        <w:t xml:space="preserve">Hedging in scientific research articles</w:t>
      </w:r>
      <w:r>
        <w:rPr>
          <w:rtl w:val="0"/>
        </w:rPr>
        <w:t xml:space="preserve">. John Benjamins Publishing.</w:t>
      </w:r>
    </w:p>
    <w:p w:rsidR="00000000" w:rsidDel="00000000" w:rsidP="00000000" w:rsidRDefault="00000000" w:rsidRPr="00000000" w14:paraId="000001BF">
      <w:pPr>
        <w:spacing w:after="0" w:before="0" w:line="480" w:lineRule="auto"/>
        <w:ind w:left="720" w:hanging="720"/>
        <w:jc w:val="both"/>
        <w:rPr/>
      </w:pPr>
      <w:r>
        <w:rPr>
          <w:rtl w:val="0"/>
        </w:rPr>
        <w:t xml:space="preserve">Hyland, K. (2005). Stance and engagement: A model of interaction in academic discourse. Discourse Studies, 7(2), 173-192. </w:t>
      </w:r>
      <w:hyperlink r:id="rId36">
        <w:r>
          <w:rPr>
            <w:color w:val="1155cc"/>
            <w:u w:val="single"/>
            <w:rtl w:val="0"/>
          </w:rPr>
          <w:t xml:space="preserve">https://doi.org/10.1177/1461445605050365</w:t>
        </w:r>
      </w:hyperlink>
      <w:r>
        <w:rPr>
          <w:rtl w:val="0"/>
        </w:rPr>
      </w:r>
    </w:p>
    <w:p w:rsidR="00000000" w:rsidDel="00000000" w:rsidP="00000000" w:rsidRDefault="00000000" w:rsidRPr="00000000" w14:paraId="000001C0">
      <w:pPr>
        <w:spacing w:after="0" w:before="0" w:line="480" w:lineRule="auto"/>
        <w:ind w:left="720" w:hanging="720"/>
        <w:jc w:val="both"/>
        <w:rPr/>
      </w:pPr>
      <w:r>
        <w:rPr>
          <w:rtl w:val="0"/>
        </w:rPr>
        <w:t xml:space="preserve">Hyland, K., &amp; Milton, J. (1997). Qualification and certainty in L1 and L2 students’ writing. Journal of Second Language Writing, 6(2), 183-205. </w:t>
      </w:r>
      <w:hyperlink r:id="rId37">
        <w:r>
          <w:rPr>
            <w:color w:val="1155cc"/>
            <w:u w:val="single"/>
            <w:rtl w:val="0"/>
          </w:rPr>
          <w:t xml:space="preserve">https://doi.org/10.1016/S1060-3743(97)90033-3</w:t>
        </w:r>
      </w:hyperlink>
      <w:r>
        <w:rPr>
          <w:rtl w:val="0"/>
        </w:rPr>
      </w:r>
    </w:p>
    <w:p w:rsidR="00000000" w:rsidDel="00000000" w:rsidP="00000000" w:rsidRDefault="00000000" w:rsidRPr="00000000" w14:paraId="000001C1">
      <w:pPr>
        <w:spacing w:after="0" w:before="0" w:line="480" w:lineRule="auto"/>
        <w:ind w:left="720" w:hanging="720"/>
        <w:jc w:val="both"/>
        <w:rPr/>
      </w:pPr>
      <w:r>
        <w:rPr>
          <w:rtl w:val="0"/>
        </w:rPr>
        <w:t xml:space="preserve">Imataki, N., &amp; Kobayashi, Y. (2024). Analyzing disciplinary variation in abstracts: Linguistic features across scientific and technical fields. Linguistics and Literature Studies, 12(3), 19-28. </w:t>
      </w:r>
      <w:hyperlink r:id="rId38">
        <w:r>
          <w:rPr>
            <w:color w:val="1155cc"/>
            <w:u w:val="single"/>
            <w:rtl w:val="0"/>
          </w:rPr>
          <w:t xml:space="preserve">https://doi.org/10.13189/lls.2024.120301</w:t>
        </w:r>
      </w:hyperlink>
      <w:r>
        <w:rPr>
          <w:rtl w:val="0"/>
        </w:rPr>
      </w:r>
    </w:p>
    <w:p w:rsidR="00000000" w:rsidDel="00000000" w:rsidP="00000000" w:rsidRDefault="00000000" w:rsidRPr="00000000" w14:paraId="000001C2">
      <w:pPr>
        <w:spacing w:after="0" w:before="0" w:line="480" w:lineRule="auto"/>
        <w:ind w:left="720" w:hanging="720"/>
        <w:jc w:val="both"/>
        <w:rPr/>
      </w:pPr>
      <w:r>
        <w:rPr>
          <w:rtl w:val="0"/>
        </w:rPr>
        <w:t xml:space="preserve">Khunasathitchai, K., Sittironnarit, S., Sinturat, T., &amp; Kumdee, S. (2025). Move analysis and hedge use in the research paper abstracts of Thai EFL English-majored undergraduates. rEFLections, 32(2), 951-973. </w:t>
      </w:r>
      <w:hyperlink r:id="rId39">
        <w:r>
          <w:rPr>
            <w:color w:val="1155cc"/>
            <w:u w:val="single"/>
            <w:rtl w:val="0"/>
          </w:rPr>
          <w:t xml:space="preserve">https://doi.org/10.61508/refl.v32i2.282512</w:t>
        </w:r>
      </w:hyperlink>
      <w:r>
        <w:rPr>
          <w:rtl w:val="0"/>
        </w:rPr>
      </w:r>
    </w:p>
    <w:p>
      <w:r>
        <w:t>Lingard, L. (2026). Rhetorical candour: When and how to say it straight in your academic manuscript. Perspectives on Medical Education, 15(1), 251–256. https://doi.org/10.5334/pme.2269</w:t>
      </w:r>
    </w:p>
    <w:p w:rsidR="00000000" w:rsidDel="00000000" w:rsidP="00000000" w:rsidRDefault="00000000" w:rsidRPr="00000000" w14:paraId="000001C4">
      <w:pPr>
        <w:spacing w:after="0" w:before="0" w:line="480" w:lineRule="auto"/>
        <w:ind w:left="720" w:hanging="720"/>
        <w:jc w:val="both"/>
        <w:rPr/>
      </w:pPr>
      <w:r>
        <w:rPr>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Pr>
            <w:color w:val="1155cc"/>
            <w:u w:val="single"/>
            <w:rtl w:val="0"/>
          </w:rPr>
          <w:t xml:space="preserve">https://doi.org/10.47772/IJRISS.2025.91100485</w:t>
        </w:r>
      </w:hyperlink>
      <w:r>
        <w:rPr>
          <w:rtl w:val="0"/>
        </w:rPr>
      </w:r>
    </w:p>
    <w:p>
      <w:pPr>
        <w:spacing w:line="480" w:lineRule="auto"/>
        <w:ind w:left="720" w:hanging="720"/>
      </w:pPr>
      <w:r>
        <w:rPr>
          <w:rFonts w:ascii="Georgia" w:hAnsi="Georgia"/>
          <w:sz w:val="22"/>
        </w:rPr>
        <w:t>Luo, S. (2021). A systematic review of undergraduate English language learners’ use of hedging in English academic writing [Capstone paper, Vanderbilt University].</w:t>
      </w:r>
    </w:p>
    <w:p w:rsidR="00000000" w:rsidDel="00000000" w:rsidP="00000000" w:rsidRDefault="00000000" w:rsidRPr="00000000" w14:paraId="000001C5">
      <w:pPr>
        <w:spacing w:after="0" w:before="0" w:line="480" w:lineRule="auto"/>
        <w:ind w:left="720" w:hanging="720"/>
        <w:jc w:val="both"/>
        <w:rPr/>
      </w:pPr>
      <w:r>
        <w:rPr>
          <w:rtl w:val="0"/>
        </w:rPr>
        <w:t xml:space="preserve">Mazidah, E. N., Cahyani, W. I., &amp; Masruroh, L. (2022). Hedges and boosters in undergraduate thesis abstracts of Qomaruddin University students. Journal of Education, Humaniora and Social Sciences (JEHSS), 4(3), 1657-1663. </w:t>
      </w:r>
      <w:hyperlink r:id="rId42">
        <w:r>
          <w:rPr>
            <w:color w:val="1155cc"/>
            <w:u w:val="single"/>
            <w:rtl w:val="0"/>
          </w:rPr>
          <w:t xml:space="preserve">https://doi.org/10.34007/jehss.v4i3.925</w:t>
        </w:r>
      </w:hyperlink>
      <w:r>
        <w:rPr>
          <w:rtl w:val="0"/>
        </w:rPr>
      </w:r>
    </w:p>
    <w:p w:rsidR="00000000" w:rsidDel="00000000" w:rsidP="00000000" w:rsidRDefault="00000000" w:rsidRPr="00000000" w14:paraId="000001C6">
      <w:pPr>
        <w:spacing w:after="0" w:before="0" w:line="480" w:lineRule="auto"/>
        <w:ind w:left="720" w:hanging="720"/>
        <w:jc w:val="both"/>
        <w:rPr/>
      </w:pPr>
      <w:r>
        <w:rPr>
          <w:rtl w:val="0"/>
        </w:rPr>
        <w:t xml:space="preserve">Mohammed, S. J. (2011). </w:t>
      </w:r>
      <w:r>
        <w:rPr>
          <w:i w:val="1"/>
          <w:iCs w:val="1"/>
          <w:rtl w:val="0"/>
        </w:rPr>
        <w:t xml:space="preserve">Lexical hedges: A study of cultural and disciplinary variation in academic research articles</w:t>
      </w:r>
      <w:r>
        <w:rPr>
          <w:rtl w:val="0"/>
        </w:rPr>
        <w:t xml:space="preserve"> [Master’s thesis, Universiti Teknologi MARA]. CORE. </w:t>
      </w:r>
      <w:hyperlink r:id="rId43">
        <w:r>
          <w:rPr>
            <w:color w:val="1155cc"/>
            <w:u w:val="single"/>
            <w:rtl w:val="0"/>
          </w:rPr>
          <w:t xml:space="preserve">https://core.ac.uk/download/78277430.pdf</w:t>
        </w:r>
      </w:hyperlink>
      <w:r>
        <w:rPr>
          <w:rtl w:val="0"/>
        </w:rPr>
      </w:r>
    </w:p>
    <w:p w:rsidR="00000000" w:rsidDel="00000000" w:rsidP="00000000" w:rsidRDefault="00000000" w:rsidRPr="00000000" w14:paraId="000001C7">
      <w:pPr>
        <w:spacing w:after="0" w:before="0" w:line="480" w:lineRule="auto"/>
        <w:ind w:left="720" w:hanging="720"/>
        <w:jc w:val="both"/>
        <w:rPr/>
      </w:pPr>
      <w:r>
        <w:rPr>
          <w:rtl w:val="0"/>
        </w:rPr>
        <w:t xml:space="preserve">Ningrum, S., Puspita, H., &amp; Mulyadi, A. I. (2024). Hedges and boosters in academic writing of ASEAN EFL learners. Journal of English Education and Teaching, 8(1), 202-218. </w:t>
      </w:r>
      <w:hyperlink r:id="rId44">
        <w:r>
          <w:rPr>
            <w:color w:val="1155cc"/>
            <w:u w:val="single"/>
            <w:rtl w:val="0"/>
          </w:rPr>
          <w:t xml:space="preserve">https://doi.org/10.33369/jeet.8.1.202-218</w:t>
        </w:r>
      </w:hyperlink>
      <w:r>
        <w:rPr>
          <w:rtl w:val="0"/>
        </w:rPr>
      </w:r>
    </w:p>
    <w:p w:rsidR="00000000" w:rsidDel="00000000" w:rsidP="00000000" w:rsidRDefault="00000000" w:rsidRPr="00000000" w14:paraId="000001C8">
      <w:pPr>
        <w:spacing w:after="0" w:before="0" w:line="480" w:lineRule="auto"/>
        <w:ind w:left="720" w:hanging="720"/>
        <w:jc w:val="both"/>
        <w:rPr/>
      </w:pPr>
      <w:r>
        <w:rPr>
          <w:rtl w:val="0"/>
        </w:rPr>
        <w:t xml:space="preserve">Petchkij, W. (2019). Explicit teaching of hedges: Bringing hedging in academic writing into the Thai EFL classroom. Electronic Journal of Foreign Language Teaching, 16(1), 95-113. </w:t>
      </w:r>
      <w:hyperlink r:id="rId45">
        <w:r>
          <w:rPr>
            <w:color w:val="1155cc"/>
            <w:u w:val="single"/>
            <w:rtl w:val="0"/>
          </w:rPr>
          <w:t xml:space="preserve">https://e-flt.nus.edu.sg/wp-content/uploads/2020/09/petchkij.pdf</w:t>
        </w:r>
      </w:hyperlink>
      <w:r>
        <w:rPr>
          <w:rtl w:val="0"/>
        </w:rPr>
      </w:r>
    </w:p>
    <w:p w:rsidR="00000000" w:rsidDel="00000000" w:rsidP="00000000" w:rsidRDefault="00000000" w:rsidRPr="00000000" w14:paraId="000001C9">
      <w:pPr>
        <w:spacing w:after="0" w:before="0" w:line="480" w:lineRule="auto"/>
        <w:ind w:left="720" w:hanging="720"/>
        <w:jc w:val="both"/>
        <w:rPr/>
      </w:pPr>
      <w:r>
        <w:rPr>
          <w:rtl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A">
      <w:pPr>
        <w:spacing w:after="0" w:before="0" w:line="480" w:lineRule="auto"/>
        <w:ind w:left="720" w:hanging="720"/>
        <w:jc w:val="both"/>
        <w:rPr/>
      </w:pPr>
      <w:r>
        <w:rPr>
          <w:rtl w:val="0"/>
        </w:rPr>
        <w:t xml:space="preserve">Salager-Meyer, F. (1994). Hedges and textual communicative function in medical English written discourse. English for Specific Purposes, 13(2), 149-170. </w:t>
      </w:r>
      <w:hyperlink r:id="rId46">
        <w:r>
          <w:rPr>
            <w:color w:val="1155cc"/>
            <w:u w:val="single"/>
            <w:rtl w:val="0"/>
          </w:rPr>
          <w:t xml:space="preserve">https://doi.org/10.1016/0889-4906(94)90013-2</w:t>
        </w:r>
      </w:hyperlink>
      <w:r>
        <w:rPr>
          <w:rtl w:val="0"/>
        </w:rPr>
      </w:r>
    </w:p>
    <w:p w:rsidR="00000000" w:rsidDel="00000000" w:rsidP="00000000" w:rsidRDefault="00000000" w:rsidRPr="00000000" w14:paraId="000001CB">
      <w:pPr>
        <w:spacing w:after="0" w:before="0" w:line="480" w:lineRule="auto"/>
        <w:ind w:left="720" w:hanging="720"/>
        <w:jc w:val="both"/>
        <w:rPr/>
      </w:pPr>
      <w:r>
        <w:rPr>
          <w:rtl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C">
      <w:pPr>
        <w:spacing w:after="0" w:before="0" w:line="480" w:lineRule="auto"/>
        <w:ind w:left="720" w:hanging="720"/>
        <w:jc w:val="both"/>
        <w:rPr/>
      </w:pPr>
      <w:r>
        <w:rPr>
          <w:rtl w:val="0"/>
        </w:rPr>
        <w:t xml:space="preserve">Souici, F., &amp; Slougui, D. (2022). Hedges in biology research articles: What types and frequency do Algerian authors use? Journal of Human Sciences, 33(4), 49-59. </w:t>
      </w:r>
      <w:hyperlink r:id="rId47">
        <w:r>
          <w:rPr>
            <w:color w:val="1155cc"/>
            <w:u w:val="single"/>
            <w:rtl w:val="0"/>
          </w:rPr>
          <w:t xml:space="preserve">https://revue.umc.edu.dz/h/article/view/4015</w:t>
        </w:r>
      </w:hyperlink>
      <w:r>
        <w:rPr>
          <w:rtl w:val="0"/>
        </w:rPr>
      </w:r>
    </w:p>
    <w:p>
      <w:r>
        <w:t>Sepehri, M., Hajijalili, M., &amp; Namaziandost, E. (2019). Hedges and boosters in medical and engineering research articles: A comparative corpus-based study. Global Journal of Foreign Language Teaching, 9(4), 203–213. https://doi.org/10.18844/gjflt.v9i4.4342</w:t>
      </w:r>
    </w:p>
    <w:p>
      <w:pPr>
        <w:spacing w:line="480" w:lineRule="auto"/>
        <w:ind w:left="720" w:hanging="720"/>
      </w:pPr>
      <w:r>
        <w:rPr>
          <w:rFonts w:ascii="Georgia" w:hAnsi="Georgia" w:eastAsia="Georgia"/>
          <w:sz w:val="22"/>
        </w:rPr>
        <w:t>Takimoto, M. (2015). Assertions and lexical invisibility in EFL learners’ academic essays. Journal of Pragmatics, 89, 85–99. https://doi.org/10.1016/j.pragma.2015.09.009</w:t>
      </w:r>
    </w:p>
    <w:p w:rsidR="00000000" w:rsidDel="00000000" w:rsidP="00000000" w:rsidRDefault="00000000" w:rsidRPr="00000000" w14:paraId="000001CD">
      <w:pPr>
        <w:spacing w:after="0" w:before="0" w:line="480" w:lineRule="auto"/>
        <w:ind w:left="720" w:hanging="720"/>
        <w:jc w:val="both"/>
        <w:rPr/>
      </w:pPr>
      <w:r>
        <w:rPr>
          <w:rtl w:val="0"/>
        </w:rPr>
        <w:t xml:space="preserve">Suratno, A., &amp; Aydawati, E. N. (2025). Hedging strategies in non-science theses: A corpus-based analysis of discussion sections. ETERNAL (English Teaching Journal), 16(1), 37-52. </w:t>
      </w:r>
      <w:hyperlink r:id="rId48">
        <w:r>
          <w:rPr>
            <w:color w:val="1155cc"/>
            <w:u w:val="single"/>
            <w:rtl w:val="0"/>
          </w:rPr>
          <w:t xml:space="preserve">https://journal2.upgris.ac.id/index.php/eternal/article/view/1059</w:t>
        </w:r>
      </w:hyperlink>
      <w:r>
        <w:rPr>
          <w:rtl w:val="0"/>
        </w:rPr>
      </w:r>
    </w:p>
    <w:p w:rsidR="00000000" w:rsidDel="00000000" w:rsidP="00000000" w:rsidRDefault="00000000" w:rsidRPr="00000000" w14:paraId="000001CE">
      <w:pPr>
        <w:spacing w:after="0" w:before="0" w:line="480" w:lineRule="auto"/>
        <w:ind w:left="720" w:hanging="720"/>
        <w:jc w:val="both"/>
        <w:rPr/>
      </w:pPr>
      <w:r>
        <w:rPr>
          <w:rtl w:val="0"/>
        </w:rPr>
        <w:t xml:space="preserve">Villanueva, V. S. (2014). Hedging devices in Philippine newspaper editorials. Asian Journal of English Language Studies, 2, 103-117. </w:t>
      </w:r>
      <w:hyperlink r:id="rId49">
        <w:r>
          <w:rPr>
            <w:color w:val="1155cc"/>
            <w:u w:val="single"/>
            <w:rtl w:val="0"/>
          </w:rPr>
          <w:t xml:space="preserve">https://doi.org/10.59960/2.a5</w:t>
        </w:r>
      </w:hyperlink>
      <w:r>
        <w:rPr>
          <w:rtl w:val="0"/>
        </w:rPr>
      </w:r>
    </w:p>
    <w:p w:rsidR="00000000" w:rsidDel="00000000" w:rsidP="00000000" w:rsidRDefault="00000000" w:rsidRPr="00000000" w14:paraId="000001CF">
      <w:pPr>
        <w:spacing w:after="0" w:before="0" w:line="480" w:lineRule="auto"/>
        <w:ind w:left="720" w:hanging="720"/>
        <w:jc w:val="both"/>
        <w:rPr/>
      </w:pPr>
      <w:r>
        <w:rPr>
          <w:rtl w:val="0"/>
        </w:rPr>
        <w:t xml:space="preserve">Wang, X. (2022). </w:t>
      </w:r>
      <w:r>
        <w:rPr>
          <w:i w:val="1"/>
          <w:iCs w:val="1"/>
          <w:rtl w:val="0"/>
        </w:rPr>
        <w:t xml:space="preserve">Hedging in academic writing: Cross-disciplinary comparisons in the Michigan Corpus of Upper-Level Student Papers (MICUSP)</w:t>
      </w:r>
      <w:r>
        <w:rPr>
          <w:rtl w:val="0"/>
        </w:rPr>
        <w:t xml:space="preserve"> [Preprint]. OSF Preprints. </w:t>
      </w:r>
      <w:hyperlink r:id="rId50">
        <w:r>
          <w:rPr>
            <w:color w:val="1155cc"/>
            <w:u w:val="single"/>
            <w:rtl w:val="0"/>
          </w:rPr>
          <w:t xml:space="preserve">https://osf.io/preprints/edarxiv/5xj27</w:t>
        </w:r>
      </w:hyperlink>
      <w:r>
        <w:rPr>
          <w:rtl w:val="0"/>
        </w:rPr>
      </w:r>
    </w:p>
    <w:p>
      <w:r>
        <w:t>Wahyuningsih, S., &amp; Sofwan, A. (2014). Hedges in thesis abstracts of graduate students of Semarang State University. English Education Journal, 4(2), 75–81.</w:t>
      </w:r>
    </w:p>
    <w:p w:rsidR="00000000" w:rsidDel="00000000" w:rsidP="00000000" w:rsidRDefault="00000000" w:rsidRPr="00000000" w14:paraId="000001D0">
      <w:pPr>
        <w:spacing w:after="0" w:before="0" w:line="480" w:lineRule="auto"/>
        <w:ind w:left="720" w:hanging="720"/>
        <w:jc w:val="both"/>
        <w:rPr/>
        <w:sectPr>
          <w:headerReference r:id="rId51" w:type="default"/>
          <w:headerReference r:id="rId52" w:type="first"/>
          <w:footerReference r:id="rId53" w:type="default"/>
          <w:footerReference r:id="rId54" w:type="first"/>
          <w:type w:val="nextPage"/>
          <w:pgSz w:h="16838" w:w="11906" w:orient="portrait"/>
          <w:pgMar w:bottom="1440" w:top="1440" w:left="2160" w:right="1440" w:header="720" w:footer="720"/>
          <w:titlePg w:val="1"/>
        </w:sectPr>
      </w:pPr>
      <w:r>
        <w:rPr>
          <w:rtl w:val="0"/>
        </w:rPr>
        <w:t xml:space="preserve">Xie, S., &amp; Mi, C. (2023). Promotion and caution in research article abstracts: The use of positive, negative and hedge words across disciplines and rankings. Learned Publishing, 36(2), 249-265. https://doi.org/10.1002/leap.1515</w:t>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