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8"/>
          <w:szCs w:val="28"/>
          <w:b/>
          <w:bCs/>
        </w:rPr>
        <w:t xml:space="preserve">THE USE OF HEDGES IN RESEARCH ABSTRACTS</w:t>
      </w:r>
    </w:p>
    <w:p>
      <w:pPr>
        <w:spacing w:before="0" w:after="0" w:line="360" w:lineRule="auto"/>
        <w:jc w:val="center"/>
      </w:pPr>
      <w:r>
        <w:rPr>
          <w:rFonts w:ascii="Georgia" w:hAnsi="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A Thesis</w:t>
      </w:r>
    </w:p>
    <w:p>
      <w:pPr>
        <w:spacing w:before="0" w:after="0" w:line="360" w:lineRule="auto"/>
        <w:jc w:val="center"/>
      </w:pPr>
      <w:r>
        <w:rPr>
          <w:rFonts w:ascii="Georgia" w:hAnsi="Georgia"/>
          <w:sz w:val="24"/>
          <w:szCs w:val="24"/>
        </w:rPr>
        <w:t xml:space="preserve">Presented to the Faculty of</w:t>
      </w:r>
    </w:p>
    <w:p>
      <w:pPr>
        <w:spacing w:before="0" w:after="0" w:line="360" w:lineRule="auto"/>
        <w:jc w:val="center"/>
      </w:pPr>
      <w:r>
        <w:rPr>
          <w:rFonts w:ascii="Georgia" w:hAnsi="Georgia"/>
          <w:sz w:val="24"/>
          <w:szCs w:val="24"/>
        </w:rPr>
        <w:t xml:space="preserve">Department of English</w:t>
      </w:r>
    </w:p>
    <w:p>
      <w:pPr>
        <w:spacing w:before="0" w:after="0" w:line="360" w:lineRule="auto"/>
        <w:jc w:val="center"/>
      </w:pPr>
      <w:r>
        <w:rPr>
          <w:rFonts w:ascii="Georgia" w:hAnsi="Georgia"/>
          <w:sz w:val="24"/>
          <w:szCs w:val="24"/>
        </w:rPr>
        <w:t xml:space="preserve">College of Arts and Sciences</w:t>
      </w:r>
    </w:p>
    <w:p>
      <w:pPr>
        <w:spacing w:before="0" w:after="0" w:line="360" w:lineRule="auto"/>
        <w:jc w:val="center"/>
      </w:pPr>
      <w:r>
        <w:rPr>
          <w:rFonts w:ascii="Georgia" w:hAnsi="Georgia"/>
          <w:sz w:val="24"/>
          <w:szCs w:val="24"/>
        </w:rPr>
        <w:t xml:space="preserve">Pampanga State Agricultural University</w:t>
      </w:r>
    </w:p>
    <w:p>
      <w:pPr>
        <w:spacing w:before="0" w:after="0" w:line="360" w:lineRule="auto"/>
        <w:jc w:val="center"/>
      </w:pPr>
      <w:r>
        <w:rPr>
          <w:rFonts w:ascii="Georgia" w:hAnsi="Georgia"/>
          <w:sz w:val="24"/>
          <w:szCs w:val="24"/>
        </w:rPr>
        <w:t xml:space="preserve">Magalang, Pampanga</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In Partial Fulfillment</w:t>
      </w:r>
    </w:p>
    <w:p>
      <w:pPr>
        <w:spacing w:before="0" w:after="0" w:line="360" w:lineRule="auto"/>
        <w:jc w:val="center"/>
      </w:pPr>
      <w:r>
        <w:rPr>
          <w:rFonts w:ascii="Georgia" w:hAnsi="Georgia"/>
          <w:sz w:val="24"/>
          <w:szCs w:val="24"/>
        </w:rPr>
        <w:t xml:space="preserve">of the Requirements for the Degree</w:t>
      </w:r>
    </w:p>
    <w:p>
      <w:pPr>
        <w:spacing w:before="0" w:after="0" w:line="360" w:lineRule="auto"/>
        <w:jc w:val="center"/>
      </w:pPr>
      <w:r>
        <w:rPr>
          <w:rFonts w:ascii="Georgia" w:hAnsi="Georgia"/>
          <w:sz w:val="24"/>
          <w:szCs w:val="24"/>
        </w:rPr>
        <w:t xml:space="preserve">BACHELOR OF ARTS IN ENGLISH LANGUAGE STUDIES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By</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b/>
          <w:bCs/>
        </w:rPr>
        <w:t xml:space="preserve">CHRYZ KEAN F. MANUEL</w:t>
      </w:r>
    </w:p>
    <w:p>
      <w:pPr>
        <w:spacing w:before="0" w:after="0" w:line="360" w:lineRule="auto"/>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pPr>
      <w:r>
        <w:rPr>
          <w:rFonts w:ascii="Georgia" w:hAnsi="Georgia"/>
          <w:sz w:val="24"/>
          <w:szCs w:val="24"/>
        </w:rPr>
        <w:t xml:space="preserve">October 2026</w:t>
      </w:r>
    </w:p>
    <w:p w:rsidR="00000000" w:rsidDel="00000000" w:rsidP="00000000" w:rsidRDefault="00000000" w:rsidRPr="00000000" w14:paraId="00000027">
      <w:pPr>
        <w:keepLines w:val="1"/>
        <w:spacing w:before="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cs="Georgia" w:eastAsia="Georgia" w:hAnsi="Georgia"/>
          <w:b w:val="0"/>
          <w:bCs w:val="0"/>
          <w:i w:val="0"/>
          <w:iCs w:val="0"/>
          <w:sz w:val="22"/>
          <w:szCs w:val="22"/>
          <w:rtl w:val="0"/>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r>
        <w:rPr>
          <w:rtl w:val="0"/>
        </w:rPr>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cs="Georgia" w:eastAsia="Georgia" w:hAnsi="Georgia"/>
          <w:b w:val="0"/>
          <w:bCs w:val="0"/>
          <w:i w:val="0"/>
          <w:iCs w:val="0"/>
          <w:sz w:val="22"/>
          <w:szCs w:val="22"/>
          <w:rtl w:val="0"/>
        </w:rPr>
        <w:t>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 Philosophy and Psychology hedged more than Physics and History, yet modal verbs remained the dominant form across disciplines.</w:t>
      </w:r>
      <w:r>
        <w:rPr>
          <w:rtl w:val="0"/>
        </w:rPr>
      </w:r>
    </w:p>
    <w:p w:rsidR="00000000" w:rsidDel="00000000" w:rsidP="00000000" w:rsidRDefault="00000000" w:rsidRPr="00000000" w14:paraId="00000033">
      <w:pPr>
        <w:spacing w:before="0" w:after="0" w:line="480" w:lineRule="auto"/>
        <w:ind w:firstLine="720"/>
        <w:jc w:val="both"/>
        <w:rPr/>
      </w:pPr>
      <w:r>
        <w:rPr>
          <w:rFonts w:ascii="Georgia" w:cs="Georgia" w:eastAsia="Georgia" w:hAnsi="Georgia"/>
          <w:b w:val="0"/>
          <w:bCs w:val="0"/>
          <w:i w:val="0"/>
          <w:iCs w:val="0"/>
          <w:sz w:val="22"/>
          <w:szCs w:val="22"/>
          <w:rtl w:val="0"/>
        </w:rPr>
        <w:t xml:space="preserve">These studies leave two gaps for the present work. Only Khunasathitchai et al. examined abstracts specifically; the others analyzed discussion sections or full papers, where rhetorical space is wider. None is set in a Philippine L2 context.</w:t>
      </w:r>
      <w:r>
        <w:rPr>
          <w:rtl w:val="0"/>
        </w:rPr>
      </w:r>
    </w:p>
    <w:p w:rsidR="00000000" w:rsidDel="00000000" w:rsidP="00000000" w:rsidRDefault="00000000" w:rsidRPr="00000000" w14:paraId="00000035">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cs="Georgia" w:eastAsia="Georgia" w:hAnsi="Georgia"/>
          <w:b w:val="0"/>
          <w:bCs w:val="0"/>
          <w:i w:val="0"/>
          <w:iCs w:val="0"/>
          <w:sz w:val="22"/>
          <w:szCs w:val="22"/>
          <w:rtl w:val="0"/>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r>
        <w:rPr>
          <w:rtl w:val="0"/>
        </w:rPr>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Georgia" w:cs="Georgia" w:eastAsia="Georgia" w:hAnsi="Georgia"/>
          <w:b w:val="0"/>
          <w:bCs w:val="0"/>
          <w:i w:val="0"/>
          <w:iCs w:val="0"/>
          <w:sz w:val="22"/>
          <w:szCs w:val="22"/>
          <w:rtl w:val="0"/>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r>
        <w:rPr>
          <w:rtl w:val="0"/>
        </w:rPr>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cs="Georgia" w:eastAsia="Georgia" w:hAnsi="Georgia"/>
          <w:b w:val="0"/>
          <w:bCs w:val="0"/>
          <w:i w:val="0"/>
          <w:iCs w:val="0"/>
          <w:sz w:val="22"/>
          <w:szCs w:val="22"/>
          <w:rtl w:val="0"/>
        </w:rPr>
        <w:t>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 different genre, same point that hedging is context-sensitive.</w:t>
      </w:r>
      <w:r>
        <w:rPr>
          <w:rtl w:val="0"/>
        </w:rPr>
      </w:r>
    </w:p>
    <w:p w:rsidR="00000000" w:rsidDel="00000000" w:rsidP="00000000" w:rsidRDefault="00000000" w:rsidRPr="00000000" w14:paraId="0000003F">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cs="Georgia" w:eastAsia="Georgia" w:hAnsi="Georgia"/>
          <w:b w:val="0"/>
          <w:bCs w:val="0"/>
          <w:i w:val="0"/>
          <w:iCs w:val="0"/>
          <w:sz w:val="22"/>
          <w:szCs w:val="22"/>
          <w:rtl w:val="0"/>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r>
        <w:rPr>
          <w:rtl w:val="0"/>
        </w:rPr>
      </w:r>
    </w:p>
    <w:p w:rsidR="00000000" w:rsidDel="00000000" w:rsidP="00000000" w:rsidRDefault="00000000" w:rsidRPr="00000000" w14:paraId="00000042">
      <w:pPr>
        <w:spacing w:before="0" w:after="0" w:line="480" w:lineRule="auto"/>
        <w:ind w:firstLine="720"/>
        <w:jc w:val="both"/>
        <w:rPr/>
      </w:pPr>
      <w:r>
        <w:rPr>
          <w:rFonts w:ascii="Georgia" w:cs="Georgia" w:eastAsia="Georgia" w:hAnsi="Georgia"/>
          <w:b w:val="0"/>
          <w:bCs w:val="0"/>
          <w:i w:val="0"/>
          <w:iCs w:val="0"/>
          <w:sz w:val="22"/>
          <w:szCs w:val="22"/>
          <w:rtl w:val="0"/>
        </w:rPr>
        <w:t xml:space="preserve">Across the literature, expert writers show measurable disciplinary differentiation in hedging shaped by epistemic demands rather than a simple hard/soft divide (Salager-Meyer, 1994; Afshar et al., 2014). Developing researchers across contexts show limited hedge variety and tend to default to modal verbs (Khunasathitchai et al., 2025; Wang, 2022). L2 writers face additional constraints from linguistic factors and limited explicit instruction (Demir, 2018; Petchkij, 2019). Philippine and ASEAN studies confirm reliance on modals and, in some contexts, a preference for boosters (Ningrum et al., 2024; Escalona, 2025; Lopez et al., 2025).</w:t>
      </w:r>
      <w:r>
        <w:rPr>
          <w:rtl w:val="0"/>
        </w:rPr>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maps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cs="Georgia" w:eastAsia="Georgia" w:hAnsi="Georgia"/>
          <w:b w:val="0"/>
          <w:bCs w:val="0"/>
          <w:i w:val="0"/>
          <w:iCs w:val="0"/>
          <w:sz w:val="22"/>
          <w:szCs w:val="22"/>
          <w:rtl w:val="0"/>
        </w:rPr>
        <w:t>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type-function pairings to be inspected. In this corpus all coded hedges were Epistemic Caution under the Working Test, so the cross-tab does not differentiate functions. RQ3 is therefore answered as a finding about the adapted scheme (what the screen retains and how it is classified), not as an open survey of rhetorical functions independent of the identification procedure. RQ4 is answered from frequency and functional patterns as a whole.</w:t>
      </w:r>
      <w:r>
        <w:rPr>
          <w:rtl w:val="0"/>
        </w:rPr>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independent variable is discipline, which includes Agriculture, Veterinary Medicine, and Biology.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keepLines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b w:val="1"/>
          <w:bCs w:val="1"/>
          <w:rtl w:val="0"/>
        </w:rPr>
        <w:t xml:space="preserve">For writing instructors and thesis advisers at PSAU, </w:t>
      </w:r>
      <w:r>
        <w:rPr>
          <w:rFonts w:ascii="Georgia" w:hAnsi="Georgia" w:cs="Georgia" w:eastAsia="Georgia"/>
          <w:b w:val="0"/>
          <w:bCs w:val="0"/>
          <w:rtl w:val="0"/>
        </w:rPr>
        <w:t xml:space="preserve">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b w:val="1"/>
          <w:bCs w:val="1"/>
          <w:rtl w:val="0"/>
        </w:rPr>
        <w:t xml:space="preserve">For academic writing researchers, </w:t>
      </w:r>
      <w:r>
        <w:rPr>
          <w:rFonts w:ascii="Georgia" w:hAnsi="Georgia" w:cs="Georgia" w:eastAsia="Georgia"/>
          <w:b w:val="0"/>
          <w:bCs w:val="0"/>
          <w:rtl w:val="0"/>
        </w:rPr>
        <w:t xml:space="preserve">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b w:val="1"/>
          <w:bCs w:val="1"/>
          <w:rtl w:val="0"/>
        </w:rPr>
        <w:t xml:space="preserve">For the BAELS program, </w:t>
      </w:r>
      <w:r>
        <w:rPr>
          <w:rFonts w:ascii="Georgia" w:hAnsi="Georgia" w:cs="Georgia" w:eastAsia="Georgia"/>
          <w:b w:val="0"/>
          <w:bCs w:val="0"/>
          <w:rtl w:val="0"/>
        </w:rPr>
        <w:t xml:space="preserve">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b w:val="1"/>
          <w:bCs w:val="1"/>
          <w:rtl w:val="0"/>
        </w:rPr>
        <w:t xml:space="preserve">For future researchers, </w:t>
      </w:r>
      <w:r>
        <w:rPr>
          <w:rFonts w:ascii="Georgia" w:hAnsi="Georgia" w:cs="Georgia" w:eastAsia="Georgia"/>
          <w:b w:val="0"/>
          <w:bCs w:val="0"/>
          <w:rtl w:val="0"/>
        </w:rPr>
        <w:t xml:space="preserve">the sampling design, coding decision rules, and false-positive log offer a replicable protocol for similar corpus studies.</w:t>
      </w:r>
    </w:p>
    <w:p w:rsidR="00000000" w:rsidDel="00000000" w:rsidP="00000000" w:rsidRDefault="00000000" w:rsidRPr="00000000" w14:paraId="0000005C">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This study focuses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consists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rtl w:val="0"/>
        </w:rPr>
        <w:t xml:space="preserve">Reliability was assessed through intra-rater agreement only. A second coder was not available for inter-rater reliability testing, which limits the extent to which the coding scheme can be verified against an independent application of the same decision rules. This limitation particularly affects the functional findings reported in Part III. The uniform assignment of all 65 hedges to the Epistemic Caution function may reflect a single coder's interpretive frame rather than a property of the corpus itself. Future research with inter-rater coding on at least a subset of the corpus is needed to test the robustness of the functional findings before they can be treated as established.</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rtl w:val="0"/>
        </w:rPr>
        <w:t xml:space="preserve">The study also lacks a comparable expert-abstract corpus against which to compare the functional findings. The absence of interactional hedges (Politeness, Discourse Organization) in this corpus may reflect genre compression in abstracts rather than writer deficit. Expert abstracts in the same three disciplines, coded with the same scheme, would allow the study to distinguish genre effects from writer-competence effects. Future research with such a comparison corpus is needed before the functional narrowness reported here can be attributed to writer characteristics rather than to genre constraints.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Abstract, </w:t>
      </w:r>
      <w:r>
        <w:rPr>
          <w:rFonts w:ascii="Georgia" w:cs="Georgia" w:eastAsia="Georgia" w:hAnsi="Georgia"/>
          <w:b w:val="0"/>
          <w:bCs w:val="0"/>
          <w:i w:val="0"/>
          <w:iCs w:val="0"/>
          <w:sz w:val="22"/>
          <w:szCs w:val="22"/>
          <w:rtl w:val="0"/>
        </w:rPr>
        <w:t xml:space="preserve">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cs="Georgia" w:eastAsia="Georgia" w:hAnsi="Georgia"/>
          <w:b w:val="1"/>
          <w:bCs w:val="1"/>
          <w:i w:val="0"/>
          <w:iCs w:val="0"/>
          <w:sz w:val="22"/>
          <w:szCs w:val="22"/>
          <w:rtl w:val="0"/>
        </w:rPr>
        <w:t xml:space="preserve">Adverbial Hedges, </w:t>
      </w:r>
      <w:r>
        <w:rPr>
          <w:rFonts w:ascii="Georgia" w:cs="Georgia" w:eastAsia="Georgia" w:hAnsi="Georgia"/>
          <w:b w:val="0"/>
          <w:bCs w:val="0"/>
          <w:i w:val="0"/>
          <w:iCs w:val="0"/>
          <w:sz w:val="22"/>
          <w:szCs w:val="22"/>
          <w:rtl w:val="0"/>
        </w:rPr>
        <w:t xml:space="preserve">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cs="Georgia" w:eastAsia="Georgia" w:hAnsi="Georgia"/>
          <w:b w:val="1"/>
          <w:bCs w:val="1"/>
          <w:i w:val="0"/>
          <w:iCs w:val="0"/>
          <w:sz w:val="22"/>
          <w:szCs w:val="22"/>
          <w:rtl w:val="0"/>
        </w:rPr>
        <w:t xml:space="preserve">Applied Life Sciences, </w:t>
      </w:r>
      <w:r>
        <w:rPr>
          <w:rFonts w:ascii="Georgia" w:cs="Georgia" w:eastAsia="Georgia" w:hAnsi="Georgia"/>
          <w:b w:val="0"/>
          <w:bCs w:val="0"/>
          <w:i w:val="0"/>
          <w:iCs w:val="0"/>
          <w:sz w:val="22"/>
          <w:szCs w:val="22"/>
          <w:rtl w:val="0"/>
        </w:rPr>
        <w:t xml:space="preserve">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cs="Georgia" w:eastAsia="Georgia" w:hAnsi="Georgia"/>
          <w:b w:val="1"/>
          <w:bCs w:val="1"/>
          <w:i w:val="0"/>
          <w:iCs w:val="0"/>
          <w:sz w:val="22"/>
          <w:szCs w:val="22"/>
          <w:rtl w:val="0"/>
        </w:rPr>
        <w:t xml:space="preserve">Claim Responsibility, </w:t>
      </w:r>
      <w:r>
        <w:rPr>
          <w:rFonts w:ascii="Georgia" w:cs="Georgia" w:eastAsia="Georgia" w:hAnsi="Georgia"/>
          <w:b w:val="0"/>
          <w:bCs w:val="0"/>
          <w:i w:val="0"/>
          <w:iCs w:val="0"/>
          <w:sz w:val="22"/>
          <w:szCs w:val="22"/>
          <w:rtl w:val="0"/>
        </w:rPr>
        <w:t xml:space="preserve">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Chi-Square Test of Independence, </w:t>
      </w:r>
      <w:r>
        <w:rPr>
          <w:rFonts w:ascii="Georgia" w:cs="Georgia" w:eastAsia="Georgia" w:hAnsi="Georgia"/>
          <w:b w:val="0"/>
          <w:bCs w:val="0"/>
          <w:i w:val="0"/>
          <w:iCs w:val="0"/>
          <w:sz w:val="22"/>
          <w:szCs w:val="22"/>
          <w:rtl w:val="0"/>
        </w:rPr>
        <w:t xml:space="preserve">conceptually, a chi-square test of independence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r>
        <w:rPr>
          <w:rtl w:val="0"/>
        </w:rPr>
      </w:r>
    </w:p>
    <w:p w:rsidR="00000000" w:rsidDel="00000000" w:rsidP="00000000" w:rsidRDefault="00000000" w:rsidRPr="00000000" w14:paraId="0000006B">
      <w:pPr>
        <w:spacing w:before="0" w:after="0" w:line="480" w:lineRule="auto"/>
        <w:ind w:firstLine="720"/>
        <w:jc w:val="both"/>
        <w:rPr/>
      </w:pPr>
      <w:r>
        <w:rPr>
          <w:rFonts w:ascii="Georgia" w:cs="Georgia" w:eastAsia="Georgia" w:hAnsi="Georgia"/>
          <w:b w:val="1"/>
          <w:bCs w:val="1"/>
          <w:i w:val="0"/>
          <w:iCs w:val="0"/>
          <w:sz w:val="22"/>
          <w:szCs w:val="22"/>
          <w:rtl w:val="0"/>
        </w:rPr>
        <w:t xml:space="preserve">Clause-Level Hedges, </w:t>
      </w:r>
      <w:r>
        <w:rPr>
          <w:rFonts w:ascii="Georgia" w:cs="Georgia" w:eastAsia="Georgia" w:hAnsi="Georgia"/>
          <w:b w:val="0"/>
          <w:bCs w:val="0"/>
          <w:i w:val="0"/>
          <w:iCs w:val="0"/>
          <w:sz w:val="22"/>
          <w:szCs w:val="22"/>
          <w:rtl w:val="0"/>
        </w:rPr>
        <w:t xml:space="preserve">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Cohen’s Kappa (κ), </w:t>
      </w:r>
      <w:r>
        <w:rPr>
          <w:rFonts w:ascii="Georgia" w:cs="Georgia" w:eastAsia="Georgia" w:hAnsi="Georgia"/>
          <w:b w:val="0"/>
          <w:bCs w:val="0"/>
          <w:i w:val="0"/>
          <w:iCs w:val="0"/>
          <w:sz w:val="22"/>
          <w:szCs w:val="22"/>
          <w:rtl w:val="0"/>
        </w:rPr>
        <w:t xml:space="preserve">conceptually, Cohen’s kappa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r>
        <w:rPr>
          <w:rtl w:val="0"/>
        </w:rPr>
      </w:r>
    </w:p>
    <w:p w:rsidR="00000000" w:rsidDel="00000000" w:rsidP="00000000" w:rsidRDefault="00000000" w:rsidRPr="00000000" w14:paraId="0000006C">
      <w:pPr>
        <w:spacing w:before="0" w:after="0" w:line="480" w:lineRule="auto"/>
        <w:ind w:firstLine="720"/>
        <w:jc w:val="both"/>
        <w:rPr/>
      </w:pPr>
      <w:r>
        <w:rPr>
          <w:rFonts w:ascii="Georgia" w:cs="Georgia" w:eastAsia="Georgia" w:hAnsi="Georgia"/>
          <w:b w:val="1"/>
          <w:bCs w:val="1"/>
          <w:i w:val="0"/>
          <w:iCs w:val="0"/>
          <w:sz w:val="22"/>
          <w:szCs w:val="22"/>
          <w:rtl w:val="0"/>
        </w:rPr>
        <w:t xml:space="preserve">Corpus-Assisted Discourse Analysis, </w:t>
      </w:r>
      <w:r>
        <w:rPr>
          <w:rFonts w:ascii="Georgia" w:cs="Georgia" w:eastAsia="Georgia" w:hAnsi="Georgia"/>
          <w:b w:val="0"/>
          <w:bCs w:val="0"/>
          <w:i w:val="0"/>
          <w:iCs w:val="0"/>
          <w:sz w:val="22"/>
          <w:szCs w:val="22"/>
          <w:rtl w:val="0"/>
        </w:rPr>
        <w:t xml:space="preserve">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cs="Georgia" w:eastAsia="Georgia" w:hAnsi="Georgia"/>
          <w:b w:val="1"/>
          <w:bCs w:val="1"/>
          <w:i w:val="0"/>
          <w:iCs w:val="0"/>
          <w:sz w:val="22"/>
          <w:szCs w:val="22"/>
          <w:rtl w:val="0"/>
        </w:rPr>
        <w:t xml:space="preserve">Disciplinary Variation, </w:t>
      </w:r>
      <w:r>
        <w:rPr>
          <w:rFonts w:ascii="Georgia" w:cs="Georgia" w:eastAsia="Georgia" w:hAnsi="Georgia"/>
          <w:b w:val="0"/>
          <w:bCs w:val="0"/>
          <w:i w:val="0"/>
          <w:iCs w:val="0"/>
          <w:sz w:val="22"/>
          <w:szCs w:val="22"/>
          <w:rtl w:val="0"/>
        </w:rPr>
        <w:t xml:space="preserve">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cs="Georgia" w:eastAsia="Georgia" w:hAnsi="Georgia"/>
          <w:b w:val="1"/>
          <w:bCs w:val="1"/>
          <w:i w:val="0"/>
          <w:iCs w:val="0"/>
          <w:sz w:val="22"/>
          <w:szCs w:val="22"/>
          <w:rtl w:val="0"/>
        </w:rPr>
        <w:t xml:space="preserve">Epistemic Stance, </w:t>
      </w:r>
      <w:r>
        <w:rPr>
          <w:rFonts w:ascii="Georgia" w:cs="Georgia" w:eastAsia="Georgia" w:hAnsi="Georgia"/>
          <w:b w:val="0"/>
          <w:bCs w:val="0"/>
          <w:i w:val="0"/>
          <w:iCs w:val="0"/>
          <w:sz w:val="22"/>
          <w:szCs w:val="22"/>
          <w:rtl w:val="0"/>
        </w:rPr>
        <w:t xml:space="preserve">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Pr>
          <w:rtl w:val="0"/>
        </w:rPr>
      </w:r>
    </w:p>
    <w:p w:rsidR="00000000" w:rsidDel="00000000" w:rsidP="00000000" w:rsidRDefault="00000000" w:rsidRPr="00000000" w14:paraId="0000006F">
      <w:pPr>
        <w:spacing w:before="0" w:after="0" w:line="480" w:lineRule="auto"/>
        <w:ind w:firstLine="720"/>
        <w:jc w:val="both"/>
        <w:rPr/>
      </w:pPr>
      <w:r>
        <w:rPr>
          <w:rFonts w:ascii="Georgia" w:cs="Georgia" w:eastAsia="Georgia" w:hAnsi="Georgia"/>
          <w:b w:val="1"/>
          <w:bCs w:val="1"/>
          <w:i w:val="0"/>
          <w:iCs w:val="0"/>
          <w:sz w:val="22"/>
          <w:szCs w:val="22"/>
          <w:rtl w:val="0"/>
        </w:rPr>
        <w:t xml:space="preserve">Hedge Function, </w:t>
      </w:r>
      <w:r>
        <w:rPr>
          <w:rFonts w:ascii="Georgia" w:cs="Georgia" w:eastAsia="Georgia" w:hAnsi="Georgia"/>
          <w:b w:val="0"/>
          <w:bCs w:val="0"/>
          <w:i w:val="0"/>
          <w:iCs w:val="0"/>
          <w:sz w:val="22"/>
          <w:szCs w:val="22"/>
          <w:rtl w:val="0"/>
        </w:rPr>
        <w:t xml:space="preserve">conceptually, hedge function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cs="Georgia" w:eastAsia="Georgia" w:hAnsi="Georgia"/>
          <w:b w:val="1"/>
          <w:bCs w:val="1"/>
          <w:i w:val="0"/>
          <w:iCs w:val="0"/>
          <w:sz w:val="22"/>
          <w:szCs w:val="22"/>
          <w:rtl w:val="0"/>
        </w:rPr>
        <w:t xml:space="preserve">Hedging, </w:t>
      </w:r>
      <w:r>
        <w:rPr>
          <w:rFonts w:ascii="Georgia" w:cs="Georgia" w:eastAsia="Georgia" w:hAnsi="Georgia"/>
          <w:b w:val="0"/>
          <w:bCs w:val="0"/>
          <w:i w:val="0"/>
          <w:iCs w:val="0"/>
          <w:sz w:val="22"/>
          <w:szCs w:val="22"/>
          <w:rtl w:val="0"/>
        </w:rPr>
        <w:t xml:space="preserve">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Kruskal-Wallis Test, </w:t>
      </w:r>
      <w:r>
        <w:rPr>
          <w:rFonts w:ascii="Georgia" w:cs="Georgia" w:eastAsia="Georgia" w:hAnsi="Georgia"/>
          <w:b w:val="0"/>
          <w:bCs w:val="0"/>
          <w:i w:val="0"/>
          <w:iCs w:val="0"/>
          <w:sz w:val="22"/>
          <w:szCs w:val="22"/>
          <w:rtl w:val="0"/>
        </w:rPr>
        <w:t xml:space="preserve">conceptually, the Kruskal-Wallis test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7.39, p = .025.</w:t>
      </w:r>
      <w:r>
        <w:rPr>
          <w:rtl w:val="0"/>
        </w:rPr>
      </w:r>
    </w:p>
    <w:p w:rsidR="00000000" w:rsidDel="00000000" w:rsidP="00000000" w:rsidRDefault="00000000" w:rsidRPr="00000000" w14:paraId="00000071">
      <w:pPr>
        <w:spacing w:before="0" w:after="0" w:line="480" w:lineRule="auto"/>
        <w:ind w:firstLine="720"/>
        <w:jc w:val="both"/>
        <w:rPr/>
      </w:pPr>
      <w:r>
        <w:rPr>
          <w:rFonts w:ascii="Georgia" w:cs="Georgia" w:eastAsia="Georgia" w:hAnsi="Georgia"/>
          <w:b w:val="1"/>
          <w:bCs w:val="1"/>
          <w:i w:val="0"/>
          <w:iCs w:val="0"/>
          <w:sz w:val="22"/>
          <w:szCs w:val="22"/>
          <w:rtl w:val="0"/>
        </w:rPr>
        <w:t xml:space="preserve">Lexical Hedges, </w:t>
      </w:r>
      <w:r>
        <w:rPr>
          <w:rFonts w:ascii="Georgia" w:cs="Georgia" w:eastAsia="Georgia" w:hAnsi="Georgia"/>
          <w:b w:val="0"/>
          <w:bCs w:val="0"/>
          <w:i w:val="0"/>
          <w:iCs w:val="0"/>
          <w:sz w:val="22"/>
          <w:szCs w:val="22"/>
          <w:rtl w:val="0"/>
        </w:rPr>
        <w:t xml:space="preserve">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rsidR="00000000" w:rsidDel="00000000" w:rsidP="00000000" w:rsidRDefault="00000000" w:rsidRPr="00000000" w14:paraId="00000072">
      <w:pPr>
        <w:spacing w:before="0" w:after="0" w:line="480" w:lineRule="auto"/>
        <w:ind w:firstLine="720"/>
        <w:jc w:val="both"/>
        <w:rPr/>
      </w:pPr>
      <w:r>
        <w:rPr>
          <w:rFonts w:ascii="Georgia" w:cs="Georgia" w:eastAsia="Georgia" w:hAnsi="Georgia"/>
          <w:b w:val="1"/>
          <w:bCs w:val="1"/>
          <w:i w:val="0"/>
          <w:iCs w:val="0"/>
          <w:sz w:val="22"/>
          <w:szCs w:val="22"/>
          <w:rtl w:val="0"/>
        </w:rPr>
        <w:t xml:space="preserve">Modal Verbs, </w:t>
      </w:r>
      <w:r>
        <w:rPr>
          <w:rFonts w:ascii="Georgia" w:cs="Georgia" w:eastAsia="Georgia" w:hAnsi="Georgia"/>
          <w:b w:val="0"/>
          <w:bCs w:val="0"/>
          <w:i w:val="0"/>
          <w:iCs w:val="0"/>
          <w:sz w:val="22"/>
          <w:szCs w:val="22"/>
          <w:rtl w:val="0"/>
        </w:rPr>
        <w:t xml:space="preserve">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cs="Georgia" w:eastAsia="Georgia" w:hAnsi="Georgia"/>
          <w:b w:val="1"/>
          <w:bCs w:val="1"/>
          <w:i w:val="0"/>
          <w:iCs w:val="0"/>
          <w:sz w:val="22"/>
          <w:szCs w:val="22"/>
          <w:rtl w:val="0"/>
        </w:rPr>
        <w:t xml:space="preserve">Normalized Frequency, </w:t>
      </w:r>
      <w:r>
        <w:rPr>
          <w:rFonts w:ascii="Georgia" w:cs="Georgia" w:eastAsia="Georgia" w:hAnsi="Georgia"/>
          <w:b w:val="0"/>
          <w:bCs w:val="0"/>
          <w:i w:val="0"/>
          <w:iCs w:val="0"/>
          <w:sz w:val="22"/>
          <w:szCs w:val="22"/>
          <w:rtl w:val="0"/>
        </w:rPr>
        <w:t xml:space="preserve">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keepLines w:val="1"/>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The Philippine higher education context is relevant because English is the official medium of academic writing instruction at PSAU despite being a second language for most of the population. Hedging is rarely treated as a distinct rhetorical skill in many Philippine undergraduate writing courses, which tend to emphasize structure and grammatical correctness. Developing researchers writing thesis abstracts were therefore producing a genre that demanded hedging with limited explicit preparation for its epistemic requirements. These conditions made PSAU a representative site for examining developing researchers' disciplinary hedging in the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r>
        <w:rPr>
          <w:rtl w:val="0"/>
        </w:rPr>
      </w:r>
    </w:p>
    <w:p w:rsidR="00000000" w:rsidDel="00000000" w:rsidP="00000000" w:rsidRDefault="00000000" w:rsidRPr="00000000" w14:paraId="00000082">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i w:val="0"/>
          <w:iCs w:val="0"/>
          <w:sz w:val="22"/>
          <w:szCs w:val="22"/>
          <w:rtl w:val="0"/>
          <w:b/>
          <w:bCs/>
        </w:rPr>
        <w:t xml:space="preserve">a. Requesting Permission. </w:t>
      </w:r>
      <w:r>
        <w:rPr>
          <w:rFonts w:ascii="Georgia" w:hAnsi="Georgia" w:cs="Georgia" w:eastAsia="Georgia"/>
          <w:i w:val="0"/>
          <w:iCs w:val="0"/>
          <w:sz w:val="22"/>
          <w:szCs w:val="22"/>
          <w:rtl w:val="0"/>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i w:val="0"/>
          <w:iCs w:val="0"/>
          <w:sz w:val="22"/>
          <w:szCs w:val="22"/>
          <w:rtl w:val="0"/>
          <w:b/>
          <w:bCs/>
        </w:rPr>
        <w:t xml:space="preserve">b. Corpus Construction. </w:t>
      </w:r>
      <w:r>
        <w:rPr>
          <w:rFonts w:ascii="Georgia" w:hAnsi="Georgia" w:cs="Georgia" w:eastAsia="Georgia"/>
          <w:i w:val="0"/>
          <w:iCs w:val="0"/>
          <w:sz w:val="22"/>
          <w:szCs w:val="22"/>
          <w:rtl w:val="0"/>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i w:val="0"/>
          <w:iCs w:val="0"/>
          <w:sz w:val="22"/>
          <w:szCs w:val="22"/>
          <w:rtl w:val="0"/>
          <w:b/>
          <w:bCs/>
        </w:rPr>
        <w:t xml:space="preserve">c. Text Extraction. </w:t>
      </w:r>
      <w:r>
        <w:rPr>
          <w:rFonts w:ascii="Georgia" w:hAnsi="Georgia" w:cs="Georgia" w:eastAsia="Georgia"/>
          <w:i w:val="0"/>
          <w:iCs w:val="0"/>
          <w:sz w:val="22"/>
          <w:szCs w:val="22"/>
          <w:rtl w:val="0"/>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i w:val="0"/>
          <w:iCs w:val="0"/>
          <w:sz w:val="22"/>
          <w:szCs w:val="22"/>
          <w:rtl w:val="0"/>
          <w:b/>
          <w:bCs/>
        </w:rPr>
        <w:t xml:space="preserve">d. Pilot Testing and Reliability Checking. </w:t>
      </w:r>
      <w:r>
        <w:rPr>
          <w:rFonts w:ascii="Georgia" w:hAnsi="Georgia" w:cs="Georgia" w:eastAsia="Georgia"/>
          <w:i w:val="0"/>
          <w:iCs w:val="0"/>
          <w:sz w:val="22"/>
          <w:szCs w:val="22"/>
          <w:rtl w:val="0"/>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i w:val="0"/>
          <w:iCs w:val="0"/>
          <w:sz w:val="22"/>
          <w:szCs w:val="22"/>
          <w:rtl w:val="0"/>
          <w:b/>
          <w:bCs/>
        </w:rPr>
        <w:t xml:space="preserve">e. Data Analysis. </w:t>
      </w:r>
      <w:r>
        <w:rPr>
          <w:rFonts w:ascii="Georgia" w:hAnsi="Georgia" w:cs="Georgia" w:eastAsia="Georgia"/>
          <w:i w:val="0"/>
          <w:iCs w:val="0"/>
          <w:sz w:val="22"/>
          <w:szCs w:val="22"/>
          <w:rtl w:val="0"/>
          <w:b w:val="0"/>
          <w:b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r>
        <w:rPr>
          <w:rtl w:val="0"/>
        </w:rPr>
      </w:r>
    </w:p>
    <w:p w:rsidR="00000000" w:rsidDel="00000000" w:rsidP="00000000" w:rsidRDefault="00000000" w:rsidRPr="00000000" w14:paraId="0000008C">
      <w:pPr>
        <w:spacing w:before="0" w:after="0" w:line="480" w:lineRule="auto"/>
        <w:ind w:firstLine="720"/>
        <w:jc w:val="both"/>
        <w:rPr/>
      </w:pPr>
      <w:r>
        <w:rPr>
          <w:rFonts w:ascii="Georgia" w:cs="Georgia" w:eastAsia="Georgia" w:hAnsi="Georgia"/>
          <w:b w:val="1"/>
          <w:bCs w:val="1"/>
          <w:i w:val="0"/>
          <w:iCs w:val="0"/>
          <w:sz w:val="22"/>
          <w:szCs w:val="22"/>
          <w:rtl w:val="0"/>
        </w:rPr>
        <w:t xml:space="preserve">f. Timeline. </w:t>
      </w:r>
      <w:r>
        <w:rPr>
          <w:rFonts w:ascii="Georgia" w:cs="Georgia" w:eastAsia="Georgia" w:hAnsi="Georgia"/>
          <w:b w:val="0"/>
          <w:bCs w:val="0"/>
          <w:i w:val="0"/>
          <w:iCs w:val="0"/>
          <w:sz w:val="22"/>
          <w:szCs w:val="22"/>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results and conclusion frames that qualify a finding-claim are coded Lexical EC. The Working Test is applied as a secondary check: when removing the token clearly changes commitment to a proposition (e.g., "presence of potential mycobacterial infections" → "presence of mycobacterial infections"), the token is coded Lexical EC even in an aim or rationale sentence. This differs from pure topic-naming aims such as “explores the potential antifungal properties” (VM5) or “their potential pharmaceutical applications” (B17), where removing the token leaves a research-object name rather than an asserted existence claim; those remain FP-Gen. The same position-based treatment applies to “possibility + noun” in aim and methods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(8 hedges) uses a repeated frame twice with light variation. The writer reports that statistical significance was not observed, then hedges that the treatment could still offer potential benefits, a null-result rescue pattern examined further in Part IV. Acs2 is retained in all counts; sensitivity checks that exclude it are reported separately where the Agriculture–Biology ranking is discussed.</w:t>
      </w:r>
      <w:r>
        <w:rPr>
          <w:rtl w:val="0"/>
        </w:rPr>
      </w:r>
    </w:p>
    <w:p w:rsidR="00000000" w:rsidDel="00000000" w:rsidP="00000000" w:rsidRDefault="00000000" w:rsidRPr="00000000" w14:paraId="00000091">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uses a text corpus rather than human participants. The corpus consists of 60 undergraduate thesis abstracts from Agriculture, Veterinary Medicine, and Biology programs at PSAU. This study employs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means the sampling rate varies by population size, prioritizing equal sample sizes over proportional representation. For the Agriculture discipline, the sample is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comparable scale. For a manually coded functional analysis at a single institution, 60 texts allow sufficient depth of interpretation within the timeframe and resources of a BA thesis. The study treats findings as baseline descriptive data for institutional curriculum review.</w:t>
      </w:r>
      <w:r>
        <w:rPr>
          <w:rtl w:val="0"/>
        </w:rPr>
      </w:r>
    </w:p>
    <w:p>
      <w:pPr>
        <w:keepNext w:val="1"/>
        <w:keepLines w:val="1"/>
        <w:spacing w:before="720" w:after="0" w:line="480" w:lineRule="auto"/>
        <w:jc w:val="center"/>
      </w:pPr>
      <w:r>
        <w:rPr>
          <w:rFonts w:ascii="Georgia" w:hAnsi="Georgia"/>
          <w:b/>
          <w:sz w:val="24"/>
        </w:rPr>
        <w:t>Table 1</w:t>
      </w:r>
    </w:p>
    <w:p>
      <w:pPr>
        <w:keepNext w:val="1"/>
        <w:keepLines w:val="1"/>
        <w:spacing w:before="0" w:after="60" w:line="480" w:lineRule="auto"/>
        <w:jc w:val="both"/>
      </w:pPr>
      <w:r>
        <w:rPr>
          <w:rFonts w:ascii="Georgia" w:hAnsi="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val="1"/>
          <w:tblHeader w:val="0"/>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val="1"/>
          <w:tblHeader w:val="0"/>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val="1"/>
          <w:tblHeader w:val="0"/>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val="1"/>
          <w:tblHeader w:val="0"/>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cs="Georgia" w:eastAsia="Georgia" w:hAnsi="Georgia"/>
          <w:b w:val="0"/>
          <w:bCs w:val="0"/>
          <w:i w:val="0"/>
          <w:iCs w:val="0"/>
          <w:sz w:val="22"/>
          <w:szCs w:val="22"/>
          <w:rtl w:val="0"/>
        </w:rPr>
        <w:t>Inclusion Criteria. English-language undergraduate thesis abstracts; complete abstracts available in the PSAU library archives; clear disciplinary classification based on official degree program; hard-bound submission year (as recorded in the PSAU library catalog) between 2023 and 2025.</w:t>
      </w:r>
      <w:r>
        <w:rPr>
          <w:rtl w:val="0"/>
        </w:rPr>
      </w:r>
    </w:p>
    <w:p w:rsidR="00000000" w:rsidDel="00000000" w:rsidP="00000000" w:rsidRDefault="00000000" w:rsidRPr="00000000" w14:paraId="000000C0">
      <w:pPr>
        <w:spacing w:before="0" w:after="0" w:line="480" w:lineRule="auto"/>
        <w:ind w:firstLine="720"/>
        <w:jc w:val="both"/>
        <w:rPr/>
      </w:pPr>
      <w:r>
        <w:rPr>
          <w:rFonts w:ascii="Georgia" w:cs="Georgia" w:eastAsia="Georgia" w:hAnsi="Georgia"/>
          <w:b w:val="0"/>
          <w:bCs w:val="0"/>
          <w:i w:val="0"/>
          <w:iCs w:val="0"/>
          <w:sz w:val="22"/>
          <w:szCs w:val="22"/>
          <w:rtl w:val="0"/>
        </w:rPr>
        <w:t>Exclusion Criteria. 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r>
        <w:rPr>
          <w:rtl w:val="0"/>
        </w:rPr>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b w:val="0"/>
          <w:bCs w:val="1"/>
          <w:i w:val="0"/>
          <w:iCs w:val="0"/>
          <w:rtl w:val="0"/>
          <w:sz w:val="22"/>
          <w:szCs w:val="22"/>
        </w:rPr>
        <w:t>Ethical Considerations.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r>
        <w:rPr>
          <w:rFonts w:ascii="Georgia" w:cs="Georgia" w:eastAsia="Georgia" w:hAnsi="Georgia"/>
          <w:b w:val="0"/>
          <w:bCs w:val="0"/>
          <w:i w:val="0"/>
          <w:iCs w:val="0"/>
          <w:sz w:val="22"/>
          <w:szCs w:val="22"/>
          <w:rtl w:val="0"/>
        </w:rPr>
      </w:r>
      <w:r>
        <w:rPr>
          <w:rtl w:val="0"/>
        </w:rPr>
      </w:r>
    </w:p>
    <w:p w:rsidR="00000000" w:rsidDel="00000000" w:rsidP="00000000" w:rsidRDefault="00000000" w:rsidRPr="00000000" w14:paraId="000000C4">
      <w:pPr>
        <w:keepLines w:val="1"/>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cs="Georgia" w:eastAsia="Georgia" w:hAnsi="Georgia"/>
          <w:b w:val="0"/>
          <w:bCs w:val="0"/>
          <w:i w:val="0"/>
          <w:iCs w:val="0"/>
          <w:sz w:val="22"/>
          <w:szCs w:val="22"/>
          <w:rtl w:val="0"/>
        </w:rPr>
        <w:t xml:space="preserve">The coding identified 65 hedge tokens across the 60-abstract corpus. These tokens were classified into four types following Hyland’s (1998) taxonomy: modal verbs, lexical hedges, adverbial hedges, and clause-level hedges. Table 2 presents the distribution of hedge types across the full corpus.</w:t>
      </w:r>
      <w:r>
        <w:rPr>
          <w:rtl w:val="0"/>
        </w:rPr>
      </w:r>
    </w:p>
    <w:p>
      <w:pPr>
        <w:keepNext w:val="1"/>
        <w:keepLines w:val="1"/>
        <w:spacing w:before="720" w:after="0" w:line="480" w:lineRule="auto"/>
        <w:jc w:val="center"/>
      </w:pPr>
      <w:r>
        <w:rPr>
          <w:rFonts w:ascii="Georgia" w:hAnsi="Georgia"/>
          <w:b/>
          <w:sz w:val="24"/>
        </w:rPr>
        <w:t>Table 2</w:t>
      </w:r>
    </w:p>
    <w:p>
      <w:pPr>
        <w:keepNext w:val="1"/>
        <w:keepLines w:val="1"/>
        <w:spacing w:before="0" w:after="60" w:line="480" w:lineRule="auto"/>
        <w:jc w:val="both"/>
      </w:pPr>
      <w:r>
        <w:rPr>
          <w:rFonts w:ascii="Georgia" w:hAnsi="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val="1"/>
          <w:tblHeader w:val="0"/>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val="1"/>
          <w:tblHeader w:val="0"/>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val="1"/>
          <w:tblHeader w:val="0"/>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pageBreakBefore/>
        <w:keepNext/>
        <w:keepLines/>
      </w:pPr>
      <w:r>
        <w:rPr>
          <w:rFonts w:ascii="Georgia" w:hAnsi="Georgia" w:cs="Georgia" w:eastAsia="Georgia"/>
          <w:sz w:val="22"/>
          <w:szCs w:val="22"/>
          <w:b/>
        </w:rPr>
        <w:t xml:space="preserve">Table 3</w:t>
      </w:r>
    </w:p>
    <w:p>
      <w:pPr>
        <w:spacing w:before="0" w:after="0" w:line="480" w:lineRule="auto"/>
        <w:jc w:val="center"/>
        <w:keepNext/>
        <w:keepLines/>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Layer 1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b/>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b/>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b/>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b/>
                <w:sz w:val="22"/>
              </w:rPr>
              <w:t>100.0%</w:t>
            </w:r>
          </w:p>
        </w:tc>
      </w:tr>
    </w:tbl>
    <w:p>
      <w:pPr>
        <w:spacing w:before="120" w:after="0" w:line="480" w:lineRule="auto"/>
        <w:ind w:firstLine="720"/>
      </w:pPr>
      <w:r>
        <w:rPr>
          <w:rFonts w:ascii="Georgia" w:hAnsi="Georgia" w:cs="Georgia" w:eastAsia="Georgia"/>
          <w:sz w:val="22"/>
          <w:szCs w:val="22"/>
        </w:rPr>
        <w:t>Table 3 lists every retained hedge form in the corpus with its Layer 1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keepNext w:val="1"/>
        <w:keepLines w:val="1"/>
        <w:spacing w:before="720" w:after="0" w:line="480" w:lineRule="auto"/>
        <w:jc w:val="center"/>
      </w:pPr>
      <w:r>
        <w:rPr>
          <w:rFonts w:ascii="Georgia" w:hAnsi="Georgia"/>
          <w:b/>
          <w:sz w:val="24"/>
        </w:rPr>
        <w:t>Table 4</w:t>
      </w:r>
    </w:p>
    <w:p>
      <w:pPr>
        <w:keepNext w:val="1"/>
        <w:keepLines w:val="1"/>
        <w:spacing w:before="0" w:after="60" w:line="480" w:lineRule="auto"/>
        <w:jc w:val="center"/>
      </w:pPr>
      <w:r>
        <w:rPr>
          <w:rFonts w:ascii="Georgia" w:hAnsi="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val="1"/>
          <w:tblHeader w:val="0"/>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val="1"/>
          <w:tblHeader w:val="0"/>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val="1"/>
          <w:tblHeader w:val="0"/>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58 false positive tokens, hedge-like words that were rejected after applying the codebook’s Working Test.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the Working Test as a secondary check. The rule remains the most methodologically interesting feature of the coding scheme: surface-level keyword matching would have inflated the hedge count by treating topic-naming instances as epistemic hedges.</w:t>
      </w:r>
      <w:r>
        <w:rPr>
          <w:rtl w:val="0"/>
        </w:rPr>
      </w:r>
    </w:p>
    <w:p w:rsidR="00000000" w:rsidDel="00000000" w:rsidP="00000000" w:rsidRDefault="00000000" w:rsidRPr="00000000" w14:paraId="0000010D">
      <w:pPr>
        <w:spacing w:before="0" w:after="0" w:line="480" w:lineRule="auto"/>
        <w:ind w:firstLine="720"/>
        <w:jc w:val="both"/>
        <w:rPr/>
      </w:pPr>
      <w:r>
        <w:rPr>
          <w:rFonts w:ascii="Georgia" w:cs="Georgia" w:eastAsia="Georgia" w:hAnsi="Georgia"/>
          <w:b w:val="0"/>
          <w:bCs w:val="0"/>
          <w:i w:val="0"/>
          <w:iCs w:val="0"/>
          <w:sz w:val="22"/>
          <w:szCs w:val="22"/>
          <w:rtl w:val="0"/>
        </w:rPr>
        <w:t>Additionally, 32 unhedged assertion sites were identified in the 25 zero-hedge abstracts. Of these, 20 were classified as result claims [R], 8 as generalizations [G], and 4 as causal claims [C]. (Five further unhedged sites appear in abstracts that also contain coded hedges (B11, B12, VM9) and are excluded from this zero-hedge count; Table 4’s Unhedged sites column reports the corpus-wide total of 37.) These sites represent clauses where a hedge could have been inserted without changing the underlying facts, but no hedge was used. The presence of these unhedged sites in zero-hedge abstracts records an absence of overt hedging; it does not by itself establish that the writer intended absolute commitment, especially where the underlying finding is binary or measured. Expert research articles rarely contain zero hedges (Hyland, 1998). Whether the 41.7% zero-hedge rate in this corpus is high relative to expert abstracts specifically cannot be established here, because no matched expert-abstract baseline is available.</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sites, and normalized frequency (hedges per 100 words) for each discipline.</w:t>
      </w:r>
      <w:r>
        <w:rPr>
          <w:rtl w:val="0"/>
        </w:rPr>
      </w:r>
    </w:p>
    <w:p>
      <w:pPr>
        <w:keepNext w:val="1"/>
        <w:keepLines w:val="1"/>
        <w:spacing w:before="720" w:after="0" w:line="480" w:lineRule="auto"/>
        <w:jc w:val="center"/>
      </w:pPr>
      <w:r>
        <w:rPr>
          <w:rFonts w:ascii="Georgia" w:hAnsi="Georgia"/>
          <w:b/>
          <w:sz w:val="24"/>
        </w:rPr>
        <w:t>Table 5</w:t>
      </w:r>
    </w:p>
    <w:p>
      <w:pPr>
        <w:keepNext w:val="1"/>
        <w:keepLines w:val="1"/>
        <w:spacing w:before="0" w:after="60" w:line="480" w:lineRule="auto"/>
        <w:jc w:val="center"/>
      </w:pPr>
      <w:r>
        <w:rPr>
          <w:rFonts w:ascii="Georgia" w:hAnsi="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85"/>
        <w:gridCol w:w="900"/>
        <w:gridCol w:w="945"/>
        <w:gridCol w:w="690"/>
        <w:gridCol w:w="1125"/>
        <w:gridCol w:w="1095"/>
        <w:gridCol w:w="1185"/>
        <w:tblGridChange w:id="0">
          <w:tblGrid>
            <w:gridCol w:w="1230"/>
            <w:gridCol w:w="1185"/>
            <w:gridCol w:w="900"/>
            <w:gridCol w:w="945"/>
            <w:gridCol w:w="690"/>
            <w:gridCol w:w="1125"/>
            <w:gridCol w:w="1095"/>
            <w:gridCol w:w="1185"/>
          </w:tblGrid>
        </w:tblGridChange>
      </w:tblGrid>
      <w:tr>
        <w:trPr>
          <w:cantSplit w:val="1"/>
          <w:tblHeader w:val="1"/>
        </w:trPr>
        <w:tc>
          <w:tcPr>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9">
            <w:pPr>
              <w:spacing w:before="0" w:after="0" w:line="240" w:lineRule="auto"/>
              <w:rPr/>
            </w:pPr>
            <w:r>
              <w:rPr>
                <w:rFonts w:ascii="Georgia" w:cs="Georgia" w:eastAsia="Georgia" w:hAnsi="Georgia"/>
                <w:b w:val="1"/>
                <w:bCs w:val="1"/>
                <w:i w:val="0"/>
                <w:iCs w:val="0"/>
                <w:sz w:val="18"/>
                <w:szCs w:val="18"/>
                <w:rtl w:val="0"/>
              </w:rPr>
              <w:t>Unhedged sites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val="1"/>
          <w:tblHeader w:val="0"/>
        </w:trPr>
        <w:tc>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val="1"/>
          <w:tblHeader w:val="0"/>
        </w:trPr>
        <w:tc>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val="1"/>
          <w:tblHeader w:val="0"/>
        </w:trPr>
        <w:tc>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15</w:t>
            </w:r>
            <w:r>
              <w:rPr>
                <w:rtl w:val="0"/>
                <w:sz w:val="18"/>
                <w:szCs w:val="18"/>
                <w:rFonts w:ascii="Georgia" w:hAnsi="Georgia"/>
              </w:rPr>
            </w:r>
          </w:p>
        </w:tc>
        <w:tc>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val="1"/>
          <w:tblHeader w:val="0"/>
        </w:trPr>
        <w:tc>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37</w:t>
            </w:r>
            <w:r>
              <w:rPr>
                <w:rtl w:val="0"/>
                <w:sz w:val="18"/>
                <w:szCs w:val="18"/>
                <w:rFonts w:ascii="Georgia" w:hAnsi="Georgia"/>
              </w:rPr>
            </w:r>
          </w:p>
        </w:tc>
        <w:tc>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7.39, p = .025. Abstracts within a program may share advisers, so observations are not fully independent, and within-discipline spread remains larger than the gaps between means. With a small, zero-inflated sample and no multiple-comparison correction, the result is treated as exploratory. A sensitivity check that removes all 19 instances of "potential" leaves 46 hedges; the Kruskal-Wallis contrast remains in the same direction, and Veterinary Medicine’s zero-hedge share rises further. The directional pattern is therefore not an artifact of the "potential" tokens alone.</w:t>
      </w:r>
      <w:r>
        <w:rPr>
          <w:rtl w:val="0"/>
        </w:rPr>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(Part IV; the coding spreadsheet)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The false positive distribution also varies by discipline. Biology produced 32 false positives, far more than Agriculture (14) or Veterinary Medicine (12).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All 65 retained hedges were coded Epistemic Caution (EC). No Politeness/Deference (P) or Discourse Organization (DO) hedges were identified. Discourse connectors such as Hence, Thus, Therefore, and In conclusion appear in the corpus and are tagged (DO) in Appendix C but are not counted as hedges. Table 6 presents the function distribution.</w:t>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sz w:val="22"/>
          <w:szCs w:val="22"/>
          <w:rtl w:val="0"/>
        </w:rPr>
      </w:r>
      <w:r>
        <w:rPr>
          <w:rtl w:val="0"/>
        </w:rPr>
      </w:r>
    </w:p>
    <w:p>
      <w:pPr>
        <w:keepNext w:val="1"/>
        <w:keepLines w:val="1"/>
        <w:spacing w:before="720" w:after="0" w:line="480" w:lineRule="auto"/>
        <w:jc w:val="center"/>
      </w:pPr>
      <w:r>
        <w:rPr>
          <w:rFonts w:ascii="Georgia" w:hAnsi="Georgia"/>
          <w:b/>
          <w:sz w:val="24"/>
        </w:rPr>
        <w:t>Table 6</w:t>
      </w:r>
    </w:p>
    <w:p>
      <w:pPr>
        <w:keepNext w:val="1"/>
        <w:keepLines w:val="1"/>
        <w:spacing w:before="0" w:after="60" w:line="480" w:lineRule="auto"/>
        <w:jc w:val="both"/>
      </w:pPr>
      <w:r>
        <w:rPr>
          <w:rFonts w:ascii="Georgia" w:hAnsi="Georgia"/>
          <w:sz w:val="24"/>
        </w:rPr>
        <w:t>Hedge Function Distribution (Among Coded Hedges)</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cantSplit w:val="1"/>
          <w:tblHeader w:val="0"/>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The uniform assignment may reflect a restricted repertoire, the compressed abstract genre, the coding scheme, or single-rater interpretation; that limitation is noted in Scope. The narrow functional range is consistent with the restricted set of epistemic devices reported for developing L2 writers (Hyland &amp; Milton, 1997), though in this corpus genre compression and supervisory practice remain the more proximate accounts.</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Most hedges fall in implication and conclusion sentences rather than in direct results reporting. Forms such as potential and suggest/suggests/suggesting typically frame applications or interpretations, while results sentences more often use factive verbs (showed, revealed, demonstrated) without qualification. A formal move-structured count was not performed. This remains a qualitative pattern.</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That uniformity is partly built into the Working Test, which screens for epistemic effect; the data therefore cannot strongly support a claim about how writers “view” hedging, only that the retained tokens functioned epistemically under this scheme.</w:t>
      </w:r>
      <w:r>
        <w:rPr>
          <w:rtl w:val="0"/>
        </w:rPr>
      </w:r>
    </w:p>
    <w:p w:rsidR="00000000" w:rsidDel="00000000" w:rsidP="00000000" w:rsidRDefault="00000000" w:rsidRPr="00000000" w14:paraId="0000015F">
      <w:pPr>
        <w:keepNext w:val="1"/>
        <w:keepLines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sz w:val="22"/>
          <w:szCs w:val="22"/>
        </w:rPr>
        <w:t>Parts I through III map frequency, function, and cross-disciplinary density. The contrasts below are exploratory descriptions of what was observed here, not stable discipline-level characteristics. As reported in Part II, the Kruskal-Wallis test on rates reached p = .025 and the chi-square on zero-hedge rates was p = .079. Generalization beyond this corpus is not warranted. The patterns are read through Salager-Meyer’s (1994) claim-responsibility framework and Hyland’s (2005) stance model.</w:t>
      </w:r>
    </w:p>
    <w:p>
      <w:pPr>
        <w:keepNext w:val="1"/>
        <w:keepLines w:val="1"/>
        <w:spacing w:before="720" w:after="0" w:line="480" w:lineRule="auto"/>
        <w:jc w:val="center"/>
      </w:pPr>
      <w:r>
        <w:rPr>
          <w:rFonts w:ascii="Georgia" w:hAnsi="Georgia" w:cs="Georgia" w:eastAsia="Georgia"/>
          <w:b w:val="1"/>
          <w:bCs w:val="1"/>
          <w:sz w:val="24"/>
          <w:szCs w:val="24"/>
        </w:rPr>
        <w:t>Table 7</w:t>
      </w:r>
    </w:p>
    <w:p>
      <w:pPr>
        <w:spacing w:before="0" w:after="60" w:line="480" w:lineRule="auto"/>
        <w:jc w:val="center"/>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val="1"/>
          <w:tblHeader w:val="1"/>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val="1"/>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val="1"/>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val="1"/>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val="1"/>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val="1"/>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val="1"/>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was coded for all 60 abstracts under five categories (Binary, Continuous, Mixed, Null/NS, Other). Coding used the abstract’s own results language: presence/absence or diagnostic positive/negative counts as Binary; explicit non-significance as Null/NS; means, yields, and rates as Continuous; combinations as Mixed. Table 7 shows the distribution.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is still worth noting on its own terms: the writer reports that statistical significance was not observed, then hedges that the treatment could still offer potential benefits, a rescue framing that matches the introduction’s concern with overclaiming. It cannot support a Null/NS-level claim.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b w:val="0"/>
          <w:bCs w:val="0"/>
          <w:i w:val="0"/>
          <w:iCs w:val="0"/>
          <w:rtl w:val="0"/>
          <w:sz w:val="22"/>
          <w:szCs w:val="22"/>
        </w:rPr>
        <w:t xml:space="preserve">As noted in Part III, an informal reading of the tokens suggests hedges cluster in implication and conclusion sentences more than in direct results reporting. That pattern is strongest in Agriculture and weakest in Veterinary Medicine. A formal move analysis would be needed to quantify it.</w:t>
      </w:r>
      <w:r>
        <w:rPr>
          <w:rFonts w:ascii="Georgia" w:hAnsi="Georgia" w:cs="Georgia" w:eastAsia="Georgia"/>
          <w:rtl w:val="0"/>
          <w:sz w:val="22"/>
          <w:szCs w:val="22"/>
        </w:rPr>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As noted in Scope, the study cannot separate genuine field norms from adviser-enforced conventions; the findings describe the ratified abstracts, not individual cognition.</w:t>
      </w:r>
      <w:r>
        <w:rPr>
          <w:rFonts w:ascii="Georgia" w:hAnsi="Georgia" w:cs="Georgia" w:eastAsia="Georgia"/>
          <w:rtl w:val="0"/>
          <w:sz w:val="22"/>
          <w:szCs w:val="22"/>
        </w:rPr>
      </w:r>
    </w:p>
    <w:p w:rsidR="00000000" w:rsidDel="00000000" w:rsidP="00000000" w:rsidRDefault="00000000" w:rsidRPr="00000000" w14:paraId="00000167">
      <w:pPr>
        <w:spacing w:before="0" w:after="0" w:line="480" w:lineRule="auto"/>
        <w:ind w:firstLine="720"/>
        <w:jc w:val="both"/>
        <w:rPr/>
      </w:pPr>
      <w:r>
        <w:rPr>
          <w:rtl w:val="0"/>
        </w:rPr>
        <w:t/>
      </w:r>
    </w:p>
    <w:p w:rsidR="00000000" w:rsidDel="00000000" w:rsidP="00000000" w:rsidRDefault="00000000" w:rsidRPr="00000000" w14:paraId="0000016E">
      <w:pPr>
        <w:keepLines w:val="1"/>
        <w:pageBreakBefore w:val="1"/>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Lexical hedges outnumber modal verbs in this corpus, largely because of the high frequency of potential in recurring frames. Density is highest in Agriculture and Biology (near-tied), then Veterinary Medicine, with 25 of 60 abstracts (41.7%) containing no coded hedges. Under the Working Test, every retained hedge was coded as Epistemic Caution; the uniform function assignment is therefore partly a consequence of the identification screen. Full counts and tests are reported in Parts I–III.</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Limited evidence of disciplinary differentiation, mainly Veterinary Medicine’s lower density. Agriculture’s edge over Biology is modest and outlier-sensitive. Acs2 illustrates rescue-hedging after a non-significant result, which links to the introduction’s concern with overclaiming, but it is a single abstract; the Null/NS mean in Agriculture falls to the same level as non-Null Agriculture once Acs2 is removed. The data cannot separate field norms, adviser practice, and outcome type. Agriculture has no Binary outcomes here, so discipline and study design remain entangled. Statistical evidence is exploratory (Kruskal-Wallis on rates p = .025) and the sample is small. The study provides a local baseline: VM abstracts in this corpus hedge less; the causes remain unknown.</w:t>
      </w:r>
      <w:r>
        <w:rPr>
          <w:rtl w:val="0"/>
        </w:rPr>
      </w:r>
    </w:p>
    <w:p w:rsidR="00000000" w:rsidDel="00000000" w:rsidP="00000000" w:rsidRDefault="00000000" w:rsidRPr="00000000" w14:paraId="00000178">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Advisers can also separate discourse connectors (Hence, Thus, In conclusion) from epistemic hedges so students do not treat move-organizing language as hedging.</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Future research should examine whether the lower Veterinary Medicine density and patterns such as rescue-hedging after non-significant results persist across multiple institutions and groups. A multi-institutional comparison involving other Philippine state universities would help determine whether these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If VM advisers explicitly discourage hedging in abstracts, or rarely require it, that would align with a supervisory-practice account of the low VM density. Parallel work could also compare how often each discipline writes up non-significant findings and whether null write-ups invite different hedging choices, controlling for the entanglement of outcome type and discipline in this sample.</w:t>
      </w:r>
      <w:r>
        <w:rPr>
          <w:rtl w:val="0"/>
        </w:rPr>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could examine assertive reporting forms alongside hedges, with a comparison group that includes both zero-hedge and hedged abstracts, to test whether those forms cluster with the absence of hedges or appear across the board.</w:t>
      </w:r>
      <w:r>
        <w:rPr>
          <w:rtl w:val="0"/>
        </w:rPr>
      </w:r>
    </w:p>
    <w:p w:rsidR="00000000" w:rsidDel="00000000" w:rsidP="00000000" w:rsidRDefault="00000000" w:rsidRPr="00000000" w14:paraId="00000182">
      <w:pPr>
        <w:keepLines w:val="1"/>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both"/>
        <w:rPr/>
      </w:pPr>
      <w:r>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w:t>
      </w:r>
      <w:r>
        <w:rPr>
          <w:rFonts w:ascii="Georgia" w:cs="Georgia" w:eastAsia="Georgia" w:hAnsi="Georgia"/>
          <w:b w:val="0"/>
          <w:bCs w:val="0"/>
          <w:i w:val="1"/>
          <w:iCs w:val="1"/>
          <w:sz w:val="22"/>
          <w:szCs w:val="22"/>
          <w:rtl w:val="0"/>
        </w:rPr>
        <w:t xml:space="preserve">Procedia – Social and Behavioral Sciences, 136</w:t>
      </w:r>
      <w:r>
        <w:rPr>
          <w:rFonts w:ascii="Georgia" w:cs="Georgia" w:eastAsia="Georgia" w:hAnsi="Georgia"/>
          <w:b w:val="0"/>
          <w:bCs w:val="0"/>
          <w:i w:val="0"/>
          <w:iCs w:val="0"/>
          <w:sz w:val="22"/>
          <w:szCs w:val="22"/>
          <w:rtl w:val="0"/>
        </w:rPr>
        <w:t xml:space="preserve">, 70–74. https://doi.org/10.1016/j.sbspro.2014.05.290</w:t>
      </w:r>
      <w:r>
        <w:rPr>
          <w:rtl w:val="0"/>
        </w:rPr>
      </w:r>
    </w:p>
    <w:p w:rsidR="00000000" w:rsidDel="00000000" w:rsidP="00000000" w:rsidRDefault="00000000" w:rsidRPr="00000000" w14:paraId="00000187">
      <w:pPr>
        <w:spacing w:before="0" w:after="0" w:line="480" w:lineRule="auto"/>
        <w:ind w:left="720" w:hanging="720"/>
        <w:jc w:val="both"/>
        <w:rPr/>
      </w:pPr>
      <w:r>
        <w:rPr>
          <w:rFonts w:ascii="Georgia" w:cs="Georgia" w:eastAsia="Georgia" w:hAnsi="Georgia"/>
          <w:b w:val="0"/>
          <w:bCs w:val="0"/>
          <w:i w:val="0"/>
          <w:iCs w:val="0"/>
          <w:sz w:val="22"/>
          <w:szCs w:val="22"/>
          <w:rtl w:val="0"/>
        </w:rPr>
        <w:t xml:space="preserve">Biber, D., Conrad, S., &amp; Reppen, R. (1998). </w:t>
      </w:r>
      <w:r>
        <w:rPr>
          <w:rFonts w:ascii="Georgia" w:cs="Georgia" w:eastAsia="Georgia" w:hAnsi="Georgia"/>
          <w:b w:val="0"/>
          <w:bCs w:val="0"/>
          <w:i w:val="1"/>
          <w:iCs w:val="1"/>
          <w:sz w:val="22"/>
          <w:szCs w:val="22"/>
          <w:rtl w:val="0"/>
        </w:rPr>
        <w:t xml:space="preserve">Corpus linguistics: Investigating language structure and use</w:t>
      </w:r>
      <w:r>
        <w:rPr>
          <w:rFonts w:ascii="Georgia" w:cs="Georgia" w:eastAsia="Georgia" w:hAnsi="Georgia"/>
          <w:b w:val="0"/>
          <w:bCs w:val="0"/>
          <w:i w:val="0"/>
          <w:iCs w:val="0"/>
          <w:sz w:val="22"/>
          <w:szCs w:val="22"/>
          <w:rtl w:val="0"/>
        </w:rPr>
        <w:t xml:space="preserve">. Cambridge University Press.</w:t>
      </w:r>
      <w:r>
        <w:rPr>
          <w:rtl w:val="0"/>
        </w:rPr>
      </w:r>
    </w:p>
    <w:p w:rsidR="00000000" w:rsidDel="00000000" w:rsidP="00000000" w:rsidRDefault="00000000" w:rsidRPr="00000000" w14:paraId="00000188">
      <w:pPr>
        <w:spacing w:before="0" w:after="0" w:line="480" w:lineRule="auto"/>
        <w:ind w:left="720" w:hanging="720"/>
        <w:jc w:val="both"/>
        <w:rPr/>
      </w:pPr>
      <w:r>
        <w:rPr>
          <w:rFonts w:ascii="Georgia" w:cs="Georgia" w:eastAsia="Georgia" w:hAnsi="Georgia"/>
          <w:b w:val="0"/>
          <w:bCs w:val="0"/>
          <w:i w:val="0"/>
          <w:iCs w:val="0"/>
          <w:sz w:val="22"/>
          <w:szCs w:val="22"/>
          <w:rtl w:val="0"/>
        </w:rPr>
        <w:t xml:space="preserve">Demir, C. (2018). Hedging and academic writing: An analysis of lexical hedges. </w:t>
      </w:r>
      <w:r>
        <w:rPr>
          <w:rFonts w:ascii="Georgia" w:cs="Georgia" w:eastAsia="Georgia" w:hAnsi="Georgia"/>
          <w:b w:val="0"/>
          <w:bCs w:val="0"/>
          <w:i w:val="1"/>
          <w:iCs w:val="1"/>
          <w:sz w:val="22"/>
          <w:szCs w:val="22"/>
          <w:rtl w:val="0"/>
        </w:rPr>
        <w:t xml:space="preserve">Journal of Language and Linguistic Studies, 14</w:t>
      </w:r>
      <w:r>
        <w:rPr>
          <w:rFonts w:ascii="Georgia" w:cs="Georgia" w:eastAsia="Georgia" w:hAnsi="Georgia"/>
          <w:b w:val="0"/>
          <w:bCs w:val="0"/>
          <w:i w:val="0"/>
          <w:iCs w:val="0"/>
          <w:sz w:val="22"/>
          <w:szCs w:val="22"/>
          <w:rtl w:val="0"/>
        </w:rPr>
        <w:t xml:space="preserve">(4), 74–92. https://files.eric.ed.gov/fulltext/EJ1201945.pdf</w:t>
      </w:r>
      <w:r>
        <w:rPr>
          <w:rtl w:val="0"/>
        </w:rPr>
      </w:r>
    </w:p>
    <w:p w:rsidR="00000000" w:rsidDel="00000000" w:rsidP="00000000" w:rsidRDefault="00000000" w:rsidRPr="00000000" w14:paraId="00000189">
      <w:pPr>
        <w:spacing w:before="0" w:after="0" w:line="480" w:lineRule="auto"/>
        <w:ind w:left="720" w:hanging="720"/>
        <w:jc w:val="both"/>
        <w:rPr/>
      </w:pPr>
      <w:r>
        <w:rPr>
          <w:rFonts w:ascii="Georgia" w:cs="Georgia" w:eastAsia="Georgia" w:hAnsi="Georgia"/>
          <w:b w:val="0"/>
          <w:bCs w:val="0"/>
          <w:i w:val="0"/>
          <w:iCs w:val="0"/>
          <w:sz w:val="22"/>
          <w:szCs w:val="22"/>
          <w:rtl w:val="0"/>
        </w:rPr>
        <w:t xml:space="preserve">Escalona, S. L. (2025). Hedges and boosters in college essays: A study of linguistic modulation in student writing. </w:t>
      </w:r>
      <w:r>
        <w:rPr>
          <w:rFonts w:ascii="Georgia" w:cs="Georgia" w:eastAsia="Georgia" w:hAnsi="Georgia"/>
          <w:b w:val="0"/>
          <w:bCs w:val="0"/>
          <w:i w:val="1"/>
          <w:iCs w:val="1"/>
          <w:sz w:val="22"/>
          <w:szCs w:val="22"/>
          <w:rtl w:val="0"/>
        </w:rPr>
        <w:t xml:space="preserve">International Journal of English Literature and Social Sciences, 10</w:t>
      </w:r>
      <w:r>
        <w:rPr>
          <w:rFonts w:ascii="Georgia" w:cs="Georgia" w:eastAsia="Georgia" w:hAnsi="Georgia"/>
          <w:b w:val="0"/>
          <w:bCs w:val="0"/>
          <w:i w:val="0"/>
          <w:iCs w:val="0"/>
          <w:sz w:val="22"/>
          <w:szCs w:val="22"/>
          <w:rtl w:val="0"/>
        </w:rPr>
        <w:t xml:space="preserve">(1), 7–17. https://doi.org/10.22161/ijels.101.2</w:t>
      </w:r>
      <w:r>
        <w:rPr>
          <w:rtl w:val="0"/>
        </w:rPr>
      </w:r>
    </w:p>
    <w:p w:rsidR="00000000" w:rsidDel="00000000" w:rsidP="00000000" w:rsidRDefault="00000000" w:rsidRPr="00000000" w14:paraId="0000018A">
      <w:pPr>
        <w:spacing w:before="0" w:after="0" w:line="480" w:lineRule="auto"/>
        <w:ind w:left="720" w:hanging="720"/>
        <w:jc w:val="both"/>
        <w:rPr/>
      </w:pPr>
      <w:r>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Pr>
          <w:rFonts w:ascii="Georgia" w:cs="Georgia" w:eastAsia="Georgia" w:hAnsi="Georgia"/>
          <w:b w:val="0"/>
          <w:bCs w:val="0"/>
          <w:i w:val="1"/>
          <w:iCs w:val="1"/>
          <w:sz w:val="22"/>
          <w:szCs w:val="22"/>
          <w:rtl w:val="0"/>
        </w:rPr>
        <w:t xml:space="preserve">Medical Journal of the Islamic Republic of Iran, 39</w:t>
      </w:r>
      <w:r>
        <w:rPr>
          <w:rFonts w:ascii="Georgia" w:cs="Georgia" w:eastAsia="Georgia" w:hAnsi="Georgia"/>
          <w:b w:val="0"/>
          <w:bCs w:val="0"/>
          <w:i w:val="0"/>
          <w:iCs w:val="0"/>
          <w:sz w:val="22"/>
          <w:szCs w:val="22"/>
          <w:rtl w:val="0"/>
        </w:rPr>
        <w:t xml:space="preserve">, 125. https://pmc.ncbi.nlm.nih.gov/articles/PMC12584097/</w:t>
      </w:r>
      <w:r>
        <w:rPr>
          <w:rtl w:val="0"/>
        </w:rPr>
      </w:r>
    </w:p>
    <w:p w:rsidR="00000000" w:rsidDel="00000000" w:rsidP="00000000" w:rsidRDefault="00000000" w:rsidRPr="00000000" w14:paraId="0000018B">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(1998). </w:t>
      </w:r>
      <w:r>
        <w:rPr>
          <w:rFonts w:ascii="Georgia" w:cs="Georgia" w:eastAsia="Georgia" w:hAnsi="Georgia"/>
          <w:b w:val="0"/>
          <w:bCs w:val="0"/>
          <w:i w:val="1"/>
          <w:iCs w:val="1"/>
          <w:sz w:val="22"/>
          <w:szCs w:val="22"/>
          <w:rtl w:val="0"/>
        </w:rPr>
        <w:t xml:space="preserve">Hedging in scientific research articles</w:t>
      </w:r>
      <w:r>
        <w:rPr>
          <w:rFonts w:ascii="Georgia" w:cs="Georgia" w:eastAsia="Georgia" w:hAnsi="Georgia"/>
          <w:b w:val="0"/>
          <w:bCs w:val="0"/>
          <w:i w:val="0"/>
          <w:iCs w:val="0"/>
          <w:sz w:val="22"/>
          <w:szCs w:val="22"/>
          <w:rtl w:val="0"/>
        </w:rPr>
        <w:t xml:space="preserve">. John Benjamins Publishing.</w:t>
      </w:r>
      <w:r>
        <w:rPr>
          <w:rtl w:val="0"/>
        </w:rPr>
      </w:r>
    </w:p>
    <w:p w:rsidR="00000000" w:rsidDel="00000000" w:rsidP="00000000" w:rsidRDefault="00000000" w:rsidRPr="00000000" w14:paraId="0000018C">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(2005). Stance and engagement: A model of interaction in academic discourse. </w:t>
      </w:r>
      <w:r>
        <w:rPr>
          <w:rFonts w:ascii="Georgia" w:cs="Georgia" w:eastAsia="Georgia" w:hAnsi="Georgia"/>
          <w:b w:val="0"/>
          <w:bCs w:val="0"/>
          <w:i w:val="1"/>
          <w:iCs w:val="1"/>
          <w:sz w:val="22"/>
          <w:szCs w:val="22"/>
          <w:rtl w:val="0"/>
        </w:rPr>
        <w:t xml:space="preserve">Discourse Studies, 7</w:t>
      </w:r>
      <w:r>
        <w:rPr>
          <w:rFonts w:ascii="Georgia" w:cs="Georgia" w:eastAsia="Georgia" w:hAnsi="Georgia"/>
          <w:b w:val="0"/>
          <w:bCs w:val="0"/>
          <w:i w:val="0"/>
          <w:iCs w:val="0"/>
          <w:sz w:val="22"/>
          <w:szCs w:val="22"/>
          <w:rtl w:val="0"/>
        </w:rPr>
        <w:t xml:space="preserve">(2), 173–192. https://doi.org/10.1177/1461445605050365</w:t>
      </w:r>
      <w:r>
        <w:rPr>
          <w:rtl w:val="0"/>
        </w:rPr>
      </w:r>
    </w:p>
    <w:p w:rsidR="00000000" w:rsidDel="00000000" w:rsidP="00000000" w:rsidRDefault="00000000" w:rsidRPr="00000000" w14:paraId="0000018D">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&amp; Milton, J. (1997). Qualification and certainty in L1 and L2 students’ writing. </w:t>
      </w:r>
      <w:r>
        <w:rPr>
          <w:rFonts w:ascii="Georgia" w:cs="Georgia" w:eastAsia="Georgia" w:hAnsi="Georgia"/>
          <w:b w:val="0"/>
          <w:bCs w:val="0"/>
          <w:i w:val="1"/>
          <w:iCs w:val="1"/>
          <w:sz w:val="22"/>
          <w:szCs w:val="22"/>
          <w:rtl w:val="0"/>
        </w:rPr>
        <w:t xml:space="preserve">Journal of Second Language Writing, 6</w:t>
      </w:r>
      <w:r>
        <w:rPr>
          <w:rFonts w:ascii="Georgia" w:cs="Georgia" w:eastAsia="Georgia" w:hAnsi="Georgia"/>
          <w:b w:val="0"/>
          <w:bCs w:val="0"/>
          <w:i w:val="0"/>
          <w:iCs w:val="0"/>
          <w:sz w:val="22"/>
          <w:szCs w:val="22"/>
          <w:rtl w:val="0"/>
        </w:rPr>
        <w:t xml:space="preserve">(2), 183–205. https://doi.org/10.1016/S1060-3743(97)90033-3</w:t>
      </w:r>
      <w:r>
        <w:rPr>
          <w:rtl w:val="0"/>
        </w:rPr>
      </w:r>
    </w:p>
    <w:p w:rsidR="00000000" w:rsidDel="00000000" w:rsidP="00000000" w:rsidRDefault="00000000" w:rsidRPr="00000000" w14:paraId="0000018E">
      <w:pPr>
        <w:spacing w:before="0" w:after="0" w:line="480" w:lineRule="auto"/>
        <w:ind w:left="720" w:hanging="720"/>
        <w:jc w:val="both"/>
        <w:rPr/>
      </w:pPr>
      <w:r>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w:t>
      </w:r>
      <w:r>
        <w:rPr>
          <w:rFonts w:ascii="Georgia" w:cs="Georgia" w:eastAsia="Georgia" w:hAnsi="Georgia"/>
          <w:b w:val="0"/>
          <w:bCs w:val="0"/>
          <w:i w:val="1"/>
          <w:iCs w:val="1"/>
          <w:sz w:val="22"/>
          <w:szCs w:val="22"/>
          <w:rtl w:val="0"/>
        </w:rPr>
        <w:t xml:space="preserve">Linguistics and Literature Studies, 12</w:t>
      </w:r>
      <w:r>
        <w:rPr>
          <w:rFonts w:ascii="Georgia" w:cs="Georgia" w:eastAsia="Georgia" w:hAnsi="Georgia"/>
          <w:b w:val="0"/>
          <w:bCs w:val="0"/>
          <w:i w:val="0"/>
          <w:iCs w:val="0"/>
          <w:sz w:val="22"/>
          <w:szCs w:val="22"/>
          <w:rtl w:val="0"/>
        </w:rPr>
        <w:t xml:space="preserve">(3), 19–28. https://doi.org/10.13189/lls.2024.120301</w:t>
      </w:r>
      <w:r>
        <w:rPr>
          <w:rtl w:val="0"/>
        </w:rPr>
      </w:r>
    </w:p>
    <w:p w:rsidR="00000000" w:rsidDel="00000000" w:rsidP="00000000" w:rsidRDefault="00000000" w:rsidRPr="00000000" w14:paraId="0000018F">
      <w:pPr>
        <w:spacing w:before="0" w:after="0" w:line="480" w:lineRule="auto"/>
        <w:ind w:left="720" w:hanging="720"/>
        <w:jc w:val="both"/>
        <w:rPr/>
      </w:pPr>
      <w:r>
        <w:rPr>
          <w:rFonts w:ascii="Georgia" w:cs="Georgia" w:eastAsia="Georgia" w:hAnsi="Georgia"/>
          <w:b w:val="0"/>
          <w:bCs w:val="0"/>
          <w:i w:val="0"/>
          <w:iCs w:val="0"/>
          <w:sz w:val="22"/>
          <w:szCs w:val="22"/>
          <w:rtl w:val="0"/>
        </w:rPr>
        <w:t xml:space="preserve">Khunasathitchai, K., Sittironnarit, S., Sinturat, T., &amp; Kumdee, S. (2025). Move analysis and hedge use in the research paper abstracts of Thai EFL English-majored undergraduates. </w:t>
      </w:r>
      <w:r>
        <w:rPr>
          <w:rFonts w:ascii="Georgia" w:cs="Georgia" w:eastAsia="Georgia" w:hAnsi="Georgia"/>
          <w:b w:val="0"/>
          <w:bCs w:val="0"/>
          <w:i w:val="1"/>
          <w:iCs w:val="1"/>
          <w:sz w:val="22"/>
          <w:szCs w:val="22"/>
          <w:rtl w:val="0"/>
        </w:rPr>
        <w:t>rEFLections, 32(2), 951–973.</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190">
      <w:pPr>
        <w:spacing w:before="0" w:after="0" w:line="480" w:lineRule="auto"/>
        <w:ind w:left="720" w:hanging="720"/>
        <w:jc w:val="both"/>
        <w:rPr/>
      </w:pPr>
      <w:r>
        <w:rPr>
          <w:rFonts w:ascii="Georgia" w:cs="Georgia" w:eastAsia="Georgia" w:hAnsi="Georgia"/>
          <w:b w:val="0"/>
          <w:bCs w:val="0"/>
          <w:i w:val="0"/>
          <w:iCs w:val="0"/>
          <w:sz w:val="22"/>
          <w:szCs w:val="22"/>
          <w:rtl w:val="0"/>
        </w:rPr>
        <w:t>https://doi.org/10.61508/refl.v32i2.282512</w:t>
      </w:r>
      <w:r>
        <w:rPr>
          <w:rtl w:val="0"/>
        </w:rPr>
      </w:r>
    </w:p>
    <w:p w:rsidR="00000000" w:rsidDel="00000000" w:rsidP="00000000" w:rsidRDefault="00000000" w:rsidRPr="00000000" w14:paraId="00000192">
      <w:pPr>
        <w:spacing w:before="0" w:after="0" w:line="480" w:lineRule="auto"/>
        <w:ind w:left="720" w:hanging="720"/>
        <w:jc w:val="both"/>
        <w:rPr/>
      </w:pPr>
      <w:r>
        <w:rPr>
          <w:rFonts w:ascii="Georgia" w:cs="Georgia" w:eastAsia="Georgia" w:hAnsi="Georgia"/>
          <w:b w:val="0"/>
          <w:bCs w:val="0"/>
          <w:i w:val="0"/>
          <w:iCs w:val="0"/>
          <w:sz w:val="22"/>
          <w:szCs w:val="22"/>
          <w:rtl w:val="0"/>
        </w:rPr>
        <w:t xml:space="preserve">Landis, J. R., &amp; Koch, G. G. (1977). The measurement of observer agreement for categorical data. Biometrics, 33(1), 159–174. https://doi.org/10.2307/2529310</w:t>
      </w:r>
      <w:r>
        <w:rPr>
          <w:rtl w:val="0"/>
        </w:rPr>
      </w:r>
    </w:p>
    <w:p>
      <w:pPr>
        <w:spacing w:before="0" w:after="0" w:line="480" w:lineRule="auto"/>
        <w:ind w:left="720" w:hanging="720"/>
        <w:jc w:val="both"/>
        <w:rPr/>
      </w:pPr>
      <w:r>
        <w:rPr>
          <w:rFonts w:ascii="Georgia" w:cs="Georgia" w:eastAsia="Georgia" w:hAnsi="Georgia"/>
          <w:b w:val="0"/>
          <w:bCs w:val="0"/>
          <w:i w:val="0"/>
          <w:iCs w:val="0"/>
          <w:sz w:val="22"/>
          <w:szCs w:val="22"/>
          <w:rtl w:val="0"/>
        </w:rPr>
        <w:t xml:space="preserve">Lopez, R. M. C., Pedida, J. A., Alzate, L. J. A., &amp; Eustaquio, M. T. L. (2025). Language of caution and certainty: Writing proficiency in hedges and boosters in student essays. International Journal of Research and Innovation in Social Science, 9(11), 6176–6196. https://doi.org/10.47772/IJRISS.2025.91100485</w:t>
      </w:r>
    </w:p>
    <w:p w:rsidR="00000000" w:rsidDel="00000000" w:rsidP="00000000" w:rsidRDefault="00000000" w:rsidRPr="00000000" w14:paraId="00000193">
      <w:pPr>
        <w:spacing w:before="0" w:after="0" w:line="480" w:lineRule="auto"/>
        <w:ind w:left="720" w:hanging="720"/>
        <w:jc w:val="both"/>
        <w:rPr/>
      </w:pPr>
      <w:r>
        <w:rPr>
          <w:rFonts w:ascii="Georgia" w:cs="Georgia" w:eastAsia="Georgia" w:hAnsi="Georgia"/>
          <w:b w:val="0"/>
          <w:bCs w:val="0"/>
          <w:i w:val="0"/>
          <w:iCs w:val="0"/>
          <w:sz w:val="22"/>
          <w:szCs w:val="22"/>
          <w:rtl w:val="0"/>
        </w:rPr>
        <w:t xml:space="preserve">Mohammed, S. J. (2011). </w:t>
      </w:r>
      <w:r>
        <w:rPr>
          <w:rFonts w:ascii="Georgia" w:cs="Georgia" w:eastAsia="Georgia" w:hAnsi="Georgia"/>
          <w:b w:val="0"/>
          <w:bCs w:val="0"/>
          <w:i w:val="1"/>
          <w:iCs w:val="1"/>
          <w:sz w:val="22"/>
          <w:szCs w:val="22"/>
          <w:rtl w:val="0"/>
        </w:rPr>
        <w:t xml:space="preserve">Lexical hedges: A study of cultural and disciplinary variation in academic research articles</w:t>
      </w:r>
      <w:r>
        <w:rPr>
          <w:rFonts w:ascii="Georgia" w:cs="Georgia" w:eastAsia="Georgia" w:hAnsi="Georgia"/>
          <w:b w:val="0"/>
          <w:bCs w:val="0"/>
          <w:i w:val="0"/>
          <w:iCs w:val="0"/>
          <w:sz w:val="22"/>
          <w:szCs w:val="22"/>
          <w:rtl w:val="0"/>
        </w:rPr>
        <w:t xml:space="preserve"> [Master’s thesis, Universiti Teknologi MARA]. CORE. https://core.ac.uk/download/78277430.pdf</w:t>
      </w:r>
      <w:r>
        <w:rPr>
          <w:rtl w:val="0"/>
        </w:rPr>
      </w:r>
    </w:p>
    <w:p w:rsidR="00000000" w:rsidDel="00000000" w:rsidP="00000000" w:rsidRDefault="00000000" w:rsidRPr="00000000" w14:paraId="00000194">
      <w:pPr>
        <w:spacing w:before="0" w:after="0" w:line="480" w:lineRule="auto"/>
        <w:ind w:left="720" w:hanging="720"/>
        <w:jc w:val="both"/>
        <w:rPr/>
      </w:pPr>
      <w:r>
        <w:rPr>
          <w:rFonts w:ascii="Georgia" w:cs="Georgia" w:eastAsia="Georgia" w:hAnsi="Georgia"/>
          <w:b w:val="0"/>
          <w:bCs w:val="0"/>
          <w:i w:val="0"/>
          <w:iCs w:val="0"/>
          <w:sz w:val="22"/>
          <w:szCs w:val="22"/>
          <w:rtl w:val="0"/>
        </w:rPr>
        <w:t xml:space="preserve">Ningrum, S., Puspita, H., &amp; Mulyadi, A. I. (2024). Hedges and boosters in academic writing of ASEAN EFL learners. </w:t>
      </w:r>
      <w:r>
        <w:rPr>
          <w:rFonts w:ascii="Georgia" w:cs="Georgia" w:eastAsia="Georgia" w:hAnsi="Georgia"/>
          <w:b w:val="0"/>
          <w:bCs w:val="0"/>
          <w:i w:val="1"/>
          <w:iCs w:val="1"/>
          <w:sz w:val="22"/>
          <w:szCs w:val="22"/>
          <w:rtl w:val="0"/>
        </w:rPr>
        <w:t xml:space="preserve">Journal of English Education and Teaching, 8</w:t>
      </w:r>
      <w:r>
        <w:rPr>
          <w:rFonts w:ascii="Georgia" w:cs="Georgia" w:eastAsia="Georgia" w:hAnsi="Georgia"/>
          <w:b w:val="0"/>
          <w:bCs w:val="0"/>
          <w:i w:val="0"/>
          <w:iCs w:val="0"/>
          <w:sz w:val="22"/>
          <w:szCs w:val="22"/>
          <w:rtl w:val="0"/>
        </w:rPr>
        <w:t xml:space="preserve">(1), 202–218. https://doi.org/10.33369/jeet.8.1.202-218</w:t>
      </w:r>
      <w:r>
        <w:rPr>
          <w:rtl w:val="0"/>
        </w:rPr>
      </w:r>
    </w:p>
    <w:p w:rsidR="00000000" w:rsidDel="00000000" w:rsidP="00000000" w:rsidRDefault="00000000" w:rsidRPr="00000000" w14:paraId="00000195">
      <w:pPr>
        <w:spacing w:before="0" w:after="0" w:line="480" w:lineRule="auto"/>
        <w:ind w:left="720" w:hanging="720"/>
        <w:jc w:val="both"/>
        <w:rPr/>
      </w:pPr>
      <w:r>
        <w:rPr>
          <w:rFonts w:ascii="Georgia" w:cs="Georgia" w:eastAsia="Georgia" w:hAnsi="Georgia"/>
          <w:b w:val="0"/>
          <w:bCs w:val="0"/>
          <w:i w:val="0"/>
          <w:iCs w:val="0"/>
          <w:sz w:val="22"/>
          <w:szCs w:val="22"/>
          <w:rtl w:val="0"/>
        </w:rPr>
        <w:t xml:space="preserve">Petchkij, W. (2019). Explicit teaching of hedges: Bringing hedging in academic writing into the Thai EFL classroom. </w:t>
      </w:r>
      <w:r>
        <w:rPr>
          <w:rFonts w:ascii="Georgia" w:cs="Georgia" w:eastAsia="Georgia" w:hAnsi="Georgia"/>
          <w:b w:val="0"/>
          <w:bCs w:val="0"/>
          <w:i w:val="1"/>
          <w:iCs w:val="1"/>
          <w:sz w:val="22"/>
          <w:szCs w:val="22"/>
          <w:rtl w:val="0"/>
        </w:rPr>
        <w:t xml:space="preserve">Electronic Journal of Foreign Language Teaching, 16(1), 95–113. https://e-flt.nus.edu.sg/wp-content/uploads/2020/09/petchkij.pdf</w:t>
      </w:r>
      <w:r>
        <w:rPr>
          <w:rtl w:val="0"/>
        </w:rPr>
      </w:r>
    </w:p>
    <w:p w:rsidR="00000000" w:rsidDel="00000000" w:rsidP="00000000" w:rsidRDefault="00000000" w:rsidRPr="00000000" w14:paraId="00000196">
      <w:pPr>
        <w:spacing w:before="0" w:after="0" w:line="480" w:lineRule="auto"/>
        <w:ind w:left="720" w:hanging="720"/>
        <w:jc w:val="both"/>
        <w:rPr/>
      </w:pPr>
      <w:r>
        <w:rPr>
          <w:rFonts w:ascii="Georgia" w:cs="Georgia" w:eastAsia="Georgia" w:hAnsi="Georgia"/>
          <w:b w:val="0"/>
          <w:bCs w:val="0"/>
          <w:i w:val="0"/>
          <w:iCs w:val="0"/>
          <w:sz w:val="22"/>
          <w:szCs w:val="22"/>
          <w:rtl w:val="0"/>
        </w:rPr>
        <w:t xml:space="preserve">Salager-Meyer, F. (1994). Hedges and textual communicative function in medical English written discourse. </w:t>
      </w:r>
      <w:r>
        <w:rPr>
          <w:rFonts w:ascii="Georgia" w:cs="Georgia" w:eastAsia="Georgia" w:hAnsi="Georgia"/>
          <w:b w:val="0"/>
          <w:bCs w:val="0"/>
          <w:i w:val="1"/>
          <w:iCs w:val="1"/>
          <w:sz w:val="22"/>
          <w:szCs w:val="22"/>
          <w:rtl w:val="0"/>
        </w:rPr>
        <w:t xml:space="preserve">English for Specific Purposes, 13</w:t>
      </w:r>
      <w:r>
        <w:rPr>
          <w:rFonts w:ascii="Georgia" w:cs="Georgia" w:eastAsia="Georgia" w:hAnsi="Georgia"/>
          <w:b w:val="0"/>
          <w:bCs w:val="0"/>
          <w:i w:val="0"/>
          <w:iCs w:val="0"/>
          <w:sz w:val="22"/>
          <w:szCs w:val="22"/>
          <w:rtl w:val="0"/>
        </w:rPr>
        <w:t xml:space="preserve">(2), 149–170. https://doi.org/10.1016/0889-4906(94)90013-2</w:t>
      </w:r>
      <w:r>
        <w:rPr>
          <w:rtl w:val="0"/>
        </w:rPr>
      </w:r>
    </w:p>
    <w:p w:rsidR="00000000" w:rsidDel="00000000" w:rsidP="00000000" w:rsidRDefault="00000000" w:rsidRPr="00000000" w14:paraId="00000197">
      <w:pPr>
        <w:spacing w:before="0" w:after="0" w:line="480" w:lineRule="auto"/>
        <w:ind w:left="720" w:hanging="720"/>
        <w:jc w:val="both"/>
        <w:rPr/>
      </w:pPr>
      <w:r>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w:t>
      </w:r>
      <w:r>
        <w:rPr>
          <w:rFonts w:ascii="Georgia" w:cs="Georgia" w:eastAsia="Georgia" w:hAnsi="Georgia"/>
          <w:b w:val="0"/>
          <w:bCs w:val="0"/>
          <w:i w:val="1"/>
          <w:iCs w:val="1"/>
          <w:sz w:val="22"/>
          <w:szCs w:val="22"/>
          <w:rtl w:val="0"/>
        </w:rPr>
        <w:t xml:space="preserve">ETERNAL (English Teaching Journal), 16</w:t>
      </w:r>
      <w:r>
        <w:rPr>
          <w:rFonts w:ascii="Georgia" w:cs="Georgia" w:eastAsia="Georgia" w:hAnsi="Georgia"/>
          <w:b w:val="0"/>
          <w:bCs w:val="0"/>
          <w:i w:val="0"/>
          <w:iCs w:val="0"/>
          <w:sz w:val="22"/>
          <w:szCs w:val="22"/>
          <w:rtl w:val="0"/>
        </w:rPr>
        <w:t xml:space="preserve">(1), 37–52. https://journal2.upgris.ac.id/index.php/eternal/article/view/1059</w:t>
      </w:r>
      <w:r>
        <w:rPr>
          <w:rtl w:val="0"/>
        </w:rPr>
      </w:r>
    </w:p>
    <w:p w:rsidR="00000000" w:rsidDel="00000000" w:rsidP="00000000" w:rsidRDefault="00000000" w:rsidRPr="00000000" w14:paraId="00000198">
      <w:pPr>
        <w:spacing w:before="0" w:after="0" w:line="480" w:lineRule="auto"/>
        <w:ind w:left="720" w:hanging="720"/>
        <w:jc w:val="both"/>
        <w:rPr/>
      </w:pPr>
      <w:r>
        <w:rPr>
          <w:rFonts w:ascii="Georgia" w:cs="Georgia" w:eastAsia="Georgia" w:hAnsi="Georgia"/>
          <w:b w:val="0"/>
          <w:bCs w:val="0"/>
          <w:i w:val="0"/>
          <w:iCs w:val="0"/>
          <w:sz w:val="22"/>
          <w:szCs w:val="22"/>
          <w:rtl w:val="0"/>
        </w:rPr>
        <w:t xml:space="preserve">Villanueva, V. S. (2014). Hedging devices in Philippine newspaper editorials. </w:t>
      </w:r>
      <w:r>
        <w:rPr>
          <w:rFonts w:ascii="Georgia" w:cs="Georgia" w:eastAsia="Georgia" w:hAnsi="Georgia"/>
          <w:b w:val="0"/>
          <w:bCs w:val="0"/>
          <w:i w:val="1"/>
          <w:iCs w:val="1"/>
          <w:sz w:val="22"/>
          <w:szCs w:val="22"/>
          <w:rtl w:val="0"/>
        </w:rPr>
        <w:t xml:space="preserve">Asian Journal of English Language Studies, 2</w:t>
      </w:r>
      <w:r>
        <w:rPr>
          <w:rFonts w:ascii="Georgia" w:cs="Georgia" w:eastAsia="Georgia" w:hAnsi="Georgia"/>
          <w:b w:val="0"/>
          <w:bCs w:val="0"/>
          <w:i w:val="0"/>
          <w:iCs w:val="0"/>
          <w:sz w:val="22"/>
          <w:szCs w:val="22"/>
          <w:rtl w:val="0"/>
        </w:rPr>
        <w:t xml:space="preserve">, 103–117. https://doi.org/10.59960/2.a5</w:t>
      </w:r>
      <w:r>
        <w:rPr>
          <w:rtl w:val="0"/>
        </w:rPr>
      </w:r>
    </w:p>
    <w:p w:rsidR="00000000" w:rsidDel="00000000" w:rsidP="00000000" w:rsidRDefault="00000000" w:rsidRPr="00000000" w14:paraId="00000199">
      <w:pPr>
        <w:spacing w:before="0" w:after="0" w:line="480" w:lineRule="auto"/>
        <w:ind w:left="720" w:hanging="720"/>
        <w:jc w:val="both"/>
        <w:rPr/>
        <w:sectPr>
          <w:headerReference r:id="rId15" w:type="default"/>
          <w:headerReference r:id="rId16"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Wang, X. (2022). </w:t>
      </w:r>
      <w:r>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Pr>
          <w:rFonts w:ascii="Georgia" w:cs="Georgia" w:eastAsia="Georgia" w:hAnsi="Georgia"/>
          <w:b w:val="0"/>
          <w:bCs w:val="0"/>
          <w:i w:val="0"/>
          <w:iCs w:val="0"/>
          <w:sz w:val="22"/>
          <w:szCs w:val="22"/>
          <w:rtl w:val="0"/>
        </w:rPr>
        <w:t xml:space="preserve"> [Preprint]. OSF Preprints. https://osf.io/preprints/edarxiv/5xj27</w:t>
      </w:r>
      <w:r>
        <w:rPr>
          <w:rtl w:val="0"/>
        </w:rPr>
      </w:r>
    </w:p>
    <w:p w:rsidR="00000000" w:rsidDel="00000000" w:rsidP="00000000" w:rsidRDefault="00000000" w:rsidRPr="00000000" w14:paraId="0000019B">
      <w:pPr>
        <w:keepNext w:val="1"/>
        <w:keepLines w:val="1"/>
        <w:spacing w:before="240" w:after="240" w:line="240" w:lineRule="auto"/>
        <w:jc w:val="center"/>
        <w:rPr/>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keepLines w:val="1"/>
        <w:spacing w:before="240" w:after="0" w:line="480" w:lineRule="auto"/>
        <w:jc w:val="left"/>
        <w:rPr/>
      </w:pPr>
      <w:r>
        <w:rPr>
          <w:rFonts w:ascii="Georgia" w:cs="Georgia" w:eastAsia="Georgia" w:hAnsi="Georgia"/>
          <w:b w:val="1"/>
          <w:bCs w:val="1"/>
          <w:sz w:val="24"/>
          <w:szCs w:val="24"/>
          <w:rtl w:val="0"/>
        </w:rPr>
        <w:t xml:space="preserve">APPENDIX A: HEDGING CODEBOOK</w:t>
      </w:r>
      <w:r>
        <w:rPr>
          <w:rtl w:val="0"/>
        </w:rPr>
      </w:r>
    </w:p>
    <w:p w:rsidR="00000000" w:rsidDel="00000000" w:rsidP="00000000" w:rsidRDefault="00000000" w:rsidRPr="00000000" w14:paraId="000001A0">
      <w:pPr>
        <w:spacing w:before="0" w:after="0" w:line="480" w:lineRule="auto"/>
        <w:jc w:val="both"/>
        <w:rPr/>
      </w:pPr>
      <w:r>
        <w:rPr>
          <w:rFonts w:ascii="Georgia" w:hAnsi="Georgia" w:cs="Georgia" w:eastAsia="Georgia"/>
        </w:rPr>
        <w:t xml:space="preserve">This appendix is the full coding protocol used for the study. It opens with a one-page quick-reference, then a one-page legend and coding-sheet section, then the operational layers, decision rules, false-positive categories, and recording conventions.</w:t>
      </w:r>
    </w:p>
    <w:p w:rsidR="00000000" w:rsidDel="00000000" w:rsidP="00000000" w:rsidRDefault="00000000" w:rsidRPr="00000000" w14:paraId="000001A2">
      <w:pPr>
        <w:keepNext w:val="1"/>
        <w:spacing w:before="120" w:after="120" w:line="240" w:lineRule="auto"/>
        <w:ind w:firstLine="720"/>
        <w:jc w:val="left"/>
        <w:rPr/>
      </w:pPr>
      <w:r>
        <w:rPr>
          <w:rFonts w:ascii="Georgia" w:cs="Georgia" w:eastAsia="Georgia" w:hAnsi="Georgia"/>
          <w:b w:val="1"/>
          <w:bCs w:val="1"/>
          <w:sz w:val="24"/>
          <w:szCs w:val="24"/>
          <w:rtl w:val="0"/>
        </w:rPr>
        <w:t xml:space="preserve">QUICK-REFERENCE</w:t>
      </w:r>
      <w:r>
        <w:rPr>
          <w:rtl w:val="0"/>
        </w:rPr>
      </w:r>
    </w:p>
    <w:p w:rsidR="00000000" w:rsidDel="00000000" w:rsidP="00000000" w:rsidRDefault="00000000" w:rsidRPr="00000000" w14:paraId="000001A3">
      <w:pPr>
        <w:spacing w:before="0" w:after="0" w:line="240" w:lineRule="auto"/>
        <w:jc w:val="both"/>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rPr>
      </w:r>
    </w:p>
    <w:p w:rsidR="00000000" w:rsidDel="00000000" w:rsidP="00000000" w:rsidRDefault="00000000" w:rsidRPr="00000000" w14:paraId="000001A4">
      <w:pPr>
        <w:keepNext w:val="1"/>
        <w:spacing w:before="120" w:after="0" w:line="240" w:lineRule="auto"/>
        <w:jc w:val="left"/>
        <w:rPr/>
      </w:pPr>
      <w:r>
        <w:rPr>
          <w:rFonts w:ascii="Georgia" w:cs="Georgia" w:eastAsia="Georgia" w:hAnsi="Georgia"/>
          <w:b w:val="1"/>
          <w:bCs w:val="1"/>
          <w:sz w:val="24"/>
          <w:szCs w:val="24"/>
          <w:rtl w:val="0"/>
        </w:rPr>
        <w:t xml:space="preserve">Hedge types</w:t>
      </w:r>
      <w:r>
        <w:rPr>
          <w:rtl w:val="0"/>
        </w:rPr>
      </w:r>
    </w:p>
    <w:p w:rsidR="00000000" w:rsidDel="00000000" w:rsidP="00000000" w:rsidRDefault="00000000" w:rsidRPr="00000000" w14:paraId="000001A5">
      <w:pPr>
        <w:spacing w:before="0" w:after="0" w:line="240" w:lineRule="auto"/>
        <w:ind w:left="240" w:firstLine="0"/>
        <w:jc w:val="both"/>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rPr>
      </w:r>
    </w:p>
    <w:p w:rsidR="00000000" w:rsidDel="00000000" w:rsidP="00000000" w:rsidRDefault="00000000" w:rsidRPr="00000000" w14:paraId="000001A6">
      <w:pPr>
        <w:spacing w:before="0" w:after="0" w:line="240" w:lineRule="auto"/>
        <w:ind w:left="240" w:firstLine="0"/>
        <w:jc w:val="both"/>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certainty of a claim and pass the Working Test.</w:t>
      </w:r>
      <w:r>
        <w:rPr>
          <w:rtl w:val="0"/>
        </w:rPr>
      </w:r>
    </w:p>
    <w:p w:rsidR="00000000" w:rsidDel="00000000" w:rsidP="00000000" w:rsidRDefault="00000000" w:rsidRPr="00000000" w14:paraId="000001A7">
      <w:pPr>
        <w:spacing w:before="0" w:after="0" w:line="240" w:lineRule="auto"/>
        <w:ind w:left="240" w:firstLine="0"/>
        <w:jc w:val="both"/>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rPr>
      </w:r>
    </w:p>
    <w:p w:rsidR="00000000" w:rsidDel="00000000" w:rsidP="00000000" w:rsidRDefault="00000000" w:rsidRPr="00000000" w14:paraId="000001A8">
      <w:pPr>
        <w:spacing w:before="0" w:after="0" w:line="240" w:lineRule="auto"/>
        <w:ind w:left="240" w:firstLine="0"/>
        <w:jc w:val="both"/>
        <w:rPr/>
      </w:pPr>
      <w:r>
        <w:rPr>
          <w:rFonts w:ascii="Georgia" w:cs="Georgia" w:eastAsia="Georgia" w:hAnsi="Georgia"/>
          <w:b w:val="0"/>
          <w:bCs w:val="0"/>
          <w:sz w:val="22"/>
          <w:szCs w:val="22"/>
          <w:rtl w:val="0"/>
        </w:rPr>
        <w:t xml:space="preserve">4. Clause-level hedges: it seems that, it is possible that, to some extent, in our view.</w:t>
      </w:r>
      <w:r>
        <w:rPr>
          <w:rtl w:val="0"/>
        </w:rPr>
      </w:r>
    </w:p>
    <w:p w:rsidR="00000000" w:rsidDel="00000000" w:rsidP="00000000" w:rsidRDefault="00000000" w:rsidRPr="00000000" w14:paraId="000001A9">
      <w:pPr>
        <w:keepNext w:val="1"/>
        <w:spacing w:before="120" w:after="0" w:line="240" w:lineRule="auto"/>
        <w:ind w:firstLine="720"/>
        <w:jc w:val="left"/>
        <w:rPr/>
      </w:pPr>
      <w:r>
        <w:rPr>
          <w:rFonts w:ascii="Georgia" w:cs="Georgia" w:eastAsia="Georgia" w:hAnsi="Georgia"/>
          <w:b w:val="1"/>
          <w:bCs w:val="1"/>
          <w:sz w:val="24"/>
          <w:szCs w:val="24"/>
          <w:rtl w:val="0"/>
        </w:rPr>
        <w:t xml:space="preserve">Hedge functions</w:t>
      </w:r>
      <w:r>
        <w:rPr>
          <w:rtl w:val="0"/>
        </w:rPr>
      </w:r>
    </w:p>
    <w:p w:rsidR="00000000" w:rsidDel="00000000" w:rsidP="00000000" w:rsidRDefault="00000000" w:rsidRPr="00000000" w14:paraId="000001AA">
      <w:pPr>
        <w:spacing w:before="0" w:after="0" w:line="240" w:lineRule="auto"/>
        <w:ind w:left="240" w:firstLine="720"/>
        <w:jc w:val="both"/>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rPr>
      </w:r>
    </w:p>
    <w:p w:rsidR="00000000" w:rsidDel="00000000" w:rsidP="00000000" w:rsidRDefault="00000000" w:rsidRPr="00000000" w14:paraId="000001AB">
      <w:pPr>
        <w:spacing w:before="0" w:after="0" w:line="240" w:lineRule="auto"/>
        <w:ind w:left="240" w:firstLine="720"/>
        <w:jc w:val="both"/>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rPr>
      </w:r>
    </w:p>
    <w:p w:rsidR="00000000" w:rsidDel="00000000" w:rsidP="00000000" w:rsidRDefault="00000000" w:rsidRPr="00000000" w14:paraId="000001AC">
      <w:pPr>
        <w:spacing w:before="0" w:after="0" w:line="240" w:lineRule="auto"/>
        <w:ind w:left="240" w:firstLine="0"/>
        <w:jc w:val="both"/>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rPr>
      </w:r>
    </w:p>
    <w:p w:rsidR="00000000" w:rsidDel="00000000" w:rsidP="00000000" w:rsidRDefault="00000000" w:rsidRPr="00000000" w14:paraId="000001AD">
      <w:pPr>
        <w:keepNext w:val="1"/>
        <w:spacing w:before="120" w:after="0" w:line="240" w:lineRule="auto"/>
        <w:ind w:firstLine="720"/>
        <w:jc w:val="left"/>
        <w:rPr/>
      </w:pPr>
      <w:r>
        <w:rPr>
          <w:rFonts w:ascii="Georgia" w:cs="Georgia" w:eastAsia="Georgia" w:hAnsi="Georgia"/>
          <w:b w:val="1"/>
          <w:bCs w:val="1"/>
          <w:sz w:val="24"/>
          <w:szCs w:val="24"/>
          <w:rtl w:val="0"/>
        </w:rPr>
        <w:t xml:space="preserve">Core decision rules</w:t>
      </w:r>
      <w:r>
        <w:rPr>
          <w:rtl w:val="0"/>
        </w:rPr>
      </w:r>
    </w:p>
    <w:p w:rsidR="00000000" w:rsidDel="00000000" w:rsidP="00000000" w:rsidRDefault="00000000" w:rsidRPr="00000000" w14:paraId="000001AE">
      <w:pPr>
        <w:spacing w:before="0" w:after="0" w:line="240" w:lineRule="auto"/>
        <w:ind w:left="240" w:firstLine="720"/>
        <w:jc w:val="both"/>
        <w:rPr/>
      </w:pPr>
      <w:r>
        <w:rPr>
          <w:rFonts w:ascii="Georgia" w:hAnsi="Georgia" w:cs="Georgia" w:eastAsia="Georgia"/>
          <w:rtl w:val="0"/>
          <w:i/>
          <w:iCs/>
          <w:sz w:val="24"/>
          <w:szCs w:val="24"/>
        </w:rPr>
        <w:t xml:space="preserve">suggest / indicate → hedge when introducing a finding; not a hedge when introducing a recommendation.</w:t>
      </w:r>
      <w:r>
        <w:rPr>
          <w:rtl w:val="0"/>
          <w:rFonts w:ascii="Georgia" w:hAnsi="Georgia"/>
          <w:sz w:val="24"/>
          <w:szCs w:val="24"/>
          <w:i/>
          <w:iCs/>
        </w:rPr>
      </w:r>
    </w:p>
    <w:p w:rsidR="00000000" w:rsidDel="00000000" w:rsidP="00000000" w:rsidRDefault="00000000" w:rsidRPr="00000000" w14:paraId="000001AF">
      <w:pPr>
        <w:spacing w:before="0" w:after="0" w:line="240" w:lineRule="auto"/>
        <w:ind w:left="240" w:firstLine="720"/>
        <w:jc w:val="both"/>
        <w:rPr/>
      </w:pPr>
      <w:r>
        <w:rPr>
          <w:rFonts w:ascii="Georgia" w:hAnsi="Georgia" w:cs="Georgia" w:eastAsia="Georgia"/>
          <w:rtl w:val="0"/>
          <w:i/>
          <w:iCs/>
          <w:sz w:val="24"/>
          <w:szCs w:val="24"/>
        </w:rPr>
        <w:t xml:space="preserve">can / may → hedge when marking possibility; not a hedge when marking capability.</w:t>
      </w:r>
      <w:r>
        <w:rPr>
          <w:rtl w:val="0"/>
          <w:rFonts w:ascii="Georgia" w:hAnsi="Georgia"/>
          <w:sz w:val="24"/>
          <w:szCs w:val="24"/>
          <w:i/>
          <w:iCs/>
        </w:rPr>
      </w:r>
    </w:p>
    <w:p w:rsidR="00000000" w:rsidDel="00000000" w:rsidP="00000000" w:rsidRDefault="00000000" w:rsidRPr="00000000" w14:paraId="000001B0">
      <w:pPr>
        <w:spacing w:before="0" w:after="0" w:line="240" w:lineRule="auto"/>
        <w:ind w:left="240" w:firstLine="720"/>
        <w:jc w:val="both"/>
        <w:rPr/>
      </w:pPr>
      <w:r>
        <w:rPr>
          <w:rFonts w:ascii="Georgia" w:hAnsi="Georgia" w:cs="Georgia" w:eastAsia="Georgia"/>
          <w:rtl w:val="0"/>
          <w:i/>
          <w:iCs/>
          <w:sz w:val="24"/>
          <w:szCs w:val="24"/>
        </w:rPr>
        <w:t xml:space="preserve">generally / typically → hedge when limiting the scope of a claim; not a hedge when describing a procedural norm.</w:t>
      </w:r>
      <w:r>
        <w:rPr>
          <w:rtl w:val="0"/>
          <w:rFonts w:ascii="Georgia" w:hAnsi="Georgia"/>
          <w:sz w:val="24"/>
          <w:szCs w:val="24"/>
          <w:i/>
          <w:iCs/>
        </w:rPr>
      </w:r>
    </w:p>
    <w:p w:rsidR="00000000" w:rsidDel="00000000" w:rsidP="00000000" w:rsidRDefault="00000000" w:rsidRPr="00000000" w14:paraId="000001B1">
      <w:pPr>
        <w:spacing w:before="0" w:after="0" w:line="240" w:lineRule="auto"/>
        <w:ind w:left="240" w:firstLine="0"/>
        <w:jc w:val="both"/>
        <w:rPr/>
      </w:pPr>
      <w:r>
        <w:rPr>
          <w:rFonts w:ascii="Georgia" w:hAnsi="Georgia" w:cs="Georgia" w:eastAsia="Georgia"/>
          <w:rtl w:val="0"/>
          <w:i/>
          <w:iCs/>
          <w:sz w:val="24"/>
          <w:szCs w:val="24"/>
        </w:rPr>
        <w:t xml:space="preserve">appear / seem → hedge when expressing uncertainty about a result; not a hedge when pointing to location in a table or text.</w:t>
      </w:r>
      <w:r>
        <w:rPr>
          <w:rtl w:val="0"/>
          <w:rFonts w:ascii="Georgia" w:hAnsi="Georgia"/>
          <w:sz w:val="24"/>
          <w:szCs w:val="24"/>
          <w:i/>
          <w:iCs/>
        </w:rPr>
      </w:r>
    </w:p>
    <w:p w:rsidR="00000000" w:rsidDel="00000000" w:rsidP="00000000" w:rsidRDefault="00000000" w:rsidRPr="00000000" w14:paraId="000001B2">
      <w:pPr>
        <w:keepNext w:val="1"/>
        <w:spacing w:before="120" w:after="0" w:line="240" w:lineRule="auto"/>
        <w:ind w:firstLine="720"/>
        <w:jc w:val="left"/>
        <w:rPr/>
      </w:pPr>
      <w:r>
        <w:rPr>
          <w:rFonts w:ascii="Georgia" w:cs="Georgia" w:eastAsia="Georgia" w:hAnsi="Georgia"/>
          <w:b w:val="1"/>
          <w:bCs w:val="1"/>
          <w:sz w:val="24"/>
          <w:szCs w:val="24"/>
          <w:rtl w:val="0"/>
        </w:rPr>
        <w:t xml:space="preserve">Exclusion and Working Test</w:t>
      </w:r>
      <w:r>
        <w:rPr>
          <w:rtl w:val="0"/>
        </w:rPr>
      </w:r>
    </w:p>
    <w:p w:rsidR="00000000" w:rsidDel="00000000" w:rsidP="00000000" w:rsidRDefault="00000000" w:rsidRPr="00000000" w14:paraId="000001B3">
      <w:pPr>
        <w:spacing w:before="0" w:after="0" w:line="240" w:lineRule="auto"/>
        <w:jc w:val="both"/>
        <w:rPr/>
      </w:pPr>
      <w:r>
        <w:rPr>
          <w:rFonts w:ascii="Georgia" w:cs="Georgia" w:eastAsia="Georgia" w:hAnsi="Georgia"/>
          <w:b w:val="0"/>
          <w:bCs w:val="0"/>
          <w:sz w:val="22"/>
          <w:szCs w:val="22"/>
          <w:rtl w:val="0"/>
        </w:rPr>
        <w:t xml:space="preserve">Ability, future procedure, and necessity (must / should in procedural contexts) are never hedges. Working Test: if removing the device does not change how certain or tentative the claim is, it is not a hedge.</w:t>
      </w:r>
      <w:r>
        <w:rPr>
          <w:rtl w:val="0"/>
        </w:rPr>
      </w:r>
    </w:p>
    <w:p>
      <w:pPr/>
      <w:r>
        <w:br w:type="page"/>
      </w:r>
    </w:p>
    <w:p w:rsidR="00000000" w:rsidDel="00000000" w:rsidP="00000000" w:rsidRDefault="00000000" w:rsidRPr="00000000" w14:paraId="00000233">
      <w:pPr>
        <w:keepNext w:val="1"/>
        <w:spacing w:before="60" w:after="0" w:line="312"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35">
            <w:pPr>
              <w:spacing w:before="0" w:after="0" w:line="240"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40"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cantSplit w:val="1"/>
          <w:tblHeader w:val="0"/>
        </w:trPr>
        <w:tc>
          <w:tcPr/>
          <w:p w:rsidR="00000000" w:rsidDel="00000000" w:rsidP="00000000" w:rsidRDefault="00000000" w:rsidRPr="00000000" w14:paraId="00000237">
            <w:pPr>
              <w:spacing w:before="0" w:after="0" w:line="240"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40"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40"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40"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40"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40"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40" w:lineRule="auto"/>
              <w:jc w:val="both"/>
              <w:rPr/>
            </w:pP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cantSplit w:val="1"/>
          <w:tblHeader w:val="0"/>
        </w:trPr>
        <w:tc>
          <w:tcPr/>
          <w:p w:rsidR="00000000" w:rsidDel="00000000" w:rsidP="00000000" w:rsidRDefault="00000000" w:rsidRPr="00000000" w14:paraId="0000023E">
            <w:pPr>
              <w:spacing w:before="0" w:after="0" w:line="240" w:lineRule="auto"/>
              <w:jc w:val="both"/>
              <w:rPr/>
            </w:pPr>
            <w:r>
              <w:rPr>
                <w:rFonts w:ascii="Georgia" w:cs="Georgia" w:eastAsia="Georgia" w:hAnsi="Georgia"/>
                <w:b w:val="1"/>
                <w:bCs w:val="1"/>
                <w:i w:val="0"/>
                <w:iCs w:val="0"/>
                <w:color w:val="000000"/>
                <w:sz w:val="18"/>
                <w:szCs w:val="18"/>
                <w:rtl w:val="0"/>
              </w:rPr>
              <w:t xml:space="preserve">UNHEDGED SITES (Grey Highlight, Optional)</w:t>
            </w:r>
            <w:r>
              <w:rPr>
                <w:rtl w:val="0"/>
                <w:sz w:val="18"/>
                <w:szCs w:val="18"/>
                <w:rFonts w:ascii="Georgia" w:hAnsi="Georgia"/>
              </w:rPr>
            </w:r>
          </w:p>
          <w:p w:rsidR="00000000" w:rsidDel="00000000" w:rsidP="00000000" w:rsidRDefault="00000000" w:rsidRPr="00000000" w14:paraId="0000023F">
            <w:pPr>
              <w:spacing w:before="0" w:after="0" w:line="240" w:lineRule="auto"/>
              <w:jc w:val="both"/>
              <w:rPr/>
            </w:pPr>
            <w:r>
              <w:rPr>
                <w:rFonts w:ascii="Georgia" w:cs="Georgia" w:eastAsia="Georgia" w:hAnsi="Georgia"/>
                <w:sz w:val="18"/>
                <w:szCs w:val="18"/>
                <w:shd w:fill="bfbfbf" w:val="clear"/>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40"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40"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240" w:after="0" w:line="480"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312"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w:t>
      </w:r>
      <w:r>
        <w:rPr>
          <w:rFonts w:ascii="Georgia" w:cs="Georgia" w:eastAsia="Georgia" w:hAnsi="Georgia"/>
          <w:b w:val="0"/>
          <w:bCs w:val="0"/>
          <w:i w:val="0"/>
          <w:iCs w:val="0"/>
          <w:color w:val="000000"/>
          <w:sz w:val="22"/>
          <w:szCs w:val="22"/>
          <w:rtl w:val="0"/>
        </w:rPr>
        <w:t xml:space="preserve">“The results </w:t>
      </w:r>
      <w:r>
        <w:rPr>
          <w:rFonts w:ascii="Georgia" w:cs="Georgia" w:eastAsia="Georgia" w:hAnsi="Georgia"/>
          <w:b w:val="1"/>
          <w:bCs w:val="1"/>
          <w:color w:val="ffffff"/>
          <w:sz w:val="22"/>
          <w:szCs w:val="22"/>
          <w:highlight w:val="red"/>
          <w:rtl w:val="0"/>
        </w:rPr>
        <w:t xml:space="preserve">suggested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ed7d31"/>
          <w:sz w:val="22"/>
          <w:szCs w:val="22"/>
          <w:rtl w:val="0"/>
        </w:rPr>
        <w:t xml:space="preserve">(EC)</w:t>
      </w:r>
      <w:r>
        <w:rPr>
          <w:rFonts w:ascii="Georgia" w:hAnsi="Georgia" w:cs="Georgia" w:eastAsia="Georgia"/>
          <w:color w:val="000000"/>
        </w:rPr>
        <w:t xml:space="preserve"> that C. longa extracts are </w:t>
      </w:r>
      <w:r>
        <w:rPr>
          <w:rFonts w:ascii="Georgia" w:hAnsi="Georgia" w:cs="Georgia" w:eastAsia="Georgia"/>
          <w:highlight w:val="red"/>
          <w:color w:val="ffffff"/>
        </w:rPr>
        <w:t>potential</w:t>
      </w:r>
      <w:r>
        <w:rPr>
          <w:rFonts w:ascii="Georgia" w:hAnsi="Georgia" w:cs="Georgia" w:eastAsia="Georgia"/>
          <w:color w:val="000000"/>
        </w:rPr>
        <w:t xml:space="preserve"> </w:t>
      </w:r>
      <w:r>
        <w:rPr>
          <w:rFonts w:ascii="Georgia" w:hAnsi="Georgia" w:cs="Georgia" w:eastAsia="Georgia"/>
          <w:color w:val="ed7d31"/>
        </w:rPr>
        <w:t>(EC)</w:t>
      </w:r>
      <w:r>
        <w:rPr>
          <w:rFonts w:ascii="Georgia" w:hAnsi="Georgia" w:cs="Georgia" w:eastAsia="Georgia"/>
          <w:color w:val="000000"/>
        </w:rPr>
        <w:t xml:space="preserve"> alternative stains. PCR </w:t>
      </w:r>
      <w:r>
        <w:rPr>
          <w:rFonts w:ascii="Georgia" w:cs="Georgia" w:eastAsia="Georgia" w:hAnsi="Georgia"/>
          <w:b w:val="1"/>
          <w:bCs w:val="1"/>
          <w:strike w:val="1"/>
          <w:color w:val="00000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0"/>
          <w:bCs w:val="0"/>
          <w:i w:val="0"/>
          <w:iCs w:val="0"/>
          <w:color w:val="80808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(FP-Cap)</w:t>
      </w:r>
      <w:r>
        <w:rPr>
          <w:rFonts w:ascii="Georgia" w:cs="Georgia" w:eastAsia="Georgia" w:hAnsi="Georgia"/>
          <w:b w:val="0"/>
          <w:bCs w:val="0"/>
          <w:i w:val="0"/>
          <w:iCs w:val="0"/>
          <w:color w:val="000000"/>
          <w:sz w:val="22"/>
          <w:szCs w:val="22"/>
          <w:rtl w:val="0"/>
        </w:rPr>
        <w:t xml:space="preserve"> also detect low concentrations, while a prior line stated flatly that </w:t>
      </w:r>
      <w:r>
        <w:rPr>
          <w:rFonts w:ascii="Georgia" w:cs="Georgia" w:eastAsia="Georgia" w:hAnsi="Georgia"/>
          <w:b w:val="1"/>
          <w:bCs w:val="1"/>
          <w:strike w:val="0"/>
          <w:color w:val="000000"/>
          <w:sz w:val="22"/>
          <w:szCs w:val="22"/>
          <w:shd w:fill="bfbfbf" w:val="clear"/>
          <w:rtl w:val="0"/>
        </w:rPr>
        <w:t xml:space="preserve">Results showed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000000"/>
          <w:sz w:val="22"/>
          <w:szCs w:val="22"/>
          <w:rtl w:val="0"/>
        </w:rPr>
        <w:t xml:space="preserve">[R]</w:t>
      </w:r>
      <w:r>
        <w:rPr>
          <w:rFonts w:ascii="Georgia" w:cs="Georgia" w:eastAsia="Georgia" w:hAnsi="Georgia"/>
          <w:b w:val="0"/>
          <w:bCs w:val="0"/>
          <w:i w:val="0"/>
          <w:iCs w:val="0"/>
          <w:color w:val="000000"/>
          <w:sz w:val="22"/>
          <w:szCs w:val="22"/>
          <w:rtl w:val="0"/>
        </w:rPr>
        <w:t xml:space="preserve"> no infection.”</w:t>
      </w:r>
      <w:r>
        <w:rPr>
          <w:rtl w:val="0"/>
        </w:rPr>
      </w:r>
    </w:p>
    <w:p w:rsidR="00000000" w:rsidDel="00000000" w:rsidP="00000000" w:rsidRDefault="00000000" w:rsidRPr="00000000" w14:paraId="00000245">
      <w:pPr>
        <w:spacing w:before="0" w:after="0" w:line="312" w:lineRule="auto"/>
        <w:ind w:firstLine="720"/>
        <w:jc w:val="both"/>
        <w:rPr/>
      </w:pPr>
      <w:r>
        <w:rPr>
          <w:i w:val="1"/>
          <w:iCs w:val="1"/>
          <w:color w:val="404040"/>
          <w:rtl w:val="0"/>
        </w:rPr>
        <w:t xml:space="preserve"/>
      </w:r>
      <w:r>
        <w:rPr>
          <w:rFonts w:ascii="Georgia" w:cs="Georgia" w:eastAsia="Georgia" w:hAnsi="Georgia"/>
          <w:b w:val="0"/>
          <w:bCs w:val="0"/>
          <w:i w:val="1"/>
          <w:iCs w:val="1"/>
          <w:color w:val="404040"/>
          <w:sz w:val="22"/>
          <w:szCs w:val="22"/>
          <w:rtl w:val="0"/>
        </w:rPr>
        <w:t xml:space="preserve"> Colored highlights mark type. Colored text marks function. Grey highlights mark an unhedged site. Here, “potential” is retained as a Lexical hedge because it appears in a results/conclusion sentence and qualifies the claim about the extracts.</w:t>
      </w:r>
      <w:r>
        <w:rPr>
          <w:rtl w:val="0"/>
        </w:rPr>
      </w:r>
    </w:p>
    <w:p w:rsidR="00000000" w:rsidDel="00000000" w:rsidP="00000000" w:rsidRDefault="00000000" w:rsidRPr="00000000" w14:paraId="00000247">
      <w:pPr>
        <w:keepNext w:val="1"/>
        <w:spacing w:before="120" w:after="0" w:line="312"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49">
            <w:pPr>
              <w:spacing w:before="0" w:after="0" w:line="24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4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4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40"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4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40"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4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51">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240" w:after="0" w:line="480" w:lineRule="auto"/>
        <w:ind w:firstLine="720"/>
        <w:jc w:val="both"/>
        <w:rPr/>
      </w:pPr>
      <w:r>
        <w:rPr>
          <w:rFonts w:ascii="Georgia" w:cs="Georgia" w:eastAsia="Georgia" w:hAnsi="Georgia"/>
          <w:b w:val="0"/>
          <w:bCs w:val="0"/>
          <w:i w:val="1"/>
          <w:iCs w:val="1"/>
          <w:color w:val="000000"/>
          <w:sz w:val="22"/>
          <w:szCs w:val="22"/>
          <w:rtl w:val="0"/>
        </w:rPr>
        <w:t xml:space="preserve">Discipline codes: Acs1 to Acs10 and Aas1 to Aas10 (Agriculture), VM1 to VM20 (Veterinary Medicine), B1 to B20 (Biology).</w:t>
      </w:r>
      <w:r>
        <w:rPr>
          <w:rtl w:val="0"/>
        </w:rPr>
      </w:r>
    </w:p>
    <w:p w:rsidR="00000000" w:rsidDel="00000000" w:rsidP="00000000" w:rsidRDefault="00000000" w:rsidRPr="00000000" w14:paraId="0000025D">
      <w:pPr>
        <w:spacing w:before="0" w:after="0" w:line="312" w:lineRule="auto"/>
        <w:ind w:firstLine="720"/>
        <w:jc w:val="both"/>
        <w:rPr/>
      </w:pPr>
      <w:r>
        <w:rPr>
          <w:rFonts w:ascii="Georgia" w:cs="Georgia" w:eastAsia="Georgia" w:hAnsi="Georgia"/>
          <w:b w:val="0"/>
          <w:bCs w:val="0"/>
          <w:i w:val="1"/>
          <w:iCs w:val="1"/>
          <w:color w:val="000000"/>
          <w:sz w:val="22"/>
          <w:szCs w:val="22"/>
          <w:rtl w:val="0"/>
        </w:rPr>
        <w:t xml:space="preserve">Layer 3 data, tracked separately so it never inflates RQ2 counts.</w:t>
      </w:r>
      <w:r>
        <w:rPr>
          <w:rtl w:val="0"/>
        </w:rPr>
      </w:r>
    </w:p>
    <w:p w:rsidR="00000000" w:rsidDel="00000000" w:rsidP="00000000" w:rsidRDefault="00000000" w:rsidRPr="00000000" w14:paraId="0000025E">
      <w:pPr>
        <w:keepNext w:val="1"/>
        <w:keepLines w:val="1"/>
        <w:spacing w:before="120" w:after="0" w:line="312" w:lineRule="auto"/>
        <w:jc w:val="left"/>
        <w:rPr/>
      </w:pPr>
      <w:r>
        <w:rPr>
          <w:rFonts w:ascii="Georgia" w:cs="Georgia" w:eastAsia="Georgia" w:hAnsi="Georgia"/>
          <w:b w:val="0"/>
          <w:bCs w:val="0"/>
          <w:i w:val="1"/>
          <w:iCs w:val="1"/>
          <w:sz w:val="24"/>
          <w:szCs w:val="24"/>
          <w:rtl w:val="0"/>
        </w:rPr>
        <w:t xml:space="preserve">Optional Tab: Unhedged Assertion Sites</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5F">
            <w:pPr>
              <w:spacing w:before="0" w:after="0" w:line="24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4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4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4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40"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4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65">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240" w:after="0" w:line="480"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6E">
            <w:pPr>
              <w:spacing w:before="0" w:after="0" w:line="24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4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4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4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40"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4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74">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4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1B4">
      <w:pPr>
        <w:keepNext w:val="1"/>
        <w:pageBreakBefore w:val="1"/>
        <w:spacing w:before="240" w:after="0" w:line="48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firstLine="720"/>
        <w:jc w:val="both"/>
        <w:rPr/>
      </w:pPr>
      <w:r>
        <w:rPr>
          <w:rFonts w:ascii="Georgia" w:cs="Georgia" w:eastAsia="Georgia" w:hAnsi="Georgia"/>
          <w:b w:val="0"/>
          <w:bCs w:val="0"/>
          <w:sz w:val="22"/>
          <w:szCs w:val="22"/>
          <w:rtl w:val="0"/>
        </w:rPr>
        <w:t xml:space="preserve">This codebook turns Hyland’s (1998) framework into a practical coding scheme for the PSAU undergraduate thesis abstract corpus. </w:t>
      </w:r>
      <w:r>
        <w:rPr>
          <w:rtl w:val="0"/>
        </w:rPr>
      </w:r>
    </w:p>
    <w:p w:rsidR="00000000" w:rsidDel="00000000" w:rsidP="00000000" w:rsidRDefault="00000000" w:rsidRPr="00000000" w14:paraId="000001B8">
      <w:pPr>
        <w:keepNext w:val="1"/>
        <w:spacing w:before="120" w:after="0" w:line="360" w:lineRule="auto"/>
        <w:jc w:val="left"/>
        <w:rPr/>
      </w:pPr>
      <w:r>
        <w:rPr>
          <w:rFonts w:ascii="Georgia" w:cs="Georgia" w:eastAsia="Georgia" w:hAnsi="Georgia"/>
          <w:b w:val="1"/>
          <w:bCs w:val="1"/>
          <w:i w:val="0"/>
          <w:iCs w:val="0"/>
          <w:sz w:val="24"/>
          <w:szCs w:val="24"/>
          <w:rtl w:val="0"/>
        </w:rPr>
        <w:t xml:space="preserve">WORKING TEST</w:t>
      </w:r>
      <w:r>
        <w:rPr>
          <w:rtl w:val="0"/>
        </w:rPr>
      </w:r>
    </w:p>
    <w:p w:rsidR="00000000" w:rsidDel="00000000" w:rsidP="00000000" w:rsidRDefault="00000000" w:rsidRPr="00000000" w14:paraId="000001B9">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If removing a device does not change the epistemic weight of the claim (how certain or tentative it is), it is not a hedge. This includes phrases that only point to evidence for a claim already asserted elsewhere in the sentence (e.g., </w:t>
      </w:r>
      <w:r>
        <w:rPr>
          <w:rFonts w:ascii="Georgia" w:cs="Georgia" w:eastAsia="Georgia" w:hAnsi="Georgia"/>
          <w:b w:val="0"/>
          <w:bCs w:val="0"/>
          <w:i w:val="1"/>
          <w:iCs w:val="1"/>
          <w:color w:val="000000"/>
          <w:sz w:val="22"/>
          <w:szCs w:val="22"/>
          <w:rtl w:val="0"/>
        </w:rPr>
        <w:t xml:space="preserve">“as indicated by X”</w:t>
      </w:r>
      <w:r>
        <w:rPr>
          <w:rFonts w:ascii="Georgia" w:cs="Georgia" w:eastAsia="Georgia" w:hAnsi="Georgia"/>
          <w:b w:val="0"/>
          <w:bCs w:val="0"/>
          <w:i w:val="0"/>
          <w:iCs w:val="0"/>
          <w:color w:val="000000"/>
          <w:sz w:val="22"/>
          <w:szCs w:val="22"/>
          <w:rtl w:val="0"/>
        </w:rPr>
        <w:t xml:space="preserve">) rather than expressing uncertainty about the claim itself.</w:t>
      </w:r>
      <w:r>
        <w:rPr>
          <w:rtl w:val="0"/>
        </w:rPr>
      </w:r>
    </w:p>
    <w:p w:rsidR="00000000" w:rsidDel="00000000" w:rsidP="00000000" w:rsidRDefault="00000000" w:rsidRPr="00000000" w14:paraId="000001BA">
      <w:pPr>
        <w:spacing w:before="0" w:after="0" w:line="360" w:lineRule="auto"/>
        <w:ind w:firstLine="720"/>
        <w:jc w:val="both"/>
        <w:rPr/>
      </w:pPr>
      <w:r>
        <w:rPr>
          <w:rFonts w:ascii="Georgia" w:cs="Georgia" w:eastAsia="Georgia" w:hAnsi="Georgia"/>
          <w:b w:val="0"/>
          <w:bCs w:val="0"/>
          <w:i w:val="0"/>
          <w:iCs w:val="0"/>
          <w:sz w:val="22"/>
          <w:szCs w:val="22"/>
          <w:rtl w:val="0"/>
        </w:rPr>
        <w:t xml:space="preserve">Epistemic vs. deontic: epistemic language concerns how certain a claim is (what may or might be true). Deontic language concerns what should or needs to be done. Hedges are epistemic. Deontic language is never a hedge, whatever verb carries it. Example: “We suggest further research” is FP-Rec even though “suggest” is on the hedge list.</w:t>
      </w:r>
      <w:r>
        <w:rPr>
          <w:rtl w:val="0"/>
        </w:rPr>
      </w:r>
    </w:p>
    <w:p w:rsidR="00000000" w:rsidDel="00000000" w:rsidP="00000000" w:rsidRDefault="00000000" w:rsidRPr="00000000" w14:paraId="000001BB">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Do not code a word as a hedge just because it appears in the hedge list. Evaluate its function in the sentence: </w:t>
      </w:r>
      <w:r>
        <w:rPr>
          <w:rFonts w:ascii="Georgia" w:cs="Georgia" w:eastAsia="Georgia" w:hAnsi="Georgia"/>
          <w:b w:val="0"/>
          <w:bCs w:val="0"/>
          <w:i w:val="1"/>
          <w:iCs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is a hedge only for possibility, not capability; </w:t>
      </w:r>
      <w:r>
        <w:rPr>
          <w:rFonts w:ascii="Georgia" w:cs="Georgia" w:eastAsia="Georgia" w:hAnsi="Georgia"/>
          <w:b w:val="0"/>
          <w:bCs w:val="0"/>
          <w:i w:val="1"/>
          <w:iCs w:val="1"/>
          <w:color w:val="000000"/>
          <w:sz w:val="22"/>
          <w:szCs w:val="22"/>
          <w:rtl w:val="0"/>
        </w:rPr>
        <w:t xml:space="preserve">“suggest”</w:t>
      </w:r>
      <w:r>
        <w:rPr>
          <w:rFonts w:ascii="Georgia" w:cs="Georgia" w:eastAsia="Georgia" w:hAnsi="Georgia"/>
          <w:b w:val="0"/>
          <w:bCs w:val="0"/>
          <w:i w:val="0"/>
          <w:iCs w:val="0"/>
          <w:color w:val="000000"/>
          <w:sz w:val="22"/>
          <w:szCs w:val="22"/>
          <w:rtl w:val="0"/>
        </w:rPr>
        <w:t xml:space="preserve"> is a hedge only for a finding, not a recommendation.</w:t>
      </w:r>
      <w:r>
        <w:rPr>
          <w:rtl w:val="0"/>
        </w:rPr>
      </w:r>
    </w:p>
    <w:p w:rsidR="00000000" w:rsidDel="00000000" w:rsidP="00000000" w:rsidRDefault="00000000" w:rsidRPr="00000000" w14:paraId="000001BC">
      <w:pPr>
        <w:spacing w:before="0" w:after="0" w:line="360" w:lineRule="auto"/>
        <w:ind w:firstLine="720"/>
        <w:jc w:val="both"/>
        <w:rPr/>
      </w:pPr>
      <w:r>
        <w:rPr>
          <w:rFonts w:ascii="Georgia" w:cs="Georgia" w:eastAsia="Georgia" w:hAnsi="Georgia"/>
          <w:b w:val="0"/>
          <w:bCs w:val="0"/>
          <w:i w:val="0"/>
          <w:iCs w:val="0"/>
          <w:sz w:val="22"/>
          <w:szCs w:val="22"/>
          <w:rtl w:val="0"/>
        </w:rPr>
        <w:t xml:space="preserve">Coding order: read the sentence in full, check Decision Rules, apply the Working Test if unresolved, and log any case that still can’t be resolved in Coder Notes rather than guessing.</w:t>
      </w:r>
      <w:r>
        <w:rPr>
          <w:rtl w:val="0"/>
        </w:rPr>
      </w:r>
    </w:p>
    <w:p w:rsidR="00000000" w:rsidDel="00000000" w:rsidP="00000000" w:rsidRDefault="00000000" w:rsidRPr="00000000" w14:paraId="000001BE">
      <w:pPr>
        <w:keepNext w:val="1"/>
        <w:spacing w:before="120" w:after="0" w:line="360" w:lineRule="auto"/>
        <w:jc w:val="left"/>
        <w:rPr/>
      </w:pPr>
      <w:r>
        <w:rPr>
          <w:rFonts w:ascii="Georgia" w:cs="Georgia" w:eastAsia="Georgia" w:hAnsi="Georgia"/>
          <w:b w:val="1"/>
          <w:bCs w:val="1"/>
          <w:i w:val="0"/>
          <w:iCs w:val="0"/>
          <w:sz w:val="24"/>
          <w:szCs w:val="24"/>
          <w:rtl w:val="0"/>
        </w:rPr>
        <w:t xml:space="preserve">LAYER 1: HEDGE TYPE (PRIMARY COLORS)</w:t>
      </w:r>
      <w:r>
        <w:rPr>
          <w:rtl w:val="0"/>
        </w:rPr>
      </w:r>
    </w:p>
    <w:p w:rsidR="00000000" w:rsidDel="00000000" w:rsidP="00000000" w:rsidRDefault="00000000" w:rsidRPr="00000000" w14:paraId="000001BF">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val="1"/>
          <w:tblHeader w:val="0"/>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val="1"/>
          <w:tblHeader w:val="0"/>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val="1"/>
          <w:tblHeader w:val="0"/>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240" w:after="0" w:line="480" w:lineRule="auto"/>
        <w:ind w:firstLine="720"/>
        <w:jc w:val="both"/>
        <w:rPr/>
      </w:pPr>
      <w:r>
        <w:rPr>
          <w:rFonts w:ascii="Georgia" w:cs="Georgia" w:eastAsia="Georgia" w:hAnsi="Georgia"/>
          <w:b w:val="0"/>
          <w:bCs w:val="0"/>
          <w:i w:val="1"/>
          <w:iCs w:val="1"/>
          <w:color w:val="000000"/>
          <w:sz w:val="22"/>
          <w:szCs w:val="22"/>
          <w:rtl w:val="0"/>
        </w:rPr>
        <w:t xml:space="preserve">Exclusions (capability, recommendation, procedural norm, location) are covered under </w:t>
      </w:r>
      <w:r>
        <w:rPr>
          <w:rFonts w:ascii="Georgia" w:cs="Georgia" w:eastAsia="Georgia" w:hAnsi="Georgia"/>
          <w:b w:val="1"/>
          <w:bCs w:val="1"/>
          <w:i w:val="1"/>
          <w:iCs w:val="1"/>
          <w:color w:val="000000"/>
          <w:sz w:val="22"/>
          <w:szCs w:val="22"/>
          <w:rtl w:val="0"/>
        </w:rPr>
        <w:t xml:space="preserve">Decision Rules</w:t>
      </w:r>
      <w:r>
        <w:rPr>
          <w:rFonts w:ascii="Georgia" w:cs="Georgia" w:eastAsia="Georgia" w:hAnsi="Georgia"/>
          <w:b w:val="0"/>
          <w:bCs w:val="0"/>
          <w:i w:val="1"/>
          <w:iCs w:val="1"/>
          <w:color w:val="000000"/>
          <w:sz w:val="22"/>
          <w:szCs w:val="22"/>
          <w:rtl w:val="0"/>
        </w:rPr>
        <w:t xml:space="preserve">.</w:t>
      </w:r>
      <w:r>
        <w:rPr>
          <w:rtl w:val="0"/>
        </w:rPr>
      </w:r>
    </w:p>
    <w:p w:rsidR="00000000" w:rsidDel="00000000" w:rsidP="00000000" w:rsidRDefault="00000000" w:rsidRPr="00000000" w14:paraId="000001D6">
      <w:pPr>
        <w:keepNext w:val="1"/>
        <w:spacing w:before="120" w:after="0" w:line="360" w:lineRule="auto"/>
        <w:ind w:firstLine="720"/>
        <w:jc w:val="both"/>
        <w:rPr/>
      </w:pPr>
      <w:r>
        <w:rPr>
          <w:rFonts w:ascii="Georgia" w:cs="Georgia" w:eastAsia="Georgia" w:hAnsi="Georgia"/>
          <w:i w:val="0"/>
          <w:iCs w:val="0"/>
          <w:sz w:val="22"/>
          <w:szCs w:val="22"/>
          <w:rtl w:val="0"/>
        </w:rPr>
        <w:t>Extensions: “imply/implies/implying” functions as suggest. “Can be concluded / derived / stated / attributed to / seen as” is an inferential hedge, distinct from capability “can” (see Decision Rules). “Potentially” is an adverbial hedge. “Potential” naming the research object itself (e.g., “assessed the potential of X”) is not markable, it names a topic rather than qualifying a claim. Rule for “potential + noun” constructions: structural position is primary. If the phrase sits in an aim, methods, or pure topic-naming frame (naming the research object, e.g., “assessed the potential of X”), treat as topic-naming (FP-Gen). If it sits in a results or conclusion sentence qualifying a finding-claim, treat as a Lexical hedge (EC). The Working Test is applied as a secondary check: when removing the token clearly changes commitment to a proposition (e.g., "presence of potential mycobacterial infections" → "presence of mycobacterial infections"), the token is coded Lexical EC even in an aim or rationale sentence. This differs from pure topic-naming aims such as “explores the potential antifungal properties” (VM5) or “their potential pharmaceutical applications” (B17), where removing the token leaves a research-object name rather than an asserted existence claim; those remain FP-Gen.</w:t>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tl w:val="0"/>
        </w:rPr>
      </w:r>
    </w:p>
    <w:p w:rsidR="00000000" w:rsidDel="00000000" w:rsidP="00000000" w:rsidRDefault="00000000" w:rsidRPr="00000000" w14:paraId="000001D8">
      <w:pPr>
        <w:keepNext w:val="1"/>
        <w:keepLines w:val="1"/>
        <w:spacing w:before="120" w:after="0" w:line="360" w:lineRule="auto"/>
        <w:jc w:val="left"/>
        <w:rPr/>
      </w:pPr>
      <w:r>
        <w:rPr>
          <w:rFonts w:ascii="Georgia" w:cs="Georgia" w:eastAsia="Georgia" w:hAnsi="Georgia"/>
          <w:b w:val="1"/>
          <w:bCs w:val="1"/>
          <w:i w:val="0"/>
          <w:iCs w:val="0"/>
          <w:sz w:val="24"/>
          <w:szCs w:val="24"/>
          <w:rtl w:val="0"/>
        </w:rPr>
        <w:t xml:space="preserve">LAYER 2: 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18"/>
                <w:szCs w:val="18"/>
                <w:rtl w:val="0"/>
              </w:rPr>
              <w:t xml:space="preserve">Epistemic Caution</w:t>
            </w:r>
            <w:r>
              <w:rPr>
                <w:rtl w:val="0"/>
                <w:sz w:val="18"/>
                <w:szCs w:val="18"/>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18"/>
                <w:szCs w:val="18"/>
                <w:rtl w:val="0"/>
              </w:rPr>
              <w:t xml:space="preserve">Politeness / Deference</w:t>
            </w:r>
            <w:r>
              <w:rPr>
                <w:rtl w:val="0"/>
                <w:sz w:val="18"/>
                <w:szCs w:val="18"/>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18"/>
                <w:szCs w:val="18"/>
                <w:rtl w:val="0"/>
              </w:rPr>
              <w:t xml:space="preserve">DO</w:t>
            </w:r>
            <w:r>
              <w:rPr>
                <w:rtl w:val="0"/>
                <w:sz w:val="18"/>
                <w:szCs w:val="18"/>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18"/>
                <w:szCs w:val="18"/>
                <w:rtl w:val="0"/>
              </w:rPr>
              <w:t xml:space="preserve">Discourse Organization</w:t>
            </w:r>
            <w:r>
              <w:rPr>
                <w:rtl w:val="0"/>
                <w:sz w:val="18"/>
                <w:szCs w:val="18"/>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18"/>
                <w:szCs w:val="18"/>
                <w:rtl w:val="0"/>
              </w:rPr>
              <w:t xml:space="preserve">Structures text or guides reader expectations.</w:t>
            </w:r>
            <w:r>
              <w:rPr>
                <w:rtl w:val="0"/>
                <w:sz w:val="18"/>
                <w:szCs w:val="18"/>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should be noted that</w:t>
            </w:r>
            <w:r>
              <w:rPr>
                <w:rFonts w:ascii="Georgia" w:cs="Georgia" w:eastAsia="Georgia" w:hAnsi="Georgia"/>
                <w:b w:val="0"/>
                <w:bCs w:val="0"/>
                <w:i w:val="0"/>
                <w:iCs w:val="0"/>
                <w:color w:val="000000"/>
                <w:sz w:val="18"/>
                <w:szCs w:val="18"/>
                <w:rtl w:val="0"/>
              </w:rPr>
              <w:t xml:space="preserve">. </w:t>
            </w: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bl>
    <w:p w:rsidR="00000000" w:rsidDel="00000000" w:rsidP="00000000" w:rsidRDefault="00000000" w:rsidRPr="00000000" w14:paraId="000001EA">
      <w:pPr>
        <w:keepNext w:val="1"/>
        <w:spacing w:before="240" w:after="0" w:line="48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rPr>
            </w:r>
          </w:p>
        </w:tc>
      </w:tr>
      <w:tr>
        <w:trPr>
          <w:cantSplit w:val="1"/>
          <w:tblHeader w:val="0"/>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rPr>
            </w:r>
          </w:p>
        </w:tc>
      </w:tr>
      <w:tr>
        <w:trPr>
          <w:cantSplit w:val="1"/>
          <w:tblHeader w:val="0"/>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rPr>
            </w:r>
          </w:p>
        </w:tc>
      </w:tr>
      <w:tr>
        <w:trPr>
          <w:cantSplit w:val="1"/>
          <w:tblHeader w:val="0"/>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rPr>
            </w:r>
          </w:p>
        </w:tc>
      </w:tr>
      <w:tr>
        <w:trPr>
          <w:cantSplit w:val="1"/>
          <w:tblHeader w:val="0"/>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rPr>
            </w:r>
          </w:p>
        </w:tc>
      </w:tr>
      <w:tr>
        <w:trPr>
          <w:cantSplit w:val="1"/>
          <w:tblHeader w:val="0"/>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rPr>
            </w:r>
          </w:p>
        </w:tc>
      </w:tr>
      <w:tr>
        <w:trPr>
          <w:cantSplit w:val="1"/>
          <w:tblHeader w:val="0"/>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18"/>
                <w:szCs w:val="18"/>
                <w:rtl w:val="0"/>
              </w:rPr>
              <w:t xml:space="preserve">Expresses possibility</w:t>
            </w:r>
            <w:r>
              <w:rPr>
                <w:rtl w:val="0"/>
                <w:sz w:val="18"/>
                <w:szCs w:val="18"/>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18"/>
                <w:szCs w:val="18"/>
                <w:rtl w:val="0"/>
              </w:rPr>
              <w:t xml:space="preserve">Expresses capability</w:t>
            </w:r>
            <w:r>
              <w:rPr>
                <w:rtl w:val="0"/>
                <w:sz w:val="18"/>
                <w:szCs w:val="18"/>
                <w:rFonts w:ascii="Georgia" w:hAnsi="Georgia"/>
              </w:rPr>
            </w:r>
          </w:p>
        </w:tc>
      </w:tr>
      <w:tr>
        <w:trPr>
          <w:cantSplit w:val="1"/>
          <w:tblHeader w:val="0"/>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18"/>
                <w:szCs w:val="18"/>
                <w:rtl w:val="0"/>
              </w:rPr>
              <w:t xml:space="preserve">Qualifies scope</w:t>
            </w:r>
            <w:r>
              <w:rPr>
                <w:rtl w:val="0"/>
                <w:sz w:val="18"/>
                <w:szCs w:val="18"/>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rPr>
            </w:r>
          </w:p>
        </w:tc>
      </w:tr>
      <w:tr>
        <w:trPr>
          <w:cantSplit w:val="1"/>
          <w:tblHeader w:val="0"/>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18"/>
                <w:szCs w:val="18"/>
                <w:rtl w:val="0"/>
              </w:rPr>
              <w:t xml:space="preserve">Indicates location</w:t>
            </w:r>
            <w:r>
              <w:rPr>
                <w:rtl w:val="0"/>
                <w:sz w:val="18"/>
                <w:szCs w:val="18"/>
                <w:rFonts w:ascii="Georgia" w:hAnsi="Georgia"/>
              </w:rPr>
            </w:r>
          </w:p>
        </w:tc>
      </w:tr>
    </w:tbl>
    <w:p w:rsidR="00000000" w:rsidDel="00000000" w:rsidP="00000000" w:rsidRDefault="00000000" w:rsidRPr="00000000" w14:paraId="00000208">
      <w:pPr>
        <w:spacing w:before="240" w:after="0" w:line="48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cantSplit w:val="1"/>
          <w:tblHeader w:val="0"/>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cantSplit w:val="1"/>
          <w:tblHeader w:val="0"/>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cantSplit w:val="1"/>
          <w:tblHeader w:val="0"/>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cantSplit w:val="1"/>
          <w:tblHeader w:val="0"/>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240" w:after="0" w:line="480" w:lineRule="auto"/>
        <w:jc w:val="both"/>
        <w:rPr/>
      </w:pPr>
      <w:r>
        <w:rPr>
          <w:rFonts w:ascii="Georgia" w:cs="Georgia" w:eastAsia="Georgia" w:hAnsi="Georgia"/>
          <w:b w:val="1"/>
          <w:bCs w:val="1"/>
          <w:i w:val="0"/>
          <w:iCs w:val="0"/>
          <w:sz w:val="24"/>
          <w:szCs w:val="24"/>
          <w:rtl w:val="0"/>
        </w:rPr>
        <w:t xml:space="preserve">LAYER 3 (OPTIONAL): UNHEDGED ASSERTION SITES (NEUTRAL GREY)</w:t>
      </w:r>
      <w:r>
        <w:rPr>
          <w:rtl w:val="0"/>
        </w:rPr>
      </w:r>
    </w:p>
    <w:p w:rsidR="00000000" w:rsidDel="00000000" w:rsidP="00000000" w:rsidRDefault="00000000" w:rsidRPr="00000000" w14:paraId="00000221">
      <w:pPr>
        <w:keepNext w:val="1"/>
        <w:keepLines w:val="1"/>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Marks claim-bearing clauses stated directly and confidently without a hedge. Reverse test: if a hedge could be inserted without changing the facts, the clause is markable. Procedural statements are never markable. Example: </w:t>
      </w:r>
      <w:r>
        <w:rPr>
          <w:rFonts w:ascii="Georgia" w:cs="Georgia" w:eastAsia="Georgia" w:hAnsi="Georgia"/>
          <w:b w:val="0"/>
          <w:bCs w:val="0"/>
          <w:i w:val="1"/>
          <w:iCs w:val="1"/>
          <w:color w:val="000000"/>
          <w:sz w:val="22"/>
          <w:szCs w:val="22"/>
          <w:rtl w:val="0"/>
        </w:rPr>
        <w:t xml:space="preserve">“Results showed X”</w:t>
      </w:r>
      <w:r>
        <w:rPr>
          <w:rFonts w:ascii="Georgia" w:cs="Georgia" w:eastAsia="Georgia" w:hAnsi="Georgia"/>
          <w:b w:val="0"/>
          <w:bCs w:val="0"/>
          <w:i w:val="0"/>
          <w:iCs w:val="0"/>
          <w:color w:val="000000"/>
          <w:sz w:val="22"/>
          <w:szCs w:val="22"/>
          <w:rtl w:val="0"/>
        </w:rPr>
        <w:t xml:space="preserve"> could take a hedge (</w:t>
      </w:r>
      <w:r>
        <w:rPr>
          <w:rFonts w:ascii="Georgia" w:cs="Georgia" w:eastAsia="Georgia" w:hAnsi="Georgia"/>
          <w:b w:val="0"/>
          <w:bCs w:val="0"/>
          <w:i w:val="1"/>
          <w:iCs w:val="1"/>
          <w:color w:val="000000"/>
          <w:sz w:val="22"/>
          <w:szCs w:val="22"/>
          <w:rtl w:val="0"/>
        </w:rPr>
        <w:t xml:space="preserve">“Results suggested X”</w:t>
      </w:r>
      <w:r>
        <w:rPr>
          <w:rFonts w:ascii="Georgia" w:cs="Georgia" w:eastAsia="Georgia" w:hAnsi="Georgia"/>
          <w:b w:val="0"/>
          <w:bCs w:val="0"/>
          <w:i w:val="0"/>
          <w:iCs w:val="0"/>
          <w:color w:val="000000"/>
          <w:sz w:val="22"/>
          <w:szCs w:val="22"/>
          <w:rtl w:val="0"/>
        </w:rPr>
        <w:t xml:space="preserve">) without changing the underlying finding, so it is markable.</w:t>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18"/>
                <w:szCs w:val="18"/>
                <w:rtl w:val="0"/>
              </w:rPr>
              <w:t xml:space="preserve">Result Claim [R]</w:t>
            </w:r>
            <w:r>
              <w:rPr>
                <w:rtl w:val="0"/>
                <w:sz w:val="18"/>
                <w:szCs w:val="18"/>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18"/>
                <w:szCs w:val="18"/>
                <w:rtl w:val="0"/>
              </w:rPr>
              <w:t xml:space="preserve">A finding stated as settled fact.</w:t>
            </w:r>
            <w:r>
              <w:rPr>
                <w:rtl w:val="0"/>
                <w:sz w:val="18"/>
                <w:szCs w:val="18"/>
                <w:rFonts w:ascii="Georgia" w:hAnsi="Georgia"/>
              </w:rPr>
            </w:r>
          </w:p>
        </w:tc>
        <w:tc>
          <w:tcPr/>
          <w:p w:rsidR="00000000" w:rsidDel="00000000" w:rsidP="00000000" w:rsidRDefault="00000000" w:rsidRPr="00000000" w14:paraId="00000229">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000000"/>
                <w:sz w:val="18"/>
                <w:szCs w:val="18"/>
                <w:shd w:fill="bfbfbf" w:val="clear"/>
                <w:rtl w:val="0"/>
              </w:rPr>
              <w:t xml:space="preserve">Results showed</w:t>
            </w:r>
            <w:r>
              <w:rPr>
                <w:rFonts w:ascii="Georgia" w:cs="Georgia" w:eastAsia="Georgia" w:hAnsi="Georgia"/>
                <w:b w:val="0"/>
                <w:bCs w:val="0"/>
                <w:i w:val="0"/>
                <w:iCs w:val="0"/>
                <w:color w:val="000000"/>
                <w:sz w:val="18"/>
                <w:szCs w:val="18"/>
                <w:rtl w:val="0"/>
              </w:rPr>
              <w:t xml:space="preserve"> that all shrimp farms were free of the disease.”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18"/>
                <w:szCs w:val="18"/>
                <w:rtl w:val="0"/>
              </w:rPr>
              <w:t xml:space="preserve">Generalization [G]</w:t>
            </w:r>
            <w:r>
              <w:rPr>
                <w:rtl w:val="0"/>
                <w:sz w:val="18"/>
                <w:szCs w:val="18"/>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18"/>
                <w:szCs w:val="18"/>
                <w:rtl w:val="0"/>
              </w:rPr>
              <w:t xml:space="preserve">A broader inference beyond the data.</w:t>
            </w:r>
            <w:r>
              <w:rPr>
                <w:rtl w:val="0"/>
                <w:sz w:val="18"/>
                <w:szCs w:val="18"/>
                <w:rFonts w:ascii="Georgia" w:hAnsi="Georgia"/>
              </w:rPr>
            </w:r>
          </w:p>
        </w:tc>
        <w:tc>
          <w:tcPr/>
          <w:p w:rsidR="00000000" w:rsidDel="00000000" w:rsidP="00000000" w:rsidRDefault="00000000" w:rsidRPr="00000000" w14:paraId="0000022D">
            <w:pPr>
              <w:spacing w:before="0" w:after="0" w:line="240" w:lineRule="auto"/>
              <w:jc w:val="both"/>
              <w:rPr/>
            </w:pPr>
            <w:r>
              <w:rPr>
                <w:rFonts w:ascii="Georgia" w:cs="Georgia" w:eastAsia="Georgia" w:hAnsi="Georgia"/>
                <w:b w:val="0"/>
                <w:bCs w:val="0"/>
                <w:i w:val="0"/>
                <w:iCs w:val="0"/>
                <w:color w:val="000000"/>
                <w:sz w:val="18"/>
                <w:szCs w:val="18"/>
                <w:rtl w:val="0"/>
              </w:rPr>
              <w:t xml:space="preserve">“This led to the </w:t>
            </w:r>
            <w:r>
              <w:rPr>
                <w:rFonts w:ascii="Georgia" w:cs="Georgia" w:eastAsia="Georgia" w:hAnsi="Georgia"/>
                <w:b w:val="1"/>
                <w:bCs w:val="1"/>
                <w:strike w:val="0"/>
                <w:color w:val="000000"/>
                <w:sz w:val="18"/>
                <w:szCs w:val="18"/>
                <w:shd w:fill="bfbfbf" w:val="clear"/>
                <w:rtl w:val="0"/>
              </w:rPr>
              <w:t xml:space="preserve">conclusion that</w:t>
            </w:r>
            <w:r>
              <w:rPr>
                <w:rFonts w:ascii="Georgia" w:cs="Georgia" w:eastAsia="Georgia" w:hAnsi="Georgia"/>
                <w:b w:val="0"/>
                <w:bCs w:val="0"/>
                <w:i w:val="0"/>
                <w:iCs w:val="0"/>
                <w:color w:val="000000"/>
                <w:sz w:val="18"/>
                <w:szCs w:val="18"/>
                <w:rtl w:val="0"/>
              </w:rPr>
              <w:t xml:space="preserve"> all farms were free of it.”</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18"/>
                <w:szCs w:val="18"/>
                <w:rtl w:val="0"/>
              </w:rPr>
              <w:t xml:space="preserve">Causal Claim [C]</w:t>
            </w:r>
            <w:r>
              <w:rPr>
                <w:rtl w:val="0"/>
                <w:sz w:val="18"/>
                <w:szCs w:val="18"/>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18"/>
                <w:szCs w:val="18"/>
                <w:rtl w:val="0"/>
              </w:rPr>
              <w:t xml:space="preserve">A cause and effect link stated as established.</w:t>
            </w:r>
            <w:r>
              <w:rPr>
                <w:rtl w:val="0"/>
                <w:sz w:val="18"/>
                <w:szCs w:val="18"/>
                <w:rFonts w:ascii="Georgia" w:hAnsi="Georgia"/>
              </w:rPr>
            </w:r>
          </w:p>
        </w:tc>
        <w:tc>
          <w:tcPr/>
          <w:p w:rsidR="00000000" w:rsidDel="00000000" w:rsidP="00000000" w:rsidRDefault="00000000" w:rsidRPr="00000000" w14:paraId="00000231">
            <w:pPr>
              <w:spacing w:before="0" w:after="0" w:line="240" w:lineRule="auto"/>
              <w:jc w:val="both"/>
              <w:rPr/>
            </w:pPr>
            <w:r>
              <w:rPr>
                <w:rFonts w:ascii="Georgia" w:cs="Georgia" w:eastAsia="Georgia" w:hAnsi="Georgia"/>
                <w:b w:val="0"/>
                <w:bCs w:val="0"/>
                <w:i w:val="0"/>
                <w:iCs w:val="0"/>
                <w:color w:val="000000"/>
                <w:sz w:val="18"/>
                <w:szCs w:val="18"/>
                <w:rtl w:val="0"/>
              </w:rPr>
              <w:t xml:space="preserve">“Extracts </w:t>
            </w:r>
            <w:r>
              <w:rPr>
                <w:rFonts w:ascii="Georgia" w:cs="Georgia" w:eastAsia="Georgia" w:hAnsi="Georgia"/>
                <w:b w:val="1"/>
                <w:bCs w:val="1"/>
                <w:strike w:val="0"/>
                <w:color w:val="000000"/>
                <w:sz w:val="18"/>
                <w:szCs w:val="18"/>
                <w:shd w:fill="bfbfbf" w:val="clear"/>
                <w:rtl w:val="0"/>
              </w:rPr>
              <w:t xml:space="preserve">produce</w:t>
            </w:r>
            <w:r>
              <w:rPr>
                <w:rFonts w:ascii="Georgia" w:cs="Georgia" w:eastAsia="Georgia" w:hAnsi="Georgia"/>
                <w:b w:val="0"/>
                <w:bCs w:val="0"/>
                <w:i w:val="0"/>
                <w:iCs w:val="0"/>
                <w:color w:val="000000"/>
                <w:sz w:val="18"/>
                <w:szCs w:val="18"/>
                <w:rtl w:val="0"/>
              </w:rPr>
              <w:t xml:space="preserve"> comparable staining because they contain similar compounds.”</w:t>
            </w:r>
            <w:r>
              <w:rPr>
                <w:rtl w:val="0"/>
                <w:sz w:val="18"/>
                <w:szCs w:val="18"/>
                <w:rFonts w:ascii="Georgia" w:hAnsi="Georgia"/>
              </w:rPr>
            </w:r>
          </w:p>
        </w:tc>
      </w:tr>
    </w:tbl>
    <w:p w:rsidR="00000000" w:rsidDel="00000000" w:rsidP="00000000" w:rsidRDefault="00000000" w:rsidRPr="00000000" w14:paraId="0000027B">
      <w:pPr>
        <w:keepNext w:val="1"/>
        <w:keepLines w:val="1"/>
        <w:pageBreakBefore w:val="1"/>
        <w:spacing w:before="240" w:after="0" w:line="480" w:lineRule="auto"/>
        <w:jc w:val="left"/>
        <w:rPr/>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0" w:after="0" w:line="480" w:lineRule="auto"/>
        <w:jc w:val="left"/>
        <w:rPr/>
      </w:pPr>
      <w:r>
        <w:rPr>
          <w:rFonts w:ascii="Georgia" w:hAnsi="Georgia" w:cs="Georgia" w:eastAsia="Georgia"/>
          <w:i w:val="1"/>
          <w:iCs w:val="1"/>
          <w:rtl w:val="0"/>
          <w:sz w:val="24"/>
          <w:szCs w:val="24"/>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keepLines w:val="1"/>
        <w:spacing w:before="240" w:after="0" w:line="480" w:lineRule="auto"/>
        <w:jc w:val="left"/>
        <w:rPr/>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cs="Georgia" w:eastAsia="Georgia" w:hAnsi="Georgia"/>
          <w:b w:val="0"/>
          <w:bCs w:val="0"/>
          <w:i w:val="0"/>
          <w:iCs w:val="0"/>
          <w:sz w:val="22"/>
          <w:szCs w:val="22"/>
          <w:rtl w:val="0"/>
        </w:rPr>
        <w:t>This appendix presents the 60 abstracts with all coding marks applied. Layer 1 = color highlight on hedge tokens (blue = Modal Verbs, red = Lexical Hedges, yellow = Adverbial Hedges, green = Clause-Level Hedges). Layer 2 = function label in colored text (EC = orange, P = purple, DO = teal). Discourse connectors (Hence/Thus) are tagged (DO) even when not hedges. Layer 2 functions are only EC, P, and DO. False positives = strikethrough + reason code in grey (e.g. FP-Rec = recommendation, not a function). Layer 3 (unhedged sites) = grey highlight + [R]/[G]/[C] bracket.</w:t>
      </w:r>
      <w:r>
        <w:rPr>
          <w:rtl w:val="0"/>
        </w:rPr>
      </w:r>
    </w:p>
    <w:p w:rsidR="00000000" w:rsidDel="00000000" w:rsidP="00000000" w:rsidRDefault="00000000" w:rsidRPr="00000000" w14:paraId="0000029F">
      <w:pPr>
        <w:spacing w:before="0" w:after="0" w:line="480" w:lineRule="auto"/>
        <w:jc w:val="center"/>
        <w:rPr/>
      </w:pPr>
      <w:r>
        <w:rPr>
          <w:rFonts w:ascii="Georgia" w:cs="Georgia" w:eastAsia="Georgia" w:hAnsi="Georgia"/>
          <w:b w:val="1"/>
          <w:bCs w:val="1"/>
          <w:i w:val="0"/>
          <w:iCs w:val="0"/>
          <w:sz w:val="24"/>
          <w:szCs w:val="24"/>
          <w:rtl w:val="0"/>
        </w:rPr>
        <w:t xml:space="preserve">Biology (B1–B20)</w:t>
      </w:r>
      <w:r>
        <w:rPr>
          <w:rtl w:val="0"/>
        </w:rPr>
      </w:r>
    </w:p>
    <w:p w:rsidR="00000000" w:rsidDel="00000000" w:rsidP="00000000" w:rsidRDefault="00000000" w:rsidRPr="00000000" w14:paraId="000002A0">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cs="Georgia" w:eastAsia="Georgia" w:hAnsi="Georgia"/>
          <w:b w:val="0"/>
          <w:bCs w:val="0"/>
          <w:i w:val="0"/>
          <w:iCs w:val="0"/>
          <w:color w:val="000000"/>
          <w:sz w:val="22"/>
          <w:szCs w:val="22"/>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Bacillus subtilis BIOTECH 1679 was assessed under greenhouse conditions. Results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hAnsi="Georgia" w:cs="Georgia" w:eastAsia="Georgia"/>
          <w:b w:val="0"/>
          <w:bCs w:val="0"/>
          <w:i w:val="0"/>
          <w:iCs w:val="0"/>
          <w:color w:val="000000"/>
          <w:rtl w:val="0"/>
          <w:sz w:val="22"/>
          <w:szCs w:val="22"/>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hAnsi="Georgia" w:cs="Georgia" w:eastAsia="Georgia"/>
          <w:b w:val="0"/>
          <w:bCs w:val="0"/>
          <w:i w:val="0"/>
          <w:iCs w:val="0"/>
          <w:color w:val="000000"/>
          <w:rtl w:val="0"/>
          <w:sz w:val="22"/>
          <w:szCs w:val="22"/>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 subtilis as a sustainable solution for managing onion supply demands, contributing to eco-friendly and alternative strategies in agriculture from local to global use.</w:t>
      </w:r>
      <w:r>
        <w:rPr>
          <w:rtl w:val="0"/>
        </w:rPr>
      </w:r>
    </w:p>
    <w:p w:rsidR="00000000" w:rsidDel="00000000" w:rsidP="00000000" w:rsidRDefault="00000000" w:rsidRPr="00000000" w14:paraId="000002A2">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at the Research Extension and Technology (RET) and Microbiology Laboratory of the College of Arts and Sciences of Pampanga State Agricultural University from November 2018 - January 2019. [Conducted 2018–2019; bound and catalogued 2023 per library records]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the zone of inhibition in the evaluation of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Balitbitan on Mueller Hinton Agar. The treatment evaluated as follows: T1 (Balitbitan extract in Methanol), T2 (Balitbitan extract in Hexane) and T3 (Balitbitan extract in DCM). The result of antibacterial testing </w:t>
      </w:r>
      <w:r>
        <w:rPr>
          <w:rFonts w:ascii="Georgia" w:cs="Georgia" w:eastAsia="Georgia" w:hAnsi="Georgia"/>
          <w:b w:val="1"/>
          <w:bCs w:val="1"/>
          <w:strike w:val="0"/>
          <w:color w:val="000000"/>
          <w:sz w:val="22"/>
          <w:szCs w:val="22"/>
          <w:shd w:fill="bfbfbf" w:val="clear"/>
          <w:rtl w:val="0"/>
        </w:rPr>
        <w:t xml:space="preserve">revealed that the Partial Fraction of Balitbitan (Cynometra ramiflora) did not possess the property to inhibit the growth of Staphylococcus aureus and Escherichia coli</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There was no zone of inhibition when treated with the partial fraction of Balitbitan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A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cs="Georgia" w:eastAsia="Georgia" w:hAnsi="Georgia"/>
          <w:b w:val="0"/>
          <w:bCs w:val="0"/>
          <w:i w:val="0"/>
          <w:iCs w:val="0"/>
          <w:color w:val="000000"/>
          <w:sz w:val="22"/>
          <w:szCs w:val="22"/>
          <w:rtl w:val="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unsafe conditions for water consumption for November and December. In addition, lead levels were within safe limits, while mercury levels in soil exceeded recommended guidelines, raising further concerns about environmental health.</w:t>
      </w:r>
      <w:r>
        <w:rPr>
          <w:rtl w:val="0"/>
        </w:rPr>
      </w:r>
    </w:p>
    <w:p w:rsidR="00000000" w:rsidDel="00000000" w:rsidP="00000000" w:rsidRDefault="00000000" w:rsidRPr="00000000" w14:paraId="000002A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acute toxicity and antitussive activity of Mimosa pudica (Makahiya) ethanolic extract in ICR mice to assess its safety and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Mimosa pudica has promising antitussive properties and a wide safety margin, supporting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accessible herbal alternative for managing cough. The presence of bioactive compounds such as flavonoids and saponins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its therapeutic effects. Further studies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confirm its long-term safety, refine dosing, and better understand its mechanisms of action.</w:t>
      </w:r>
      <w:r>
        <w:rPr>
          <w:rtl w:val="0"/>
        </w:rPr>
      </w:r>
    </w:p>
    <w:p w:rsidR="00000000" w:rsidDel="00000000" w:rsidP="00000000" w:rsidRDefault="00000000" w:rsidRPr="00000000" w14:paraId="000002A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cs="Georgia" w:eastAsia="Georgia" w:hAnsi="Georgia"/>
          <w:b w:val="0"/>
          <w:bCs w:val="0"/>
          <w:i w:val="0"/>
          <w:iCs w:val="0"/>
          <w:color w:val="000000"/>
          <w:sz w:val="22"/>
          <w:szCs w:val="22"/>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antioxidant and antibacterial sources.</w:t>
      </w:r>
      <w:r>
        <w:rPr>
          <w:rtl w:val="0"/>
        </w:rPr>
      </w:r>
    </w:p>
    <w:p w:rsidR="00000000" w:rsidDel="00000000" w:rsidP="00000000" w:rsidRDefault="00000000" w:rsidRPr="00000000" w14:paraId="000002A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cs="Georgia" w:eastAsia="Georgia" w:hAnsi="Georgia"/>
          <w:b w:val="0"/>
          <w:bCs w:val="0"/>
          <w:i w:val="0"/>
          <w:iCs w:val="0"/>
          <w:color w:val="000000"/>
          <w:sz w:val="22"/>
          <w:szCs w:val="22"/>
          <w:rtl w:val="0"/>
        </w:rPr>
        <w:t>The study would (FP-Gen)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(DO),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[R]. This study is essential for getting insights into eco-brick manufacture because the workability of SUPs and UCOs as raw materials is proven. The research findings do not apply to buildings [G]. Therefore (DO), further research will (FP-Gen) aid in underlining the importance of optimizing the ingredient ratios to acquire desirable quality eco-bricks for sustainable construction applications.</w:t>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000000"/>
          <w:sz w:val="22"/>
          <w:szCs w:val="22"/>
          <w:shd w:fill="bfbfbf" w:val="clear"/>
          <w:rtl w:val="0"/>
        </w:rPr>
      </w:r>
      <w:r>
        <w:rPr>
          <w:rFonts w:ascii="Georgia" w:cs="Georgia" w:eastAsia="Georgia" w:hAnsi="Georgia"/>
          <w:b w:val="1"/>
          <w:bCs w:val="1"/>
          <w:i w:val="0"/>
          <w:iCs w:val="0"/>
          <w:color w:val="00000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000000"/>
          <w:sz w:val="22"/>
          <w:szCs w:val="22"/>
          <w:shd w:fill="bfbfbf" w:val="clear"/>
          <w:rtl w:val="0"/>
        </w:rPr>
      </w:r>
      <w:r>
        <w:rPr>
          <w:rFonts w:ascii="Georgia" w:cs="Georgia" w:eastAsia="Georgia" w:hAnsi="Georgia"/>
          <w:b w:val="1"/>
          <w:bCs w:val="1"/>
          <w:i w:val="0"/>
          <w:iCs w:val="0"/>
          <w:color w:val="00000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AE">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generally</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w:t>
      </w:r>
      <w:r>
        <w:rPr>
          <w:rFonts w:ascii="Georgia" w:hAnsi="Georgia" w:cs="Georgia" w:eastAsia="Georgia"/>
          <w:color w:val="00B0F0"/>
        </w:rPr>
        <w:t>(DO)</w:t>
      </w:r>
      <w:r>
        <w:rPr>
          <w:rFonts w:ascii="Georgia" w:cs="Georgia" w:eastAsia="Georgia" w:hAnsi="Georgia"/>
          <w:b w:val="0"/>
          <w:bCs w:val="0"/>
          <w:i w:val="0"/>
          <w:iCs w:val="0"/>
          <w:color w:val="000000"/>
          <w:sz w:val="22"/>
          <w:szCs w:val="22"/>
          <w:rtl w:val="0"/>
        </w:rPr>
        <w:t xml:space="preserve">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cs="Georgia" w:eastAsia="Georgia" w:hAnsi="Georgia"/>
          <w:b w:val="1"/>
          <w:bCs w:val="1"/>
          <w:strike w:val="0"/>
          <w:color w:val="ffffff"/>
          <w:sz w:val="22"/>
          <w:szCs w:val="22"/>
          <w:highlight w:val="red"/>
          <w:rtl w:val="0"/>
        </w:rPr>
        <w:t xml:space="preserve">inferring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such observation was induced by the Z. talanai-infused nanozeolite pellet suspension.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biosynthesis of Z. talanai-infused nanozeolite pellets is feasible and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affect the overall development of D. rerio embryos.</w:t>
      </w:r>
      <w:r>
        <w:rPr>
          <w:rtl w:val="0"/>
        </w:rPr>
      </w:r>
    </w:p>
    <w:p w:rsidR="00000000" w:rsidDel="00000000" w:rsidP="00000000" w:rsidRDefault="00000000" w:rsidRPr="00000000" w14:paraId="000002B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cs="Georgia" w:eastAsia="Georgia" w:hAnsi="Georgia"/>
          <w:b w:val="0"/>
          <w:bCs w:val="0"/>
          <w:i w:val="0"/>
          <w:iCs w:val="0"/>
          <w:color w:val="000000"/>
          <w:sz w:val="22"/>
          <w:szCs w:val="22"/>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control bacterial infections caused by multi-drug resistant pathogens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considered.</w:t>
      </w:r>
      <w:r>
        <w:rPr>
          <w:rtl w:val="0"/>
        </w:rPr>
      </w:r>
    </w:p>
    <w:p w:rsidR="00000000" w:rsidDel="00000000" w:rsidP="00000000" w:rsidRDefault="00000000" w:rsidRPr="00000000" w14:paraId="000002B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cs="Georgia" w:eastAsia="Georgia" w:hAnsi="Georgia"/>
          <w:b w:val="0"/>
          <w:bCs w:val="0"/>
          <w:i w:val="0"/>
          <w:iCs w:val="0"/>
          <w:color w:val="000000"/>
          <w:sz w:val="22"/>
          <w:szCs w:val="22"/>
          <w:rtl w:val="0"/>
        </w:rPr>
        <w:t xml:space="preserve">This study aimed to identify the histoprotective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cs="Georgia" w:eastAsia="Georgia" w:hAnsi="Georgia"/>
          <w:b w:val="1"/>
          <w:bCs w:val="1"/>
          <w:strike w:val="0"/>
          <w:color w:val="000000"/>
          <w:sz w:val="22"/>
          <w:szCs w:val="22"/>
          <w:shd w:fill="bfbfbf" w:val="clear"/>
          <w:rtl w:val="0"/>
        </w:rPr>
        <w:t xml:space="preserve">All mice treated with pure leaf extract of Z. talanai, monosodium glutamate, distilled water and L-Taurine showed a significant effect (lesions / aberrations) to the cytoarchitecture of liver and kidney</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cs="Georgia" w:eastAsia="Georgia" w:hAnsi="Georgia"/>
          <w:b w:val="1"/>
          <w:bCs w:val="1"/>
          <w:strike w:val="0"/>
          <w:color w:val="000000"/>
          <w:sz w:val="22"/>
          <w:szCs w:val="22"/>
          <w:shd w:fill="bfbfbf" w:val="clear"/>
          <w:rtl w:val="0"/>
        </w:rPr>
        <w:t xml:space="preserve">pure MSG and pure ethanolic leaf extract of Z. talanai caused the lesions / aberrations to the liver and kidney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Pr>
          <w:rtl w:val="0"/>
        </w:rPr>
      </w:r>
    </w:p>
    <w:p w:rsidR="00000000" w:rsidDel="00000000" w:rsidP="00000000" w:rsidRDefault="00000000" w:rsidRPr="00000000" w14:paraId="000002B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cs="Georgia" w:eastAsia="Georgia" w:hAnsi="Georgia"/>
          <w:b w:val="0"/>
          <w:bCs w:val="0"/>
          <w:i w:val="0"/>
          <w:iCs w:val="0"/>
          <w:color w:val="000000"/>
          <w:sz w:val="22"/>
          <w:szCs w:val="22"/>
          <w:rtl w:val="0"/>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(DO), the researcher provided a policy proposal to focus on issues that needed to be addressed in the community. In terms of practices, proper waste management should (FP-Rec) be established to avoid the high danger of heavy metal contamination. Certain local habits, such as waste dumping and other communal activities, may (EC) contribute to the spread of heavy metals. As a result, some community or local government-adopted measures are proposed (FP-Gen). These precautions are intended to prevent heavy metal contamination, particularly in the river system and the aquatic life in the area.</w:t>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000000"/>
          <w:sz w:val="22"/>
          <w:szCs w:val="22"/>
          <w:shd w:fill="00b0f0" w:val="clear"/>
          <w:rtl w:val="0"/>
        </w:rPr>
      </w:r>
      <w:r>
        <w:rPr>
          <w:rFonts w:ascii="Georgia" w:cs="Georgia" w:eastAsia="Georgia" w:hAnsi="Georgia"/>
          <w:b w:val="1"/>
          <w:bCs w:val="1"/>
          <w:i w:val="0"/>
          <w:iCs w:val="0"/>
          <w:color w:val="ed7d31"/>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B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cs="Georgia" w:eastAsia="Georgia" w:hAnsi="Georgia"/>
          <w:b w:val="0"/>
          <w:bCs w:val="0"/>
          <w:i w:val="0"/>
          <w:iCs w:val="0"/>
          <w:color w:val="000000"/>
          <w:sz w:val="22"/>
          <w:szCs w:val="22"/>
          <w:rtl w:val="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aimed to investigate the presence of potential (EC)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[R].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provides a comprehensive approach for diagnosing and studying mycobacteriosis in cultivated milkfish [G], offering insights that can (FP-Cap) guide effective management strategies to control the spread of this disease in aquaculture system.</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cs="Georgia" w:eastAsia="Georgia" w:hAnsi="Georgia"/>
          <w:b w:val="0"/>
          <w:bCs w:val="0"/>
          <w:i w:val="0"/>
          <w:iCs w:val="0"/>
          <w:color w:val="000000"/>
          <w:sz w:val="22"/>
          <w:szCs w:val="22"/>
          <w:rtl w:val="0"/>
        </w:rPr>
        <w:t xml:space="preserve">Antimicrobial resistance is a major threat to public health worldwide, making infections difficult to treat. This problem calls for developing novel and alternative strategies to attenuate microorganisms without inducing resistance.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lactic acid bacteria (LAB) have emerged as a focal point due to their potential (EC) quorum quenching (QQ) activities. In this study, lactic acid bacteria were obtained from a parallel study, and the antimicrobial activity of the top 10 isolates was evaluated through spectrophotometric and turbidimetric analyses for the initial screening of gut isolates. Nine out of ten isolates exhibit quorum quenching activities by inhibiting the swarming motility of Pseudomonas aeruginosa [R].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 [R].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cs="Georgia" w:eastAsia="Georgia" w:hAnsi="Georgia"/>
          <w:b w:val="0"/>
          <w:bCs w:val="0"/>
          <w:i w:val="0"/>
          <w:iCs w:val="0"/>
          <w:color w:val="000000"/>
          <w:sz w:val="22"/>
          <w:szCs w:val="22"/>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its antibacterial property is dose dependent.</w:t>
      </w:r>
      <w:r>
        <w:rPr>
          <w:rtl w:val="0"/>
        </w:rPr>
      </w:r>
    </w:p>
    <w:p w:rsidR="00000000" w:rsidDel="00000000" w:rsidP="00000000" w:rsidRDefault="00000000" w:rsidRPr="00000000" w14:paraId="000002BD">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cs="Georgia" w:eastAsia="Georgia" w:hAnsi="Georgia"/>
          <w:b w:val="0"/>
          <w:bCs w:val="0"/>
          <w:i w:val="0"/>
          <w:iCs w:val="0"/>
          <w:color w:val="000000"/>
          <w:sz w:val="22"/>
          <w:szCs w:val="22"/>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All experiments were performed in triplicate and were presented as mean + SD. Statistical analysis performed using One-way, Univariate ANOVA, and Tukey’s HSD Multiple Comparison Test. The findings of this study showed and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extraction efficiency favors the highly polar solvents than the non-polar solvents in determining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E. indica against Colletotrichum spp.. The findings of this study attested that this specific type of grass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used as biofungicide agent.</w:t>
      </w:r>
      <w:r>
        <w:rPr>
          <w:rtl w:val="0"/>
        </w:rPr>
      </w:r>
    </w:p>
    <w:p w:rsidR="00000000" w:rsidDel="00000000" w:rsidP="00000000" w:rsidRDefault="00000000" w:rsidRPr="00000000" w14:paraId="000002BF">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cs="Georgia" w:eastAsia="Georgia" w:hAnsi="Georgia"/>
          <w:b w:val="0"/>
          <w:bCs w:val="0"/>
          <w:i w:val="0"/>
          <w:iCs w:val="0"/>
          <w:color w:val="000000"/>
          <w:sz w:val="22"/>
          <w:szCs w:val="22"/>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variations in thermal stability among the different plate materials.</w:t>
      </w:r>
      <w:r>
        <w:rPr>
          <w:rtl w:val="0"/>
        </w:rPr>
      </w:r>
    </w:p>
    <w:p w:rsidR="00000000" w:rsidDel="00000000" w:rsidP="00000000" w:rsidRDefault="00000000" w:rsidRPr="00000000" w14:paraId="000002C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cs="Georgia" w:eastAsia="Georgia" w:hAnsi="Georgia"/>
          <w:b w:val="0"/>
          <w:bCs w:val="0"/>
          <w:i w:val="0"/>
          <w:iCs w:val="0"/>
          <w:color w:val="000000"/>
          <w:sz w:val="22"/>
          <w:szCs w:val="22"/>
          <w:rtl w:val="0"/>
        </w:rPr>
        <w:t xml:space="preserve">Methicillin-resistant Staphylococcus aureus (MRSA) is a common and potentially (EC) severe pathogen that has developed resistance to several types of antibiotics. MRSA bacteria can (FP-Cap) survive long on surfaces and objects, including second-hand clothing (SHC). The increasing popularity of SHC or “ukay-ukay” in the Philippines, coupled with potential (EC) public health concerns associated with transmitting pathogenic bacteria, emphasized this research’s need.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potential (EC) public health risks associated with the handling and purchasing of second-hand clothing. This study, therefore </w:t>
      </w:r>
      <w:r>
        <w:rPr>
          <w:rFonts w:ascii="Georgia" w:hAnsi="Georgia" w:cs="Georgia" w:eastAsia="Georgia"/>
          <w:color w:val="00B0F0"/>
        </w:rPr>
        <w:t>(DO)</w:t>
      </w:r>
      <w:r>
        <w:rPr>
          <w:rFonts w:ascii="Georgia" w:cs="Georgia" w:eastAsia="Georgia" w:hAnsi="Georgia"/>
          <w:b w:val="0"/>
          <w:bCs w:val="0"/>
          <w:i w:val="0"/>
          <w:iCs w:val="0"/>
          <w:color w:val="000000"/>
          <w:sz w:val="22"/>
          <w:szCs w:val="22"/>
          <w:rtl w:val="0"/>
        </w:rPr>
        <w:t xml:space="preserve">, underscores the need for proper precautions to mitigate the spread of potentially (EC) harmful bacteria, including MRSA, on second-hand clothing. It highlights the importance of raising awareness among both vendors and consumers about the potential (EC) health risks associated with these garments.</w:t>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C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cs="Georgia" w:eastAsia="Georgia" w:hAnsi="Georgia"/>
          <w:b w:val="0"/>
          <w:bCs w:val="0"/>
          <w:i w:val="0"/>
          <w:iCs w:val="0"/>
          <w:color w:val="000000"/>
          <w:sz w:val="22"/>
          <w:szCs w:val="22"/>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by the reduction of DPPH radicals. The TLC-MTT overlay assay showed that the extract exhibits antibacterial activity against S. aureus but was ineffective against E. coli,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selective antibacterial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The findings indicate that P. propinquum fruit ethanolic extract contains bioactive compounds with antioxidant and selective antibacterial properties. Further studies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focus on the isolation and characterization of its active compounds, their mechanisms of action, and their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pharmaceutical applications.</w:t>
      </w:r>
      <w:r>
        <w:rPr>
          <w:rtl w:val="0"/>
        </w:rPr>
      </w:r>
    </w:p>
    <w:p w:rsidR="00000000" w:rsidDel="00000000" w:rsidP="00000000" w:rsidRDefault="00000000" w:rsidRPr="00000000" w14:paraId="000002C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Pr>
          <w:rtl w:val="0"/>
        </w:rPr>
      </w:r>
    </w:p>
    <w:p w:rsidR="00000000" w:rsidDel="00000000" w:rsidP="00000000" w:rsidRDefault="00000000" w:rsidRPr="00000000" w14:paraId="000002C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cs="Georgia" w:eastAsia="Georgia" w:hAnsi="Georgia"/>
          <w:b w:val="0"/>
          <w:bCs w:val="0"/>
          <w:i w:val="0"/>
          <w:iCs w:val="0"/>
          <w:color w:val="000000"/>
          <w:sz w:val="22"/>
          <w:szCs w:val="22"/>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sustainable planning and management approaches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local government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address the </w:t>
      </w:r>
      <w:r>
        <w:rPr>
          <w:rFonts w:ascii="Georgia" w:cs="Georgia" w:eastAsia="Georgia" w:hAnsi="Georgia"/>
          <w:b w:val="1"/>
          <w:bCs w:val="1"/>
          <w:strike w:val="0"/>
          <w:color w:val="ffffff"/>
          <w:sz w:val="22"/>
          <w:szCs w:val="22"/>
          <w:highlight w:val="red"/>
          <w:rtl w:val="0"/>
        </w:rPr>
        <w:t xml:space="preserve">possible</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negative impacts of tourism activities and manage the carrying capacity for sustainable tourism.</w:t>
      </w:r>
      <w:r>
        <w:rPr>
          <w:rtl w:val="0"/>
        </w:rPr>
      </w:r>
    </w:p>
    <w:p w:rsidR="00000000" w:rsidDel="00000000" w:rsidP="00000000" w:rsidRDefault="00000000" w:rsidRPr="00000000" w14:paraId="000002C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cs="Georgia" w:eastAsia="Georgia" w:hAnsi="Georgia"/>
          <w:b w:val="0"/>
          <w:bCs w:val="0"/>
          <w:i w:val="0"/>
          <w:iCs w:val="0"/>
          <w:color w:val="000000"/>
          <w:sz w:val="22"/>
          <w:szCs w:val="22"/>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aims to examine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study aimed to investigate the antagonistic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among the four isolates. The results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fungus had a similar impact on the growth of all four test variables.</w:t>
      </w:r>
      <w:r>
        <w:rPr>
          <w:rtl w:val="0"/>
        </w:rPr>
      </w:r>
    </w:p>
    <w:p w:rsidR="00000000" w:rsidDel="00000000" w:rsidP="00000000" w:rsidRDefault="00000000" w:rsidRPr="00000000" w14:paraId="000002CB">
      <w:pPr>
        <w:spacing w:before="0" w:after="0" w:line="480" w:lineRule="auto"/>
        <w:jc w:val="center"/>
        <w:rPr/>
      </w:pPr>
      <w:r>
        <w:rPr>
          <w:rFonts w:ascii="Georgia" w:cs="Georgia" w:eastAsia="Georgia" w:hAnsi="Georgia"/>
          <w:b w:val="1"/>
          <w:bCs w:val="1"/>
          <w:i w:val="0"/>
          <w:iCs w:val="0"/>
          <w:sz w:val="24"/>
          <w:szCs w:val="24"/>
          <w:rtl w:val="0"/>
        </w:rPr>
        <w:t xml:space="preserve">Veterinary Medicine (VM1–VM20)</w:t>
      </w:r>
      <w:r>
        <w:rPr>
          <w:rtl w:val="0"/>
        </w:rPr>
      </w:r>
    </w:p>
    <w:p w:rsidR="00000000" w:rsidDel="00000000" w:rsidP="00000000" w:rsidRDefault="00000000" w:rsidRPr="00000000" w14:paraId="000002CC">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cs="Georgia" w:eastAsia="Georgia" w:hAnsi="Georgia"/>
          <w:b w:val="1"/>
          <w:bCs w:val="1"/>
          <w:strike w:val="0"/>
          <w:color w:val="000000"/>
          <w:sz w:val="22"/>
          <w:szCs w:val="22"/>
          <w:shd w:fill="bfbfbf" w:val="clear"/>
          <w:rtl w:val="0"/>
        </w:rPr>
        <w:t xml:space="preserve">T1 revealed that Zoletil® alone is not enough to fully induce Stage 3 anesthesia in zebrafish</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when sodium bicarbonate was added, Stage 3 was achieved, while using only a small amount of Zoletil®</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it was also revealed that 40 g/L of sodium bicarbonate was sufficient to induce Stage 3 anesthesia in zebrafish.</w:t>
      </w:r>
      <w:r>
        <w:rPr>
          <w:rtl w:val="0"/>
        </w:rPr>
      </w:r>
    </w:p>
    <w:p w:rsidR="00000000" w:rsidDel="00000000" w:rsidP="00000000" w:rsidRDefault="00000000" w:rsidRPr="00000000" w14:paraId="000002CE">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Pr>
          <w:rtl w:val="0"/>
        </w:rPr>
      </w:r>
    </w:p>
    <w:p w:rsidR="00000000" w:rsidDel="00000000" w:rsidP="00000000" w:rsidRDefault="00000000" w:rsidRPr="00000000" w14:paraId="000002D0">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cs="Georgia" w:eastAsia="Georgia" w:hAnsi="Georgia"/>
          <w:b w:val="1"/>
          <w:bCs w:val="1"/>
          <w:strike w:val="0"/>
          <w:color w:val="000000"/>
          <w:sz w:val="22"/>
          <w:szCs w:val="22"/>
          <w:shd w:fill="bfbfbf" w:val="clear"/>
          <w:rtl w:val="0"/>
        </w:rPr>
        <w:t xml:space="preserve">the evaluation of retail egg vendors showed a major issue of reusing the egg trays across vendors which has been strongly linked to bacterial growth on eggshells, yolks and albumen, with p-values of 0.030 and 0.014, respectively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The findings </w:t>
      </w:r>
      <w:r>
        <w:rPr>
          <w:rFonts w:ascii="Georgia" w:cs="Georgia" w:eastAsia="Georgia" w:hAnsi="Georgia"/>
          <w:b w:val="1"/>
          <w:bCs w:val="1"/>
          <w:strike w:val="1"/>
          <w:color w:val="000000"/>
          <w:sz w:val="22"/>
          <w:szCs w:val="22"/>
          <w:rtl w:val="0"/>
        </w:rPr>
        <w:t xml:space="preserve">suggests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for assessment of knowledge, attitudes and practices of retail egg vendors about food safety and regular antimicrobial resistance monitoring on retail eggs.</w:t>
      </w:r>
      <w:r>
        <w:rPr>
          <w:rtl w:val="0"/>
        </w:rPr>
      </w:r>
    </w:p>
    <w:p w:rsidR="00000000" w:rsidDel="00000000" w:rsidP="00000000" w:rsidRDefault="00000000" w:rsidRPr="00000000" w14:paraId="000002D2">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cs="Georgia" w:eastAsia="Georgia" w:hAnsi="Georgia"/>
          <w:b w:val="0"/>
          <w:bCs w:val="0"/>
          <w:i w:val="0"/>
          <w:iCs w:val="0"/>
          <w:color w:val="000000"/>
          <w:sz w:val="22"/>
          <w:szCs w:val="22"/>
          <w:rtl w:val="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cs="Georgia" w:eastAsia="Georgia" w:hAnsi="Georgia"/>
          <w:b w:val="1"/>
          <w:bCs w:val="1"/>
          <w:strike w:val="0"/>
          <w:color w:val="000000"/>
          <w:sz w:val="22"/>
          <w:szCs w:val="22"/>
          <w:shd w:fill="bfbfbf" w:val="clear"/>
          <w:rtl w:val="0"/>
        </w:rPr>
        <w:t xml:space="preserve">Results indicated that most vendors lacked formal training in milk-handling (100 %) did not use refrigeration, new bottles, or any preservation methods (100%)</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cs="Georgia" w:eastAsia="Georgia" w:hAnsi="Georgia"/>
          <w:b w:val="1"/>
          <w:bCs w:val="1"/>
          <w:strike w:val="1"/>
          <w:color w:val="000000"/>
          <w:sz w:val="22"/>
          <w:szCs w:val="22"/>
          <w:rtl w:val="0"/>
        </w:rPr>
        <w:t xml:space="preserve">suggest</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to improve training, regulation of milk storage, and the enforcement of labeling and sanitation standards to improve public health safety in the milk supply chain.</w:t>
      </w:r>
      <w:r>
        <w:rPr>
          <w:rtl w:val="0"/>
        </w:rPr>
      </w:r>
    </w:p>
    <w:p w:rsidR="00000000" w:rsidDel="00000000" w:rsidP="00000000" w:rsidRDefault="00000000" w:rsidRPr="00000000" w14:paraId="000002D4">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cs="Georgia" w:eastAsia="Georgia" w:hAnsi="Georgia"/>
          <w:b w:val="0"/>
          <w:bCs w:val="0"/>
          <w:i w:val="0"/>
          <w:iCs w:val="0"/>
          <w:color w:val="000000"/>
          <w:sz w:val="22"/>
          <w:szCs w:val="22"/>
          <w:rtl w:val="0"/>
        </w:rPr>
        <w:t xml:space="preserve">The prevalence of dermatophytosis and emerging drug resistance underscores the need for alternative therapeutic approaches, leading to a focus on medicinal plants. This study explores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M. calabura L. as a source of antifungal agents, warranting further investigation into its therapeutic applications and formulation for dermatophytosis management.</w:t>
      </w:r>
      <w:r>
        <w:rPr>
          <w:rtl w:val="0"/>
        </w:rPr>
      </w:r>
    </w:p>
    <w:p w:rsidR="00000000" w:rsidDel="00000000" w:rsidP="00000000" w:rsidRDefault="00000000" w:rsidRPr="00000000" w14:paraId="000002D6">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cs="Georgia" w:eastAsia="Georgia" w:hAnsi="Georgia"/>
          <w:b w:val="1"/>
          <w:bCs w:val="1"/>
          <w:strike w:val="0"/>
          <w:color w:val="000000"/>
          <w:sz w:val="22"/>
          <w:szCs w:val="22"/>
          <w:shd w:fill="bfbfbf" w:val="clear"/>
          <w:rtl w:val="0"/>
        </w:rPr>
        <w:t xml:space="preserve">mean values for sodium between male and female NZW rabbits were found to be statistically different (p&lt;0.05)</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D8">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cs="Georgia" w:eastAsia="Georgia" w:hAnsi="Georgia"/>
          <w:b w:val="0"/>
          <w:bCs w:val="0"/>
          <w:i w:val="0"/>
          <w:iCs w:val="0"/>
          <w:color w:val="000000"/>
          <w:sz w:val="22"/>
          <w:szCs w:val="22"/>
          <w:rtl w:val="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no significant association between clinical signs and heartworm infection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collectively contribute to the effective management and prevention of heartworm disease in the local canine population. Further research with larger sample sizes and diverse populations is </w:t>
      </w:r>
      <w:r>
        <w:rPr>
          <w:rFonts w:ascii="Georgia" w:cs="Georgia" w:eastAsia="Georgia" w:hAnsi="Georgia"/>
          <w:b w:val="1"/>
          <w:bCs w:val="1"/>
          <w:strike w:val="1"/>
          <w:color w:val="000000"/>
          <w:sz w:val="22"/>
          <w:szCs w:val="22"/>
          <w:rtl w:val="0"/>
        </w:rPr>
        <w:t xml:space="preserve">needed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validate these findings and enhance our understanding of heartworm infection in the study area.</w:t>
      </w:r>
      <w:r>
        <w:rPr>
          <w:rtl w:val="0"/>
        </w:rPr>
      </w:r>
    </w:p>
    <w:p w:rsidR="00000000" w:rsidDel="00000000" w:rsidP="00000000" w:rsidRDefault="00000000" w:rsidRPr="00000000" w14:paraId="000002DA">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both plant extracts as natural anthelmintics, with tamarind showing superior efficacy. The study supports the development of plant-based alternatives for the sustainable control of fasciolosis in livestock.</w:t>
      </w:r>
      <w:r>
        <w:rPr>
          <w:rtl w:val="0"/>
        </w:rPr>
      </w:r>
    </w:p>
    <w:p w:rsidR="00000000" w:rsidDel="00000000" w:rsidP="00000000" w:rsidRDefault="00000000" w:rsidRPr="00000000" w14:paraId="000002DC">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cs="Georgia" w:eastAsia="Georgia" w:hAnsi="Georgia"/>
          <w:b w:val="0"/>
          <w:bCs w:val="0"/>
          <w:i w:val="0"/>
          <w:iCs w:val="0"/>
          <w:color w:val="000000"/>
          <w:sz w:val="22"/>
          <w:szCs w:val="22"/>
          <w:rtl w:val="0"/>
        </w:rPr>
        <w:t xml:space="preserve">Plastic pollution has been a long-standing environmental concern due to improper waste management. Its persistence in marine environments, particularly in the form of microplastics, posed potential (EC)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[R]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recommend (FP-Rec) removing the shrimp’s GIT during preparation to avoid ingestion, use fishing gear made from durable or natural materials, regularly maintain and replace worn equipment, and properly dispose of plastics instead of discarding them into water bodies.</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DF">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cs="Georgia" w:eastAsia="Georgia" w:hAnsi="Georgia"/>
          <w:b w:val="1"/>
          <w:bCs w:val="1"/>
          <w:strike w:val="0"/>
          <w:color w:val="000000"/>
          <w:sz w:val="22"/>
          <w:szCs w:val="22"/>
          <w:shd w:fill="bfbfbf" w:val="clear"/>
          <w:rtl w:val="0"/>
        </w:rPr>
        <w:t xml:space="preserve">In general, lung samples were sensitive to all antibiotics except amoxicillin-clavulanic acid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cs="Georgia" w:eastAsia="Georgia" w:hAnsi="Georgia"/>
          <w:b w:val="1"/>
          <w:bCs w:val="1"/>
          <w:strike w:val="0"/>
          <w:color w:val="000000"/>
          <w:sz w:val="22"/>
          <w:szCs w:val="22"/>
          <w:shd w:fill="bfbfbf" w:val="clear"/>
          <w:rtl w:val="0"/>
        </w:rPr>
        <w:t xml:space="preserve">the data showed that lung and chick samples exhibited marked resistance</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Pr>
          <w:rtl w:val="0"/>
        </w:rPr>
      </w:r>
    </w:p>
    <w:p w:rsidR="00000000" w:rsidDel="00000000" w:rsidP="00000000" w:rsidRDefault="00000000" w:rsidRPr="00000000" w14:paraId="000002E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cs="Georgia" w:eastAsia="Georgia" w:hAnsi="Georgia"/>
          <w:b w:val="1"/>
          <w:bCs w:val="1"/>
          <w:strike w:val="1"/>
          <w:color w:val="000000"/>
          <w:sz w:val="22"/>
          <w:szCs w:val="22"/>
          <w:rtl w:val="0"/>
        </w:rPr>
        <w:t xml:space="preserve">possibility</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Pr>
          <w:rtl w:val="0"/>
        </w:rPr>
      </w:r>
    </w:p>
    <w:p w:rsidR="00000000" w:rsidDel="00000000" w:rsidP="00000000" w:rsidRDefault="00000000" w:rsidRPr="00000000" w14:paraId="000002E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cs="Georgia" w:eastAsia="Georgia" w:hAnsi="Georgia"/>
          <w:b w:val="0"/>
          <w:bCs w:val="0"/>
          <w:i w:val="0"/>
          <w:iCs w:val="0"/>
          <w:color w:val="000000"/>
          <w:sz w:val="22"/>
          <w:szCs w:val="22"/>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effective in preventing, controlling, and managing the spread of ASF, but it is not conclusive that ASF is not present in the municipality of [REDACTED]. Nevertheless,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Pr>
          <w:rtl w:val="0"/>
        </w:rPr>
      </w:r>
    </w:p>
    <w:p w:rsidR="00000000" w:rsidDel="00000000" w:rsidP="00000000" w:rsidRDefault="00000000" w:rsidRPr="00000000" w14:paraId="000002E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cs="Georgia" w:eastAsia="Georgia" w:hAnsi="Georgia"/>
          <w:b w:val="0"/>
          <w:bCs w:val="0"/>
          <w:i w:val="0"/>
          <w:iCs w:val="0"/>
          <w:color w:val="000000"/>
          <w:sz w:val="22"/>
          <w:szCs w:val="22"/>
          <w:rtl w:val="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 each lowered to 0.25 ml, 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[R]. There were variations in the mean antibody titer measured among samples.</w:t>
      </w:r>
      <w:r>
        <w:rPr>
          <w:rFonts w:ascii="Georgia" w:cs="Georgia" w:eastAsia="Georgia" w:hAnsi="Georgia"/>
          <w:b w:val="1"/>
          <w:bCs w:val="1"/>
          <w:strike w:val="0"/>
          <w:color w:val="000000"/>
          <w:sz w:val="22"/>
          <w:szCs w:val="22"/>
          <w:shd w:fill="bfbfbf" w:val="clear"/>
          <w:rtl w:val="0"/>
        </w:rPr>
      </w:r>
      <w:r>
        <w:rPr>
          <w:rFonts w:ascii="Georgia" w:cs="Georgia" w:eastAsia="Georgia" w:hAnsi="Georgia"/>
          <w:b w:val="1"/>
          <w:bCs w:val="1"/>
          <w:i w:val="0"/>
          <w:iCs w:val="0"/>
          <w:color w:val="00000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E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cs="Georgia" w:eastAsia="Georgia" w:hAnsi="Georgia"/>
          <w:b w:val="0"/>
          <w:bCs w:val="0"/>
          <w:i w:val="0"/>
          <w:iCs w:val="0"/>
          <w:color w:val="000000"/>
          <w:sz w:val="22"/>
          <w:szCs w:val="22"/>
          <w:rtl w:val="0"/>
        </w:rPr>
        <w:t>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 most commonly garlic. Chi-square analysis revealed significant associations between course of study, pet ownership, and source of information with awareness levels. Multiple regression analysis indicated (FP-Gen) that knowledge significantly predicted self-assessed awareness, while personal experience did not. The findings highlight critical knowledge gaps and underscore the need for targeted educational interventions using accessible media such as social platforms.</w:t>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E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cs="Georgia" w:eastAsia="Georgia" w:hAnsi="Georgia"/>
          <w:b w:val="0"/>
          <w:bCs w:val="0"/>
          <w:i w:val="0"/>
          <w:iCs w:val="0"/>
          <w:color w:val="000000"/>
          <w:sz w:val="22"/>
          <w:szCs w:val="22"/>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Pr>
          <w:rtl w:val="0"/>
        </w:rPr>
      </w:r>
    </w:p>
    <w:p w:rsidR="00000000" w:rsidDel="00000000" w:rsidP="00000000" w:rsidRDefault="00000000" w:rsidRPr="00000000" w14:paraId="000002E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cs="Georgia" w:eastAsia="Georgia" w:hAnsi="Georgia"/>
          <w:b w:val="0"/>
          <w:bCs w:val="0"/>
          <w:i w:val="0"/>
          <w:iCs w:val="0"/>
          <w:color w:val="000000"/>
          <w:sz w:val="22"/>
          <w:szCs w:val="22"/>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cs="Georgia" w:eastAsia="Georgia" w:hAnsi="Georgia"/>
          <w:b w:val="1"/>
          <w:bCs w:val="1"/>
          <w:strike w:val="0"/>
          <w:color w:val="000000"/>
          <w:sz w:val="22"/>
          <w:szCs w:val="22"/>
          <w:shd w:fill="bfbfbf" w:val="clear"/>
          <w:rtl w:val="0"/>
        </w:rPr>
        <w:t xml:space="preserve">Results revealed that Treatment 3, with 40% concentration of Noni had the highest zone of inhibition in vitro with comparable antibacterial activity as the positive control against S. aureus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cs="Georgia" w:eastAsia="Georgia" w:hAnsi="Georgia"/>
          <w:b w:val="1"/>
          <w:bCs w:val="1"/>
          <w:strike w:val="0"/>
          <w:color w:val="000000"/>
          <w:sz w:val="22"/>
          <w:szCs w:val="22"/>
          <w:shd w:fill="bfbfbf" w:val="clear"/>
          <w:rtl w:val="0"/>
        </w:rPr>
        <w:t xml:space="preserve">Noni fruit ethanolic extract with 40% concentration has antibacterial property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ED">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cs="Georgia" w:eastAsia="Georgia" w:hAnsi="Georgia"/>
          <w:b w:val="0"/>
          <w:bCs w:val="0"/>
          <w:i w:val="0"/>
          <w:iCs w:val="0"/>
          <w:color w:val="000000"/>
          <w:sz w:val="22"/>
          <w:szCs w:val="22"/>
          <w:rtl w:val="0"/>
        </w:rPr>
        <w:t>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potential (EC) of butterfly pea flower aqueous extract in improving the survival of zebrafish at its larval stage.</w:t>
      </w:r>
      <w:r>
        <w:rPr>
          <w:rFonts w:ascii="Georgia" w:cs="Georgia" w:eastAsia="Georgia" w:hAnsi="Georgia"/>
          <w:b w:val="1"/>
          <w:bCs w:val="1"/>
          <w:strike w:val="0"/>
          <w:color w:val="ffffff"/>
          <w:sz w:val="22"/>
          <w:szCs w:val="22"/>
          <w:highlight w:val="red"/>
          <w:rtl w:val="0"/>
        </w:rPr>
      </w:r>
      <w:r>
        <w:rPr>
          <w:rFonts w:ascii="Georgia" w:cs="Georgia" w:eastAsia="Georgia" w:hAnsi="Georgia"/>
          <w:b w:val="1"/>
          <w:bCs w:val="1"/>
          <w:i w:val="0"/>
          <w:iCs w:val="0"/>
          <w:color w:val="ed7d31"/>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EF">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cs="Georgia" w:eastAsia="Georgia" w:hAnsi="Georgia"/>
          <w:b w:val="0"/>
          <w:bCs w:val="0"/>
          <w:i w:val="0"/>
          <w:iCs w:val="0"/>
          <w:color w:val="000000"/>
          <w:sz w:val="22"/>
          <w:szCs w:val="22"/>
          <w:rtl w:val="0"/>
        </w:rPr>
        <w:t xml:space="preserve">Zoonotic diseases are a significant public health concern, particularly those that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cs="Georgia" w:eastAsia="Georgia" w:hAnsi="Georgia"/>
          <w:b w:val="1"/>
          <w:bCs w:val="1"/>
          <w:strike w:val="0"/>
          <w:color w:val="000000"/>
          <w:sz w:val="22"/>
          <w:szCs w:val="22"/>
          <w:shd w:fill="bfbfbf" w:val="clear"/>
          <w:rtl w:val="0"/>
        </w:rPr>
        <w:t xml:space="preserve">Participants exhibited an overall moderate level of awareness (mean=3.30) on canine zoonotic diseases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cs="Georgia" w:eastAsia="Georgia" w:hAnsi="Georgia"/>
          <w:b w:val="1"/>
          <w:bCs w:val="1"/>
          <w:strike w:val="0"/>
          <w:color w:val="000000"/>
          <w:sz w:val="22"/>
          <w:szCs w:val="22"/>
          <w:shd w:fill="bfbfbf" w:val="clear"/>
          <w:rtl w:val="0"/>
        </w:rPr>
        <w:t xml:space="preserve">significant associations (p&lt;0.05) were found between awareness on zoonotic diseases and sociodemographic factors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such as educational attainment (p-value=0.000), monthly income (p-value=0.007), and years of dog ownership (p-value=0.001).</w:t>
      </w:r>
      <w:r>
        <w:rPr>
          <w:rtl w:val="0"/>
        </w:rPr>
      </w:r>
    </w:p>
    <w:p w:rsidR="00000000" w:rsidDel="00000000" w:rsidP="00000000" w:rsidRDefault="00000000" w:rsidRPr="00000000" w14:paraId="000002F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cs="Georgia" w:eastAsia="Georgia" w:hAnsi="Georgia"/>
          <w:b w:val="0"/>
          <w:bCs w:val="0"/>
          <w:i w:val="0"/>
          <w:iCs w:val="0"/>
          <w:color w:val="000000"/>
          <w:sz w:val="22"/>
          <w:szCs w:val="22"/>
          <w:rtl w:val="0"/>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Pr>
          <w:rtl w:val="0"/>
        </w:rPr>
      </w:r>
    </w:p>
    <w:p w:rsidR="00000000" w:rsidDel="00000000" w:rsidP="00000000" w:rsidRDefault="00000000" w:rsidRPr="00000000" w14:paraId="000002F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cs="Georgia" w:eastAsia="Georgia" w:hAnsi="Georgia"/>
          <w:b w:val="1"/>
          <w:bCs w:val="1"/>
          <w:strike w:val="0"/>
          <w:color w:val="000000"/>
          <w:sz w:val="22"/>
          <w:szCs w:val="22"/>
          <w:shd w:fill="bfbfbf" w:val="clear"/>
          <w:rtl w:val="0"/>
        </w:rPr>
        <w:t xml:space="preserve">The results indicated that most respondents demonstrated high knowledge about rabies (69.3%), particularly regarding transmission and prevention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cs="Georgia" w:eastAsia="Georgia" w:hAnsi="Georgia"/>
          <w:b w:val="1"/>
          <w:bCs w:val="1"/>
          <w:strike w:val="0"/>
          <w:color w:val="000000"/>
          <w:sz w:val="22"/>
          <w:szCs w:val="22"/>
          <w:shd w:fill="bfbfbf" w:val="clear"/>
          <w:rtl w:val="0"/>
        </w:rPr>
        <w:t xml:space="preserve">Multiple linear regression analysis confirmed interrelationships among KAP dimensions, revealing that higher knowledge scores significantly predicted better preventive behaviors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mitigate rabies transmission risks. These insights align with broader efforts toward rabies elimination in the Philippines by 2030, emphasizing the importance of addressing localized KAP gaps through evidence-based interventions.</w:t>
      </w:r>
      <w:r>
        <w:rPr>
          <w:rtl w:val="0"/>
        </w:rPr>
      </w:r>
    </w:p>
    <w:p w:rsidR="00000000" w:rsidDel="00000000" w:rsidP="00000000" w:rsidRDefault="00000000" w:rsidRPr="00000000" w14:paraId="000002F7">
      <w:pPr>
        <w:spacing w:before="0" w:after="0" w:line="480" w:lineRule="auto"/>
        <w:jc w:val="center"/>
        <w:rPr/>
      </w:pPr>
      <w:r>
        <w:rPr>
          <w:rFonts w:ascii="Georgia" w:cs="Georgia" w:eastAsia="Georgia" w:hAnsi="Georgia"/>
          <w:b w:val="1"/>
          <w:bCs w:val="1"/>
          <w:i w:val="0"/>
          <w:iCs w:val="0"/>
          <w:sz w:val="24"/>
          <w:szCs w:val="24"/>
          <w:rtl w:val="0"/>
        </w:rPr>
        <w:t xml:space="preserve">Agriculture, Crop Science (Acs1–Acs10)</w:t>
      </w:r>
      <w:r>
        <w:rPr>
          <w:rtl w:val="0"/>
        </w:rPr>
      </w:r>
    </w:p>
    <w:p w:rsidR="00000000" w:rsidDel="00000000" w:rsidP="00000000" w:rsidRDefault="00000000" w:rsidRPr="00000000" w14:paraId="000002F8">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cs="Georgia" w:eastAsia="Georgia" w:hAnsi="Georgia"/>
          <w:b w:val="0"/>
          <w:bCs w:val="0"/>
          <w:i w:val="0"/>
          <w:iCs w:val="0"/>
          <w:color w:val="000000"/>
          <w:sz w:val="22"/>
          <w:szCs w:val="22"/>
          <w:rtl w:val="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banana peel, when applied at an optimal rate in combination with reduced synthetic fertilizer input,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significantly enhance the growth and yield performance of finger pepper, offering a sustainable alternative for crop production.</w:t>
      </w:r>
      <w:r>
        <w:rPr>
          <w:rtl w:val="0"/>
        </w:rPr>
      </w:r>
    </w:p>
    <w:p w:rsidR="00000000" w:rsidDel="00000000" w:rsidP="00000000" w:rsidRDefault="00000000" w:rsidRPr="00000000" w14:paraId="000002FA">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cs="Georgia" w:eastAsia="Georgia" w:hAnsi="Georgia"/>
          <w:b w:val="0"/>
          <w:bCs w:val="0"/>
          <w:i w:val="0"/>
          <w:iCs w:val="0"/>
          <w:color w:val="000000"/>
          <w:sz w:val="22"/>
          <w:szCs w:val="22"/>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statistical significance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observed, the mycorrhiza treatment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still offer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the differences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significant in the study, the researchers believe that mycorrhiza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provide beneficial effects in practical agricultural contexts. The study concluded that the application of mycorrhiza positive impact on mung beans during drought and root development highlights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for plant growth. Further research </w:t>
      </w:r>
      <w:r>
        <w:rPr>
          <w:rFonts w:ascii="Georgia" w:cs="Georgia" w:eastAsia="Georgia" w:hAnsi="Georgia"/>
          <w:b w:val="1"/>
          <w:bCs w:val="1"/>
          <w:strike w:val="1"/>
          <w:color w:val="000000"/>
          <w:sz w:val="22"/>
          <w:szCs w:val="22"/>
          <w:rtl w:val="0"/>
        </w:rPr>
        <w:t xml:space="preserve">could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unveil additional insights and applications for optimizing plant health.</w:t>
      </w:r>
      <w:r>
        <w:rPr>
          <w:rtl w:val="0"/>
        </w:rPr>
      </w:r>
    </w:p>
    <w:p w:rsidR="00000000" w:rsidDel="00000000" w:rsidP="00000000" w:rsidRDefault="00000000" w:rsidRPr="00000000" w14:paraId="000002FC">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survive the water treatment application but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establish roots and die after several days. However,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derived that the application of different alternative rooting hormones has a comparable effect with synthetic rooting hormones based on the growth parameters.</w:t>
      </w:r>
      <w:r>
        <w:rPr>
          <w:rtl w:val="0"/>
        </w:rPr>
      </w:r>
    </w:p>
    <w:p w:rsidR="00000000" w:rsidDel="00000000" w:rsidP="00000000" w:rsidRDefault="00000000" w:rsidRPr="00000000" w14:paraId="000002FE">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application of seaweed extract as a bio stimulant did not significantly enhance the growth and yield of sweet potato. However, the negative control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reduce production cost and provide the highest return on investment.</w:t>
      </w:r>
      <w:r>
        <w:rPr>
          <w:rtl w:val="0"/>
        </w:rPr>
      </w:r>
    </w:p>
    <w:p w:rsidR="00000000" w:rsidDel="00000000" w:rsidP="00000000" w:rsidRDefault="00000000" w:rsidRPr="00000000" w14:paraId="00000301">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Trichoderma and fermented azolla at proper application frequencies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beneficial in enhancing cultivation, promoting both plant growth and economic returns.</w:t>
      </w:r>
      <w:r>
        <w:rPr>
          <w:rtl w:val="0"/>
        </w:rPr>
      </w:r>
    </w:p>
    <w:p w:rsidR="00000000" w:rsidDel="00000000" w:rsidP="00000000" w:rsidRDefault="00000000" w:rsidRPr="00000000" w14:paraId="00000303">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cs="Georgia" w:eastAsia="Georgia" w:hAnsi="Georgia"/>
          <w:b w:val="0"/>
          <w:bCs w:val="0"/>
          <w:i w:val="0"/>
          <w:iCs w:val="0"/>
          <w:color w:val="000000"/>
          <w:sz w:val="22"/>
          <w:szCs w:val="22"/>
          <w:rtl w:val="0"/>
        </w:rPr>
        <w:t>This study was conducted to evaluate the growth performance of Adansonii plant under different soil media over a 90-day period. Implemented in December 2024, the experiment followed a Completely Randomized Design (CRD) with five treatments: T1, Topsoil only (control), T2, Topsoil + Rice Hull, T3, Topsoil + Carbonized Rice Hull, T4, Topsoil + Vermicompost, and T5: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indicating (FP-Gen)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(DO), the use of rice hull and vermicompost significantly enhanced the growth and survival of Adansonii. These findings highlight their potential (EC) as effective, low-cost, and sustainable soil amendments for ornamental and horticultural cultivation, offering practical options for growers seeking eco-friendly methods to improve plant performance.</w:t>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ffffff"/>
          <w:sz w:val="22"/>
          <w:szCs w:val="22"/>
          <w:highlight w:val="red"/>
          <w:rtl w:val="0"/>
        </w:rPr>
      </w:r>
      <w:r>
        <w:rPr>
          <w:rFonts w:ascii="Georgia" w:cs="Georgia" w:eastAsia="Georgia" w:hAnsi="Georgia"/>
          <w:b w:val="1"/>
          <w:bCs w:val="1"/>
          <w:i w:val="0"/>
          <w:iCs w:val="0"/>
          <w:color w:val="ed7d31"/>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305">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Pr>
          <w:rtl w:val="0"/>
        </w:rPr>
      </w:r>
    </w:p>
    <w:p w:rsidR="00000000" w:rsidDel="00000000" w:rsidP="00000000" w:rsidRDefault="00000000" w:rsidRPr="00000000" w14:paraId="00000307">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cs="Georgia" w:eastAsia="Georgia" w:hAnsi="Georgia"/>
          <w:b w:val="1"/>
          <w:bCs w:val="1"/>
          <w:strike w:val="0"/>
          <w:color w:val="000000"/>
          <w:sz w:val="22"/>
          <w:szCs w:val="22"/>
          <w:shd w:fill="bfbfbf" w:val="clear"/>
          <w:rtl w:val="0"/>
        </w:rPr>
        <w:t xml:space="preserve">there was no significant difference among the different methods of kuhol amino acid app in terms of plant height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weight of marketable and weight of non-marketable fruit, number of marketable and non-marketable fruits, and computed yield. </w:t>
      </w:r>
      <w:r>
        <w:rPr>
          <w:rFonts w:ascii="Georgia" w:cs="Georgia" w:eastAsia="Georgia" w:hAnsi="Georgia"/>
          <w:b w:val="1"/>
          <w:bCs w:val="1"/>
          <w:strike w:val="0"/>
          <w:color w:val="000000"/>
          <w:sz w:val="22"/>
          <w:szCs w:val="22"/>
          <w:shd w:fill="bfbfbf" w:val="clear"/>
          <w:rtl w:val="0"/>
        </w:rPr>
        <w:t xml:space="preserve">Different methods of kuhol amino acid application influenced the plant height, weight of fruits, number of marketable and non-marketable fruits, and computed yield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researcher </w:t>
      </w:r>
      <w:r>
        <w:rPr>
          <w:rFonts w:ascii="Georgia" w:cs="Georgia" w:eastAsia="Georgia" w:hAnsi="Georgia"/>
          <w:b w:val="1"/>
          <w:bCs w:val="1"/>
          <w:strike w:val="1"/>
          <w:color w:val="000000"/>
          <w:sz w:val="22"/>
          <w:szCs w:val="22"/>
          <w:rtl w:val="0"/>
        </w:rPr>
        <w:t xml:space="preserve">recommends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foliar and drenching application of kuhol amino acid. because, numerically, it consistently produced the highest yield performance.</w:t>
      </w:r>
      <w:r>
        <w:rPr>
          <w:rtl w:val="0"/>
        </w:rPr>
      </w:r>
    </w:p>
    <w:p w:rsidR="00000000" w:rsidDel="00000000" w:rsidP="00000000" w:rsidRDefault="00000000" w:rsidRPr="00000000" w14:paraId="0000030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cs="Georgia" w:eastAsia="Georgia" w:hAnsi="Georgia"/>
          <w:b w:val="0"/>
          <w:bCs w:val="0"/>
          <w:i w:val="0"/>
          <w:iCs w:val="0"/>
          <w:color w:val="000000"/>
          <w:sz w:val="22"/>
          <w:szCs w:val="22"/>
          <w:rtl w:val="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soaking sugarcane setts in Azospirillum spp. biofertilizer for 24 hours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effectively promote early growth by enhancing root development and biomass accumulation, thereby supporting improved propagation success.</w:t>
      </w:r>
      <w:r>
        <w:rPr>
          <w:rtl w:val="0"/>
        </w:rPr>
      </w:r>
    </w:p>
    <w:p w:rsidR="00000000" w:rsidDel="00000000" w:rsidP="00000000" w:rsidRDefault="00000000" w:rsidRPr="00000000" w14:paraId="0000030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cs="Georgia" w:eastAsia="Georgia" w:hAnsi="Georgia"/>
          <w:b w:val="0"/>
          <w:bCs w:val="0"/>
          <w:i w:val="0"/>
          <w:iCs w:val="0"/>
          <w:color w:val="000000"/>
          <w:sz w:val="22"/>
          <w:szCs w:val="22"/>
          <w:rtl w:val="0"/>
        </w:rPr>
        <w:t xml:space="preserve">The field study 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cs="Georgia" w:eastAsia="Georgia" w:hAnsi="Georgia"/>
          <w:b w:val="1"/>
          <w:bCs w:val="1"/>
          <w:strike w:val="0"/>
          <w:color w:val="000000"/>
          <w:sz w:val="22"/>
          <w:szCs w:val="22"/>
          <w:shd w:fill="bfbfbf" w:val="clear"/>
          <w:rtl w:val="0"/>
        </w:rPr>
        <w:t xml:space="preserve">a significant difference was observed in the number of productive tillers, actual yield per sample area, and computed yield per ton/ha</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T3: NPK+14-14-14 was the most compelling treatment among all treatments in terms of producing the highest number of productive tillers and obtaining the heaviest yield per ton/ha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Pr>
          <w:rtl w:val="0"/>
        </w:rPr>
      </w:r>
    </w:p>
    <w:p w:rsidR="00000000" w:rsidDel="00000000" w:rsidP="00000000" w:rsidRDefault="00000000" w:rsidRPr="00000000" w14:paraId="0000030D">
      <w:pPr>
        <w:spacing w:before="0" w:after="0" w:line="480" w:lineRule="auto"/>
        <w:jc w:val="both"/>
        <w:rPr/>
      </w:pPr>
      <w:r>
        <w:rPr>
          <w:rFonts w:ascii="Georgia" w:cs="Georgia" w:eastAsia="Georgia" w:hAnsi="Georgia"/>
          <w:b w:val="1"/>
          <w:bCs w:val="1"/>
          <w:i w:val="0"/>
          <w:iCs w:val="0"/>
          <w:sz w:val="24"/>
          <w:szCs w:val="24"/>
          <w:rtl w:val="0"/>
        </w:rPr>
        <w:t xml:space="preserve">Agriculture, Animal Science (Aas1–Aas10)</w:t>
      </w:r>
      <w:r>
        <w:rPr>
          <w:rtl w:val="0"/>
        </w:rPr>
      </w:r>
    </w:p>
    <w:p w:rsidR="00000000" w:rsidDel="00000000" w:rsidP="00000000" w:rsidRDefault="00000000" w:rsidRPr="00000000" w14:paraId="0000030E">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cs="Georgia" w:eastAsia="Georgia" w:hAnsi="Georgia"/>
          <w:b w:val="0"/>
          <w:bCs w:val="0"/>
          <w:i w:val="0"/>
          <w:iCs w:val="0"/>
          <w:color w:val="000000"/>
          <w:sz w:val="22"/>
          <w:szCs w:val="22"/>
          <w:rtl w:val="0"/>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cs="Georgia" w:eastAsia="Georgia" w:hAnsi="Georgia"/>
          <w:b w:val="1"/>
          <w:bCs w:val="1"/>
          <w:strike w:val="0"/>
          <w:color w:val="000000"/>
          <w:sz w:val="22"/>
          <w:szCs w:val="22"/>
          <w:shd w:fill="bfbfbf" w:val="clear"/>
          <w:rtl w:val="0"/>
        </w:rPr>
        <w:t xml:space="preserve">No significant differences were observed in terms of mean initial weight (kg), mean final weight (kg)</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mean gain in weight (kg), mean DM intake (kg), or feed conversion ratio. </w:t>
      </w:r>
      <w:r>
        <w:rPr>
          <w:rFonts w:ascii="Georgia" w:cs="Georgia" w:eastAsia="Georgia" w:hAnsi="Georgia"/>
          <w:b w:val="1"/>
          <w:bCs w:val="1"/>
          <w:strike w:val="0"/>
          <w:color w:val="000000"/>
          <w:sz w:val="22"/>
          <w:szCs w:val="22"/>
          <w:shd w:fill="bfbfbf" w:val="clear"/>
          <w:rtl w:val="0"/>
        </w:rPr>
        <w:t xml:space="preserve">The student researcher concluded that T2 (20% GA Leaves + 40% Paragrass + 40% Concentrate Feeds) was the most compelling treatment among all treatments for the rabbits in terms of outperforming the data numerically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20% Gmelina arborea + 40% Para grass + 40% Concentrate Feeds greatly contributed to performances in terms of obtaining the highest mean final weight, mean gain in weight, and highest net income.</w:t>
      </w:r>
      <w:r>
        <w:rPr>
          <w:rtl w:val="0"/>
        </w:rPr>
      </w:r>
    </w:p>
    <w:p w:rsidR="00000000" w:rsidDel="00000000" w:rsidP="00000000" w:rsidRDefault="00000000" w:rsidRPr="00000000" w14:paraId="00000310">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cs="Georgia" w:eastAsia="Georgia" w:hAnsi="Georgia"/>
          <w:b w:val="0"/>
          <w:bCs w:val="0"/>
          <w:i w:val="0"/>
          <w:iCs w:val="0"/>
          <w:color w:val="000000"/>
          <w:sz w:val="22"/>
          <w:szCs w:val="22"/>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cs="Georgia" w:eastAsia="Georgia" w:hAnsi="Georgia"/>
          <w:b w:val="1"/>
          <w:bCs w:val="1"/>
          <w:strike w:val="0"/>
          <w:color w:val="000000"/>
          <w:sz w:val="22"/>
          <w:szCs w:val="22"/>
          <w:shd w:fill="bfbfbf" w:val="clear"/>
          <w:rtl w:val="0"/>
        </w:rPr>
        <w:t xml:space="preserve">the fermented okara extract had the biggest impact, resulting in the heaviest weight</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w:t>
      </w:r>
      <w:r>
        <w:rPr>
          <w:rFonts w:ascii="Georgia" w:cs="Georgia" w:eastAsia="Georgia" w:hAnsi="Georgia"/>
          <w:b w:val="1"/>
          <w:bCs w:val="1"/>
          <w:strike w:val="0"/>
          <w:color w:val="000000"/>
          <w:sz w:val="22"/>
          <w:szCs w:val="22"/>
          <w:shd w:fill="bfbfbf" w:val="clear"/>
          <w:rtl w:val="0"/>
        </w:rPr>
        <w:t xml:space="preserve">the total return result showed a promising future for fermented okara extract at a level of 60 ml (166.00 PHP)</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312">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cs="Georgia" w:eastAsia="Georgia" w:hAnsi="Georgia"/>
          <w:b w:val="0"/>
          <w:bCs w:val="0"/>
          <w:i w:val="0"/>
          <w:iCs w:val="0"/>
          <w:color w:val="000000"/>
          <w:sz w:val="22"/>
          <w:szCs w:val="22"/>
          <w:rtl w:val="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concluded that D1 rice bran mixed with water spinach and with golden apple snail used in the study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minimize the cost of production, specifically the feed cost.</w:t>
      </w:r>
      <w:r>
        <w:rPr>
          <w:rtl w:val="0"/>
        </w:rPr>
      </w:r>
    </w:p>
    <w:p w:rsidR="00000000" w:rsidDel="00000000" w:rsidP="00000000" w:rsidRDefault="00000000" w:rsidRPr="00000000" w14:paraId="00000314">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significant difference among the treatments with regard to their initial weight, gain in weight, average daily gain, and feed conversion ratio of the experimental rabbits.</w:t>
      </w:r>
      <w:r>
        <w:rPr>
          <w:rtl w:val="0"/>
        </w:rPr>
      </w:r>
    </w:p>
    <w:p w:rsidR="00000000" w:rsidDel="00000000" w:rsidP="00000000" w:rsidRDefault="00000000" w:rsidRPr="00000000" w14:paraId="00000316">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cs="Georgia" w:eastAsia="Georgia" w:hAnsi="Georgia"/>
          <w:b w:val="0"/>
          <w:bCs w:val="0"/>
          <w:i w:val="0"/>
          <w:iCs w:val="0"/>
          <w:color w:val="000000"/>
          <w:sz w:val="22"/>
          <w:szCs w:val="22"/>
          <w:rtl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will (FP-Gen) drive animal production systems to find new sources of high-quality and sustainable protein feed raw materials. Fortunately, insect farming can (EC) be seen as a potential (EC)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00b0f0" w:val="clear"/>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319">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cs="Georgia" w:eastAsia="Georgia" w:hAnsi="Georgia"/>
          <w:b w:val="0"/>
          <w:bCs w:val="0"/>
          <w:i w:val="0"/>
          <w:iCs w:val="0"/>
          <w:color w:val="000000"/>
          <w:sz w:val="22"/>
          <w:szCs w:val="22"/>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cs="Georgia" w:eastAsia="Georgia" w:hAnsi="Georgia"/>
          <w:b w:val="1"/>
          <w:bCs w:val="1"/>
          <w:strike w:val="0"/>
          <w:color w:val="000000"/>
          <w:sz w:val="22"/>
          <w:szCs w:val="22"/>
          <w:shd w:fill="bfbfbf" w:val="clear"/>
          <w:rtl w:val="0"/>
        </w:rPr>
        <w:t xml:space="preserve">It was found to have a significant effect on the growth and germination rate of pigeon pea in terms of days to germinate, plant height, a number of leaves, and length of leaves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Sulfuric was second in terms of the scarification method effectiveness for pigeon pea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tl w:val="0"/>
        </w:rPr>
      </w:r>
    </w:p>
    <w:p w:rsidR="00000000" w:rsidDel="00000000" w:rsidP="00000000" w:rsidRDefault="00000000" w:rsidRPr="00000000" w14:paraId="0000031B">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all treatments are comparable in terms of growth, </w:t>
      </w:r>
      <w:r>
        <w:rPr>
          <w:rFonts w:ascii="Georgia" w:cs="Georgia" w:eastAsia="Georgia" w:hAnsi="Georgia"/>
          <w:b w:val="1"/>
          <w:bCs w:val="1"/>
          <w:strike w:val="0"/>
          <w:color w:val="ffffff"/>
          <w:sz w:val="22"/>
          <w:szCs w:val="22"/>
          <w:highlight w:val="red"/>
          <w:rtl w:val="0"/>
        </w:rPr>
        <w:t xml:space="preserve">implying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Madre de Agua is a viable feed component under these conditions. Feeding 20%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improve final weight, while feeding 10%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reduce dry matter intake.</w:t>
      </w:r>
      <w:r>
        <w:rPr>
          <w:rtl w:val="0"/>
        </w:rPr>
      </w:r>
    </w:p>
    <w:p w:rsidR="00000000" w:rsidDel="00000000" w:rsidP="00000000" w:rsidRDefault="00000000" w:rsidRPr="00000000" w14:paraId="0000031D">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cs="Georgia" w:eastAsia="Georgia" w:hAnsi="Georgia"/>
          <w:b w:val="0"/>
          <w:bCs w:val="0"/>
          <w:i w:val="0"/>
          <w:iCs w:val="0"/>
          <w:color w:val="000000"/>
          <w:sz w:val="22"/>
          <w:szCs w:val="22"/>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superior feed efficiency and improved survivability to T2. Based on the results of the study,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feed mallard ducks with 75% rice porridge and 25% fish entrails during brooding stage at day 1 to day 21 for enhancing weight gain and achieving higher final weights in mallard ducks. Further research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explore the long-term effects and cost-effectiveness of these treatments and their impact on meat quality and reproductive performance.</w:t>
      </w:r>
      <w:r>
        <w:rPr>
          <w:rtl w:val="0"/>
        </w:rPr>
      </w:r>
    </w:p>
    <w:p w:rsidR="00000000" w:rsidDel="00000000" w:rsidP="00000000" w:rsidRDefault="00000000" w:rsidRPr="00000000" w14:paraId="00000320">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[R]. However, mortality rate and moisture content were not significant after 6 hours and 24 hours [R]. Therefore (DO), it is recommended (FP-Rec) for future researchers to add Diatomaceous earth and neem tree extract and check the humidity. Extend data collection for 72 hours and 96 hours for future study.</w:t>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0"/>
          <w:bCs w:val="0"/>
          <w:i w:val="0"/>
          <w:iCs w:val="0"/>
          <w:sz w:val="22"/>
          <w:szCs w:val="22"/>
          <w:rtl w:val="0"/>
          <w:color w:val="00B0F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322">
      <w:pPr>
        <w:keepNext w:val="1"/>
        <w:keepLines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based on the results,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alternative feed ration for rabbits without adverse effects, and considering that azolla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breeders to lessen the feed cost in production.</w:t>
      </w:r>
      <w:r>
        <w:rPr>
          <w:rtl w:val="0"/>
        </w:rPr>
      </w:r>
    </w:p>
    <w:sectPr>
      <w:type w:val="nextPage"/>
      <w:pgSz w:h="16838" w:w="11906" w:orient="portrait"/>
      <w:pgMar w:bottom="1440" w:top="1440" w:left="216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