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The repertoire is lexical first. Writers more often qualify claims with content words such as potential and the suggest family than with modal verbs, and almost never with adverbial hedges. Clause-level packages do not appear.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eastAsia="Georgia"/>
          <w:sz w:val="22"/>
        </w:rPr>
        <w:t>The three programs do not share the same mix within that narrow range. Agriculture balances modal and lexical caution more evenly. Biology leans heavily on lexical qualification.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on the same ledger.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Biology and Agriculture mark caution with similar frequency overall.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Agriculture–Biology gap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eastAsia="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It is a local pattern in ratified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On the Table 4 ledger that shows up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eastAsia="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