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used for classification after a token is retained. They are not treated as mutually exclusive categories in the wider literature. Interpersonal or deferential wording can overlap with epistemic stance in context. Retention depends on the Working Test: the item must change the epistemic weight of the claim. Interpersonal coloring alone is not enough. Discourse-organizing expressions are not ruled out in advance, but they are retained only when their use in context changes commitment to the proposition. Expressions that only sequence, label, or direct attention are not classified as hedges. This inclusion rule is consistent with Crompton (1997), who defines a hedge as language that explicitly qualifies the writer's lack of commitment to the truth of a proposition, and who tests for hedging by asking whether the proposition can be restated with greater author commitment without changing its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only to support an epistemically focused identification screen.</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also code mitigation more broadly, without the epistemic-only filter used here.</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pageBreakBefore/>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under the Working Test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The absence of Politeness and Discourse Organization assignments among the 65 retained hedges should not be read as evidence that those functions are absent from PSAU student writing overall. The Working Test retains items that change epistemic weight, so the identification procedure is epistemically focused. Tokens that soften a claim without altering epistemic commitment may be excluded before functional classification. The compressed abstract genre may also limit rhetorical space for interactional or discourse-organizational mitigation. The present data cannot separate a coding effect from a genre effect. Both remain plausible accounts of the observed uniformity. That limitation is noted in Scope. The narrow functional range among retained hedges is consistent with restricted epistemic repertoires reported for developing L2 writers (Hyland &amp; Milton, 1997), though genre compression and supervisory practice remain proximate accounts in this corpus.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screen itself selects for tokens that change epistemic weight, so a single function label is partly built into the method.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Future research could adopt a broader mitigation coding scheme to study interpersonal and discourse-organizing functions alongside epistemic ones. This study defined hedging as epistemic stance management, drawing mainly on Hyland (1998) and Salager-Meyer (1994), and applied the Working Test so that retained hedges are those that change the epistemic weight of a claim. That focus aligns with Crompton (1997) in reserving hedge for explicit qualification of commitment to a proposition. All retained hedges were coded Epistemic Caution under that screen. The uniform function label is therefore partly a result of how hedges were identified, not a claim that Politeness or Discourse Organization never appear in developing-researcher writing. A future study could code mitigation more broadly, including devices that soften or qualify claims even when they do not pass a strict epistemic filter, and then classify epistemic, politeness, and discourse-organizing uses under that wider net. Such work would test whether interactional and textual mitigation appear in the abstract genre when the coding scheme is designed to capture them.</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hAnsi="Georgia" w:cs="Georgia" w:eastAsia="Georgia"/>
          <w:rtl w:val="0"/>
          <w:i/>
          <w:iCs/>
          <w:sz w:val="24"/>
          <w:szCs w:val="24"/>
        </w:rPr>
        <w:t xml:space="preserve">suggest / indicate becomes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hAnsi="Georgia" w:cs="Georgia" w:eastAsia="Georgia"/>
          <w:rtl w:val="0"/>
          <w:i/>
          <w:iCs/>
          <w:sz w:val="24"/>
          <w:szCs w:val="24"/>
        </w:rPr>
        <w:t xml:space="preserve">can / may becomes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hAnsi="Georgia" w:cs="Georgia" w:eastAsia="Georgia"/>
          <w:rtl w:val="0"/>
          <w:i/>
          <w:iCs/>
          <w:sz w:val="24"/>
          <w:szCs w:val="24"/>
        </w:rPr>
        <w:t xml:space="preserve">generally / typically becomes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hAnsi="Georgia" w:cs="Georgia" w:eastAsia="Georgia"/>
          <w:rtl w:val="0"/>
          <w:i/>
          <w:iCs/>
          <w:sz w:val="24"/>
          <w:szCs w:val="24"/>
        </w:rPr>
        <w:t xml:space="preserve">appear / seem becomes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