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tl w:val="0"/>
        </w:rPr>
        <w:t>Studies of developing researchers converge on a restricted hedging repertoire. Khunasathitchai et al. (2025) examined hedging in Thai undergraduate writing and found low overall density with heavy reliance on a small set of modal forms. Suratno and Aydawati (2025) report a similar pattern in non-science thesis writing, where modal verbs carry most of the epistemic work and lexical variety stays narrow. Ghia et al. (2022) analyzed 217 English thesis abstracts written by advanced Italian EFL undergraduates and compared them with successful L1 student writing in the Michigan Corpus of Upper-Level Student Papers. The EFL abstracts used fewer hedges and favored boosters and modals of epistemic certainty more than the L1 comparison group, yet the broad ranking of devices still showed some awareness of academic caution. Mazidah et al. (2022) looked at Southeast Asian undergraduate abstracts and likewise found limited hedge inventories, with discipline-internal differences smaller than the shared tendency to under-hedge relative to expert norms. Across these settings the core pattern recurs: low hedge density, limited formal variety, and a default to modals such as may or to local equivalents, linked more to limited rhetorical exposure than to weak grammar alone.</w:t>
      </w:r>
    </w:p>
    <w:p w:rsidR="00000000" w:rsidDel="00000000" w:rsidP="00000000" w:rsidRDefault="00000000" w:rsidRPr="00000000" w14:paraId="00000025">
      <w:pPr>
        <w:spacing w:after="0" w:before="0" w:line="480" w:lineRule="auto"/>
        <w:ind w:firstLine="720"/>
        <w:jc w:val="both"/>
        <w:rPr/>
      </w:pPr>
      <w:r w:rsidDel="00000000" w:rsidR="00000000" w:rsidRPr="00000000">
        <w:rPr>
          <w:rtl w:val="0"/>
        </w:rPr>
        <w:t>Wang (2022) extends the student-writing picture across sixteen fields in MICUSP. Hedging was more common in argumentation-driven disciplines than in data-driven ones, and differences also appeared between disciplines housed under the same broad division. That finding challenges a simple natural-versus-social science split. Even so, modal forms remained prominent even in fields that hedged more overall. Halabisaz et al. (2014) compared hedging in applied-linguistics master’s thesis abstracts written by native English and Iranian non-native writers. Native writers used more hedges overall. The authors link the gap to rhetorical sensitivity, audience awareness, and cultural background rather than to grammar alone. Taken together, these studies show that undergraduate and master’s-level writers often under-deploy hedges, lean on modals, and vary by discipline only within a still-narrow range of forms.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rsidR="00000000" w:rsidDel="00000000" w:rsidP="00000000" w:rsidRDefault="00000000" w:rsidRPr="00000000" w14:paraId="00000027">
      <w:pPr>
        <w:spacing w:after="0" w:before="0" w:line="480" w:lineRule="auto"/>
        <w:ind w:firstLine="720"/>
        <w:jc w:val="both"/>
        <w:rPr/>
      </w:pPr>
      <w:r w:rsidDel="00000000" w:rsidR="00000000" w:rsidRPr="00000000">
        <w:rPr>
          <w:rtl w:val="0"/>
        </w:rPr>
        <w:t>Field norms shape expert hedging, but not along a simple hard-or-soft divide. Afshar et al. (2014) compared research articles across humanities, basic sciences, and agriculture using Salager-Meyer’s (1994) taxonomy. Humanities writers sat at the high end of hedge frequency, while agriculture sat near the low end, and subfields within each broad area also differed. Mohammed (2011), using a different pairing and a lexical-hedge focus, found scientists hedging more than applied linguists. The two results are not necessarily contradictory. They compare different disciplinary pairings and use different hedge inventories, so the shared lesson is that density tracks specific epistemic demands rather than a single hard-or-soft ranking. Within life sciences, Souici and Slougui (2022) examined biology research articles by Algerian authors and found non-factive reporting verbs to be the most prominent hedge type. Writers leaned on forms that support and frame findings rather than on a wide modal set alone. Hamidi et al. (2025) report that clinical writing may edge slightly above basic science within medicine, yet without a strong separation. Expert scientific English therefore shows measurable variation, but the variation is local to how each field handles evidence and claim risk.</w:t>
      </w:r>
    </w:p>
    <w:p w:rsidR="00000000" w:rsidDel="00000000" w:rsidP="00000000" w:rsidRDefault="00000000" w:rsidRPr="00000000" w14:paraId="00000028">
      <w:pPr>
        <w:spacing w:after="0" w:before="0" w:line="480" w:lineRule="auto"/>
        <w:ind w:firstLine="720"/>
        <w:jc w:val="both"/>
        <w:rPr/>
      </w:pPr>
      <w:r w:rsidDel="00000000" w:rsidR="00000000" w:rsidRPr="00000000">
        <w:rPr>
          <w:rtl w:val="0"/>
        </w:rPr>
        <w:t>Salager-Meyer (1994) frames hedging as claim-responsibility management. Writers distribute responsibility for a claim’s truth, accuracy, or applicability among themselves, their data, and external conditions. That lens helps explain why laboratory and clinical fields may not share one density profile with field-based agricultural work even when all three count as applied life science. Hu and Cao (2011) add a further layer by comparing English- and Chinese-medium journal abstracts. English-medium abstracts carried higher hedge rates, and coding required attention to context rather than to word lists alone. Their work also shows that empirical abstracts can carry more boosters than theoretical ones while hedge rates stay similar, which links stance choices to evidence type.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rsidR="00000000" w:rsidDel="00000000" w:rsidP="00000000" w:rsidRDefault="00000000" w:rsidRPr="00000000" w14:paraId="0000002A">
      <w:pPr>
        <w:spacing w:after="0" w:before="0" w:line="480" w:lineRule="auto"/>
        <w:ind w:firstLine="720"/>
        <w:jc w:val="both"/>
        <w:rPr/>
      </w:pPr>
      <w:r w:rsidDel="00000000" w:rsidR="00000000" w:rsidRPr="00000000">
        <w:rPr>
          <w:rtl w:val="0"/>
        </w:rPr>
        <w:t>English is the medium of academic writing at PSAU, but not the home language for most students. Demir (2018) and related L2 work show that second-language writers typically use fewer hedges and less formal variety than L1 peers. Publication context can amplify that gap. Hu and Cao (2011) found English-medium journal abstracts markedly more hedged than Chinese-medium counterparts in the same field, which suggests that the language of publication and the editorial community shape stance as much as individual proficiency. Petchkij (2019) reports that explicit teaching can raise both frequency and variety among health-science undergraduates, though a preference for modals often remains even after training. The instructional finding matters for PSAU: limited hedge variety in student texts is not only a deficit to be counted. It is also a trainable feature of English for academic purposes.</w:t>
      </w:r>
    </w:p>
    <w:p w:rsidR="00000000" w:rsidDel="00000000" w:rsidP="00000000" w:rsidRDefault="00000000" w:rsidRPr="00000000" w14:paraId="0000002B">
      <w:pPr>
        <w:spacing w:after="0" w:before="0" w:line="480" w:lineRule="auto"/>
        <w:ind w:firstLine="720"/>
        <w:jc w:val="both"/>
        <w:rPr/>
      </w:pPr>
      <w:r w:rsidDel="00000000" w:rsidR="00000000" w:rsidRPr="00000000">
        <w:rPr>
          <w:rtl w:val="0"/>
        </w:rPr>
        <w:t>Since this study does not measure English proficiency independently, observed patterns may reflect L2 constraints, disciplinary socialization, or both. The aim is a descriptive baseline of how stance is worded in ratified abstracts, not a test of which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sidDel="00000000" w:rsidR="00000000" w:rsidRPr="00000000">
        <w:rPr>
          <w:rtl w:val="0"/>
        </w:rPr>
        <w:t>Philippine and regional findings align with this picture. Ningrum et al. (2024) report that ASEAN learner data, including Philippine samples, show a preference for boosters over hedges and overuse of intensifiers such as completely, really, and always. Escalona (2025) and Lopez et al. (2025), in local college essay studies, find developing-stage proficiency with epistemic modals dominant and only modest differences by major field. Those studies examine essays rather than thesis abstracts, so they cannot be read as direct predictions for the present corpus. They do show that Philippine L2 academic English often leans on a small modal set and on intensifying rather than softening moves.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Imataki and Kobayashi (2024) report measurable disciplinary differences in expert abstracts for features such as voice and nominalization, which shows that field norms reach even the shortest research genres.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Across the literature, expert writers show measurable disciplinary differentiation in hedging shaped by epistemic demands rather than a simple hard-or-soft divide (Salager-Meyer, 1994; Afshar et al., 2014; Wang, 2022; Xie &amp; Mi, 2023). Developing researchers across contexts show limited hedge variety and tend to default to modal verbs (Khunasathitchai et al., 2025; Wang, 2022; Ghia et al., 2022; Mazidah et al., 2022; Halabisaz et al., 2014). L2 writers face additional constraints from linguistic factors, publication context, and limited explicit instruction (Demir, 2018; Hu &amp; Cao, 2011; Petchkij, 2019). Philippine and ASEAN studies confirm reliance on modals and, in some contexts, a preference for boosters (Ningrum et al., 2024; Escalona, 2025; Lopez et al., 2025). Abstract-focused work further shows that caution and promotion vary by discipline and ranking (Xie &amp; Mi, 2023), but undergraduate applied-science abstracts remain underdescribed.</w:t>
      </w:r>
    </w:p>
    <w:p>
      <w:r>
        <w:t>Definitions of hedging in academic writing are not uniform. Hyland (1998) treats hedges as linguistic means that signal either reduced commitment to the truth of a proposition or a preference not to express that commitment categorically. His polypragmatic model distinguishes content-oriented hedges, which manage accuracy and reliability of the claim, from reader-oriented hedges, which manage interpersonal effects on the audience. Salager-Meyer (1994) frames the same devices as tools for claim-responsibility management. Writers distribute responsibility for a statement’s accuracy among themselves, their data, and external conditions. Crompton (1997) argues that the term is most useful when reserved for epistemic modality attached to knowledge claims, and that extending hedge to every politeness-related feature of academic prose weakens the concept. Those positions leave open whether directives and recommendations, which manage action rather than the truth of a claim, should count as hedges. The present study takes a claim-centered stance. A hedge is coded only when a device changes the writer’s stance toward a proposition that evidence could show to be wrong. Epistemic caution captures reduced commitment to that claim’s truth. Politeness/deference captures interpersonal softening of the same claim. Softened recommendations are logged as false positives under this scope, not as evidence that politeness is absent from the writers’ repertoire.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sidDel="00000000" w:rsidR="00000000" w:rsidRPr="00000000">
        <w:rPr>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strike w:val="0"/>
          <w:rtl w:val="0"/>
        </w:rPr>
        <w:t>Ambiguous forms such as can, potential, indicating, and possibility may function either as epistemic hedges or as non-epistemic lexical items depending on context. The following decision rules show how the claim condition and removal checks apply. First, “can” combined with an active content verb describing a treatment effect (enhance, promote, reduce, help) fails as a claim-mitigator when it only marks capability (false positive), because removing “can” does not raise the claim’s epistemic weight when the host is ability rather than a finding under doubt.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(false positive) rather than inferential hedges. Third, for “potential + noun,” structural position is how the claim condition applies. Aim and methods clauses are non-claims (what the study set out to do), so “potential” there fails the claim condition and is coded false positive, as when an abstract “explores the potential antifungal properties” of a plant or names “potential pharmaceutical applications” as the object of further study. Results and conclusion frames that qualify a finding-claim remain claims, so “potential” can pass the claim condition and, if the Working Test holds, is coded Lexical epistemic caution. When removing the token clearly changes the epistemic weight of a proposition, for example when “presence of potential mycobacterial infections” becomes an asserted presence claim without the modifier, the token is coded Lexical epistemic caution. The same claim-condition treatment applies to “possibility + noun” in aim and method sentences. Fourth, when a sentence contains multiple hedge-like tokens, each is tested on its own host clause under the claim condition and the two removal checks. A preceding hedge such as “suggest” is coded separately and does not determine the function of “can.”</w:t>
      </w:r>
    </w:p>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7A">
      <w:pPr>
        <w:keepNext w:val="1"/>
        <w:spacing w:after="0" w:before="240" w:line="480" w:lineRule="auto"/>
        <w:jc w:val="center"/>
        <w:rPr/>
      </w:pPr>
      <w:r w:rsidDel="00000000" w:rsidR="00000000" w:rsidRPr="00000000">
        <w:rPr>
          <w:b w:val="1"/>
          <w:bCs w:val="1"/>
          <w:rtl w:val="0"/>
        </w:rPr>
        <w:t xml:space="preserve">Table 1</w:t>
      </w:r>
      <w:r w:rsidDel="00000000" w:rsidR="00000000" w:rsidRPr="00000000">
        <w:rPr>
          <w:rtl w:val="0"/>
        </w:rPr>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sidDel="00000000" w:rsidR="00000000" w:rsidRPr="00000000">
        <w:rPr>
          <w:rtl w:val="0"/>
        </w:rPr>
        <w:t xml:space="preserve">Table 1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sidDel="00000000" w:rsidR="00000000" w:rsidRPr="00000000">
        <w:rPr>
          <w:strike w:val="0"/>
          <w:rtl w:val="0"/>
        </w:rPr>
        <w:t xml:space="preserve">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 Table 2 presents the distribution of hedge types across the full corpus.</w:t>
      </w:r>
      <w:r w:rsidDel="00000000" w:rsidR="00000000" w:rsidRPr="00000000">
        <w:rPr>
          <w:rtl w:val="0"/>
        </w:rPr>
      </w:r>
    </w:p>
    <w:p w:rsidR="00000000" w:rsidDel="00000000" w:rsidP="00000000" w:rsidRDefault="00000000" w:rsidRPr="00000000" w14:paraId="000000A9">
      <w:pPr>
        <w:keepNext w:val="1"/>
        <w:pageBreakBefore w:val="1"/>
        <w:spacing w:after="0" w:before="720" w:line="480" w:lineRule="auto"/>
        <w:jc w:val="center"/>
        <w:rPr/>
      </w:pPr>
      <w:r w:rsidDel="00000000" w:rsidR="00000000" w:rsidRPr="00000000">
        <w:rPr>
          <w:b w:val="1"/>
          <w:bCs w:val="1"/>
          <w:rtl w:val="0"/>
        </w:rPr>
        <w:t xml:space="preserve">Table 2</w:t>
      </w:r>
      <w:r w:rsidDel="00000000" w:rsidR="00000000" w:rsidRPr="00000000">
        <w:rPr>
          <w:rtl w:val="0"/>
        </w:rPr>
      </w:r>
    </w:p>
    <w:p w:rsidR="00000000" w:rsidDel="00000000" w:rsidP="00000000" w:rsidRDefault="00000000" w:rsidRPr="00000000" w14:paraId="000000AA">
      <w:pPr>
        <w:keepNext w:val="1"/>
        <w:spacing w:after="60" w:before="0" w:line="480" w:lineRule="auto"/>
        <w:jc w:val="center"/>
        <w:rPr/>
      </w:pPr>
      <w:r w:rsidDel="00000000" w:rsidR="00000000" w:rsidRPr="00000000">
        <w:rPr>
          <w:rtl w:val="0"/>
        </w:rPr>
        <w:t xml:space="preserve">Hedge Type Distribution Across the Corpus</w:t>
      </w:r>
    </w:p>
    <w:tbl>
      <w:tblPr>
        <w:tblStyle w:val="Table2"/>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AB">
            <w:pPr>
              <w:spacing w:after="0" w:before="0" w:line="480" w:lineRule="auto"/>
              <w:rPr>
                <w:sz w:val="18"/>
                <w:szCs w:val="18"/>
              </w:rPr>
            </w:pPr>
            <w:r w:rsidDel="00000000" w:rsidR="00000000" w:rsidRPr="00000000">
              <w:rPr>
                <w:b w:val="1"/>
                <w:bCs w:val="1"/>
                <w:i w:val="0"/>
                <w:iCs w:val="0"/>
                <w:sz w:val="18"/>
                <w:szCs w:val="18"/>
                <w:rtl w:val="0"/>
              </w:rPr>
              <w:t xml:space="preserve">Hedge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AC">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0" w:before="0" w:line="480" w:lineRule="auto"/>
              <w:rPr>
                <w:sz w:val="18"/>
                <w:szCs w:val="18"/>
              </w:rPr>
            </w:pPr>
            <w:r w:rsidDel="00000000" w:rsidR="00000000" w:rsidRPr="00000000">
              <w:rPr>
                <w:i w:val="0"/>
                <w:iCs w:val="0"/>
                <w:sz w:val="18"/>
                <w:szCs w:val="18"/>
                <w:rtl w:val="0"/>
              </w:rPr>
              <w:t xml:space="preserve">Modal Verbs</w:t>
            </w:r>
            <w:r w:rsidDel="00000000" w:rsidR="00000000" w:rsidRPr="00000000">
              <w:rPr>
                <w:rtl w:val="0"/>
              </w:rPr>
            </w:r>
          </w:p>
        </w:tc>
        <w:tc>
          <w:tcPr/>
          <w:p w:rsidR="00000000" w:rsidDel="00000000" w:rsidP="00000000" w:rsidRDefault="00000000" w:rsidRPr="00000000" w14:paraId="000000AF">
            <w:pPr>
              <w:spacing w:after="0" w:before="0" w:line="480" w:lineRule="auto"/>
              <w:rPr>
                <w:sz w:val="18"/>
                <w:szCs w:val="18"/>
              </w:rPr>
            </w:pPr>
            <w:r w:rsidDel="00000000" w:rsidR="00000000" w:rsidRPr="00000000">
              <w:rPr>
                <w:sz w:val="18"/>
                <w:szCs w:val="18"/>
                <w:rtl w:val="0"/>
              </w:rPr>
              <w:t xml:space="preserve">20</w:t>
            </w:r>
          </w:p>
        </w:tc>
      </w:tr>
      <w:tr>
        <w:trPr>
          <w:cantSplit w:val="1"/>
          <w:tblHeader w:val="0"/>
        </w:trPr>
        <w:tc>
          <w:tcPr/>
          <w:p w:rsidR="00000000" w:rsidDel="00000000" w:rsidP="00000000" w:rsidRDefault="00000000" w:rsidRPr="00000000" w14:paraId="000000B1">
            <w:pPr>
              <w:spacing w:after="0" w:before="0" w:line="480" w:lineRule="auto"/>
              <w:rPr>
                <w:sz w:val="18"/>
                <w:szCs w:val="18"/>
              </w:rPr>
            </w:pPr>
            <w:r w:rsidDel="00000000" w:rsidR="00000000" w:rsidRPr="00000000">
              <w:rPr>
                <w:i w:val="0"/>
                <w:iCs w:val="0"/>
                <w:sz w:val="18"/>
                <w:szCs w:val="18"/>
                <w:rtl w:val="0"/>
              </w:rPr>
              <w:t xml:space="preserve">Lexical Hedges</w:t>
            </w:r>
            <w:r w:rsidDel="00000000" w:rsidR="00000000" w:rsidRPr="00000000">
              <w:rPr>
                <w:rtl w:val="0"/>
              </w:rPr>
            </w:r>
          </w:p>
        </w:tc>
        <w:tc>
          <w:tcPr/>
          <w:p w:rsidR="00000000" w:rsidDel="00000000" w:rsidP="00000000" w:rsidRDefault="00000000" w:rsidRPr="00000000" w14:paraId="000000B2">
            <w:pPr>
              <w:spacing w:after="0" w:before="0" w:line="480" w:lineRule="auto"/>
              <w:rPr>
                <w:sz w:val="18"/>
                <w:szCs w:val="18"/>
              </w:rPr>
            </w:pPr>
            <w:r w:rsidDel="00000000" w:rsidR="00000000" w:rsidRPr="00000000">
              <w:rPr>
                <w:sz w:val="18"/>
                <w:szCs w:val="18"/>
                <w:rtl w:val="0"/>
              </w:rPr>
              <w:t xml:space="preserve">42</w:t>
            </w:r>
          </w:p>
        </w:tc>
      </w:tr>
      <w:tr>
        <w:trPr>
          <w:cantSplit w:val="1"/>
          <w:tblHeader w:val="0"/>
        </w:trPr>
        <w:tc>
          <w:tcPr/>
          <w:p w:rsidR="00000000" w:rsidDel="00000000" w:rsidP="00000000" w:rsidRDefault="00000000" w:rsidRPr="00000000" w14:paraId="000000B4">
            <w:pPr>
              <w:spacing w:after="0" w:before="0" w:line="480" w:lineRule="auto"/>
              <w:rPr>
                <w:sz w:val="18"/>
                <w:szCs w:val="18"/>
              </w:rPr>
            </w:pPr>
            <w:r w:rsidDel="00000000" w:rsidR="00000000" w:rsidRPr="00000000">
              <w:rPr>
                <w:i w:val="0"/>
                <w:iCs w:val="0"/>
                <w:sz w:val="18"/>
                <w:szCs w:val="18"/>
                <w:rtl w:val="0"/>
              </w:rPr>
              <w:t xml:space="preserve">Adverbial Hedges</w:t>
            </w:r>
            <w:r w:rsidDel="00000000" w:rsidR="00000000" w:rsidRPr="00000000">
              <w:rPr>
                <w:rtl w:val="0"/>
              </w:rPr>
            </w:r>
          </w:p>
        </w:tc>
        <w:tc>
          <w:tcPr/>
          <w:p w:rsidR="00000000" w:rsidDel="00000000" w:rsidP="00000000" w:rsidRDefault="00000000" w:rsidRPr="00000000" w14:paraId="000000B5">
            <w:pPr>
              <w:spacing w:after="0" w:before="0" w:line="480" w:lineRule="auto"/>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B7">
            <w:pPr>
              <w:spacing w:after="0" w:before="0" w:line="480" w:lineRule="auto"/>
              <w:rPr>
                <w:sz w:val="18"/>
                <w:szCs w:val="18"/>
              </w:rPr>
            </w:pPr>
            <w:r w:rsidDel="00000000" w:rsidR="00000000" w:rsidRPr="00000000">
              <w:rPr>
                <w:i w:val="0"/>
                <w:iCs w:val="0"/>
                <w:sz w:val="18"/>
                <w:szCs w:val="18"/>
                <w:rtl w:val="0"/>
              </w:rPr>
              <w:t xml:space="preserve">Clause-Level Hedges</w:t>
            </w:r>
            <w:r w:rsidDel="00000000" w:rsidR="00000000" w:rsidRPr="00000000">
              <w:rPr>
                <w:rtl w:val="0"/>
              </w:rPr>
            </w:r>
          </w:p>
        </w:tc>
        <w:tc>
          <w:tcPr/>
          <w:p w:rsidR="00000000" w:rsidDel="00000000" w:rsidP="00000000" w:rsidRDefault="00000000" w:rsidRPr="00000000" w14:paraId="000000B8">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BA">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0BB">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0BD">
      <w:pPr>
        <w:spacing w:after="0" w:before="240" w:line="480" w:lineRule="auto"/>
        <w:ind w:firstLine="720"/>
        <w:jc w:val="both"/>
        <w:rPr/>
      </w:pPr>
      <w:r w:rsidDel="00000000" w:rsidR="00000000" w:rsidRPr="00000000">
        <w:rPr>
          <w:strike w:val="0"/>
          <w:rtl w:val="0"/>
        </w:rPr>
        <w:t>Table 2 presents the overall distribution of hedge types. Lexical hedges dominated the corpus with 42 instances, followed by modal verbs with 20 instances, and adverbial hedges with 3 instances. No clause-level hedges were identified in any of the 60 abstracts. The literature reports modal verbs as the most frequent hedge type in developing researchers' writing (Khunasathitchai et al., 2025; Wang, 2022). This corpus differs: lexical hedges outnumber modal verbs.</w:t>
      </w:r>
    </w:p>
    <w:p w:rsidR="00000000" w:rsidDel="00000000" w:rsidP="00000000" w:rsidRDefault="00000000" w:rsidRPr="00000000" w14:paraId="000000BE">
      <w:pPr>
        <w:spacing w:after="0" w:before="0" w:line="480" w:lineRule="auto"/>
        <w:ind w:firstLine="720"/>
        <w:jc w:val="both"/>
        <w:rPr/>
      </w:pPr>
      <w:r w:rsidDel="00000000" w:rsidR="00000000" w:rsidRPr="00000000">
        <w:rPr>
          <w:strike w:val="0"/>
          <w:rtl w:val="0"/>
        </w:rPr>
        <w:t>Within the lexical hedge category, the token “potential” accounted for 19 of the 42 lexical instances, the single most frequent hedge token in the corpus. Other frequent lexical forms, grouped by root, included “suggest / suggests / suggesting” (13), “imply / implies / implying” (3), and “indicating / indicates” (3). Modal verbs were led by “could” (6), “may” (6), “can” (5), and “might” (3). The 19 potential instances show recurring frames such as “the potential of X as a Y,” “has potential as an X,” and “highlight their potential as X.” Whether those uses express epistemic caution or topic-naming evaluation remains a boundary judgment under the Working Test and is open to alternative readings. Without these 19 tokens, lexical hedges number 23 against 20 modal verbs, so the lexical lead rests on how “potential” is read. Agriculture and Biology account for 15 of the 19 instances. Veterinary Medicine accounts for 4. In scientific English, however, content-oriented lexical hedges often carry more of the epistemic load than modals alone (Hyland, 1998). The dominance of potential fits that pattern in applied-life-science abstracts. Writers reach for a ready English formula that softens application claims (“has potential as…”, “highlight their potential as…”) without building longer clause-level stance. Related work on scientific research writing supports a lexical emphasis. Hyland (1996a) shows that hedging in molecular biology articles is realized mainly by surface lexical forms, with epistemic lexical verbs the largest and most varied group and items such as suggest and indicate among the most frequent. Biologists in that corpus also used fewer modal verbs than writers in general academic English. The present lexical-led profile, driven by potential and suggest in application and implication frames, therefore aligns more with the scientific pattern than with the modal-heavy student pattern.</w:t>
      </w:r>
    </w:p>
    <w:p w:rsidR="00000000" w:rsidDel="00000000" w:rsidP="00000000" w:rsidRDefault="00000000" w:rsidRPr="00000000" w14:paraId="000000BF">
      <w:pPr>
        <w:keepNext w:val="1"/>
        <w:pageBreakBefore w:val="0"/>
        <w:spacing w:after="0" w:before="240" w:line="480" w:lineRule="auto"/>
        <w:jc w:val="center"/>
        <w:rPr/>
      </w:pPr>
      <w:r w:rsidDel="00000000" w:rsidR="00000000" w:rsidRPr="00000000">
        <w:rPr>
          <w:b w:val="1"/>
          <w:bCs w:val="1"/>
          <w:rtl w:val="0"/>
        </w:rPr>
        <w:t xml:space="preserve">Table 3</w:t>
      </w:r>
      <w:r w:rsidDel="00000000" w:rsidR="00000000" w:rsidRPr="00000000">
        <w:rPr>
          <w:rtl w:val="0"/>
        </w:rPr>
      </w:r>
    </w:p>
    <w:p w:rsidR="00000000" w:rsidDel="00000000" w:rsidP="00000000" w:rsidRDefault="00000000" w:rsidRPr="00000000" w14:paraId="000000C0">
      <w:pPr>
        <w:keepNext w:val="1"/>
        <w:spacing w:after="0" w:before="0" w:line="480" w:lineRule="auto"/>
        <w:jc w:val="center"/>
        <w:rPr/>
      </w:pPr>
      <w:r w:rsidDel="00000000" w:rsidR="00000000" w:rsidRPr="00000000">
        <w:rPr>
          <w:rtl w:val="0"/>
        </w:rPr>
        <w:t xml:space="preserve">Hedge Token Inventory by Form</w:t>
      </w:r>
    </w:p>
    <w:tbl>
      <w:tblPr>
        <w:tblStyle w:val="Table3"/>
        <w:tblW w:w="8303.0" w:type="dxa"/>
        <w:jc w:val="left"/>
        <w:tblInd w:w="-10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6" w:val="single"/>
            </w:tcBorders>
          </w:tcPr>
          <w:p w:rsidR="00000000" w:rsidDel="00000000" w:rsidP="00000000" w:rsidRDefault="00000000" w:rsidRPr="00000000" w14:paraId="000000C1">
            <w:pPr>
              <w:spacing w:after="0" w:before="0" w:line="480" w:lineRule="auto"/>
              <w:jc w:val="center"/>
              <w:rPr>
                <w:sz w:val="18"/>
                <w:szCs w:val="18"/>
              </w:rPr>
            </w:pPr>
            <w:r w:rsidDel="00000000" w:rsidR="00000000" w:rsidRPr="00000000">
              <w:rPr>
                <w:b w:val="1"/>
                <w:bCs w:val="1"/>
                <w:sz w:val="18"/>
                <w:szCs w:val="18"/>
                <w:rtl w:val="0"/>
              </w:rPr>
              <w:t xml:space="preserve">Hedge form</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2">
            <w:pPr>
              <w:spacing w:after="0" w:before="0" w:line="480" w:lineRule="auto"/>
              <w:jc w:val="center"/>
              <w:rPr>
                <w:sz w:val="18"/>
                <w:szCs w:val="18"/>
              </w:rPr>
            </w:pPr>
            <w:r w:rsidDel="00000000" w:rsidR="00000000" w:rsidRPr="00000000">
              <w:rPr>
                <w:b w:val="1"/>
                <w:bCs w:val="1"/>
                <w:sz w:val="18"/>
                <w:szCs w:val="18"/>
                <w:rtl w:val="0"/>
              </w:rPr>
              <w:t xml:space="preserve">Grammatical type</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3">
            <w:pPr>
              <w:spacing w:after="0" w:before="0" w:line="480" w:lineRule="auto"/>
              <w:jc w:val="center"/>
              <w:rPr>
                <w:sz w:val="18"/>
                <w:szCs w:val="18"/>
              </w:rPr>
            </w:pPr>
            <w:r w:rsidDel="00000000" w:rsidR="00000000" w:rsidRPr="00000000">
              <w:rPr>
                <w:b w:val="1"/>
                <w:bCs w:val="1"/>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before="0" w:line="480" w:lineRule="auto"/>
              <w:jc w:val="left"/>
              <w:rPr>
                <w:sz w:val="18"/>
                <w:szCs w:val="18"/>
              </w:rPr>
            </w:pPr>
            <w:r w:rsidDel="00000000" w:rsidR="00000000" w:rsidRPr="00000000">
              <w:rPr>
                <w:sz w:val="18"/>
                <w:szCs w:val="18"/>
                <w:rtl w:val="0"/>
              </w:rPr>
              <w:t xml:space="preserve">potential</w:t>
            </w:r>
          </w:p>
        </w:tc>
        <w:tc>
          <w:tcPr/>
          <w:p w:rsidR="00000000" w:rsidDel="00000000" w:rsidP="00000000" w:rsidRDefault="00000000" w:rsidRPr="00000000" w14:paraId="000000C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7">
            <w:pPr>
              <w:spacing w:after="0" w:before="0" w:line="480" w:lineRule="auto"/>
              <w:jc w:val="center"/>
              <w:rPr>
                <w:sz w:val="18"/>
                <w:szCs w:val="18"/>
              </w:rPr>
            </w:pPr>
            <w:r w:rsidDel="00000000" w:rsidR="00000000" w:rsidRPr="00000000">
              <w:rPr>
                <w:sz w:val="18"/>
                <w:szCs w:val="18"/>
                <w:rtl w:val="0"/>
              </w:rPr>
              <w:t xml:space="preserve">19</w:t>
            </w:r>
          </w:p>
        </w:tc>
      </w:tr>
      <w:tr>
        <w:trPr>
          <w:cantSplit w:val="1"/>
          <w:tblHeader w:val="0"/>
        </w:trPr>
        <w:tc>
          <w:tcPr/>
          <w:p w:rsidR="00000000" w:rsidDel="00000000" w:rsidP="00000000" w:rsidRDefault="00000000" w:rsidRPr="00000000" w14:paraId="000000C9">
            <w:pPr>
              <w:spacing w:after="0" w:before="0" w:line="480" w:lineRule="auto"/>
              <w:jc w:val="left"/>
              <w:rPr>
                <w:sz w:val="18"/>
                <w:szCs w:val="18"/>
              </w:rPr>
            </w:pPr>
            <w:r w:rsidDel="00000000" w:rsidR="00000000" w:rsidRPr="00000000">
              <w:rPr>
                <w:sz w:val="18"/>
                <w:szCs w:val="18"/>
                <w:rtl w:val="0"/>
              </w:rPr>
              <w:t xml:space="preserve">suggests</w:t>
            </w:r>
          </w:p>
        </w:tc>
        <w:tc>
          <w:tcPr/>
          <w:p w:rsidR="00000000" w:rsidDel="00000000" w:rsidP="00000000" w:rsidRDefault="00000000" w:rsidRPr="00000000" w14:paraId="000000C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B">
            <w:pPr>
              <w:spacing w:after="0" w:before="0" w:line="480" w:lineRule="auto"/>
              <w:jc w:val="center"/>
              <w:rPr>
                <w:sz w:val="18"/>
                <w:szCs w:val="18"/>
              </w:rPr>
            </w:pPr>
            <w:r w:rsidDel="00000000" w:rsidR="00000000" w:rsidRPr="00000000">
              <w:rPr>
                <w:sz w:val="18"/>
                <w:szCs w:val="18"/>
                <w:rtl w:val="0"/>
              </w:rPr>
              <w:t xml:space="preserve">7</w:t>
            </w:r>
          </w:p>
        </w:tc>
      </w:tr>
      <w:tr>
        <w:trPr>
          <w:cantSplit w:val="1"/>
          <w:tblHeader w:val="0"/>
        </w:trPr>
        <w:tc>
          <w:tcPr/>
          <w:p w:rsidR="00000000" w:rsidDel="00000000" w:rsidP="00000000" w:rsidRDefault="00000000" w:rsidRPr="00000000" w14:paraId="000000CD">
            <w:pPr>
              <w:spacing w:after="0" w:before="0" w:line="480" w:lineRule="auto"/>
              <w:jc w:val="left"/>
              <w:rPr>
                <w:sz w:val="18"/>
                <w:szCs w:val="18"/>
              </w:rPr>
            </w:pPr>
            <w:r w:rsidDel="00000000" w:rsidR="00000000" w:rsidRPr="00000000">
              <w:rPr>
                <w:sz w:val="18"/>
                <w:szCs w:val="18"/>
                <w:rtl w:val="0"/>
              </w:rPr>
              <w:t xml:space="preserve">suggest</w:t>
            </w:r>
          </w:p>
        </w:tc>
        <w:tc>
          <w:tcPr/>
          <w:p w:rsidR="00000000" w:rsidDel="00000000" w:rsidP="00000000" w:rsidRDefault="00000000" w:rsidRPr="00000000" w14:paraId="000000C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1">
            <w:pPr>
              <w:spacing w:after="0" w:before="0" w:line="480" w:lineRule="auto"/>
              <w:jc w:val="left"/>
              <w:rPr>
                <w:sz w:val="18"/>
                <w:szCs w:val="18"/>
              </w:rPr>
            </w:pPr>
            <w:r w:rsidDel="00000000" w:rsidR="00000000" w:rsidRPr="00000000">
              <w:rPr>
                <w:sz w:val="18"/>
                <w:szCs w:val="18"/>
                <w:rtl w:val="0"/>
              </w:rPr>
              <w:t xml:space="preserve">suggesting</w:t>
            </w:r>
          </w:p>
        </w:tc>
        <w:tc>
          <w:tcPr/>
          <w:p w:rsidR="00000000" w:rsidDel="00000000" w:rsidP="00000000" w:rsidRDefault="00000000" w:rsidRPr="00000000" w14:paraId="000000D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3">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5">
            <w:pPr>
              <w:spacing w:after="0" w:before="0" w:line="480" w:lineRule="auto"/>
              <w:jc w:val="left"/>
              <w:rPr>
                <w:sz w:val="18"/>
                <w:szCs w:val="18"/>
              </w:rPr>
            </w:pPr>
            <w:r w:rsidDel="00000000" w:rsidR="00000000" w:rsidRPr="00000000">
              <w:rPr>
                <w:sz w:val="18"/>
                <w:szCs w:val="18"/>
                <w:rtl w:val="0"/>
              </w:rPr>
              <w:t xml:space="preserve">implies</w:t>
            </w:r>
          </w:p>
        </w:tc>
        <w:tc>
          <w:tcPr/>
          <w:p w:rsidR="00000000" w:rsidDel="00000000" w:rsidP="00000000" w:rsidRDefault="00000000" w:rsidRPr="00000000" w14:paraId="000000D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7">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D9">
            <w:pPr>
              <w:spacing w:after="0" w:before="0" w:line="480" w:lineRule="auto"/>
              <w:jc w:val="left"/>
              <w:rPr>
                <w:sz w:val="18"/>
                <w:szCs w:val="18"/>
              </w:rPr>
            </w:pPr>
            <w:r w:rsidDel="00000000" w:rsidR="00000000" w:rsidRPr="00000000">
              <w:rPr>
                <w:sz w:val="18"/>
                <w:szCs w:val="18"/>
                <w:rtl w:val="0"/>
              </w:rPr>
              <w:t xml:space="preserve">indicating / indicates</w:t>
            </w:r>
          </w:p>
        </w:tc>
        <w:tc>
          <w:tcPr/>
          <w:p w:rsidR="00000000" w:rsidDel="00000000" w:rsidP="00000000" w:rsidRDefault="00000000" w:rsidRPr="00000000" w14:paraId="000000D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D">
            <w:pPr>
              <w:spacing w:after="0" w:before="0" w:line="480" w:lineRule="auto"/>
              <w:jc w:val="left"/>
              <w:rPr>
                <w:sz w:val="18"/>
                <w:szCs w:val="18"/>
              </w:rPr>
            </w:pPr>
            <w:r w:rsidDel="00000000" w:rsidR="00000000" w:rsidRPr="00000000">
              <w:rPr>
                <w:sz w:val="18"/>
                <w:szCs w:val="18"/>
                <w:rtl w:val="0"/>
              </w:rPr>
              <w:t xml:space="preserve">likely</w:t>
            </w:r>
          </w:p>
        </w:tc>
        <w:tc>
          <w:tcPr/>
          <w:p w:rsidR="00000000" w:rsidDel="00000000" w:rsidP="00000000" w:rsidRDefault="00000000" w:rsidRPr="00000000" w14:paraId="000000D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F">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E1">
            <w:pPr>
              <w:spacing w:after="0" w:before="0" w:line="480" w:lineRule="auto"/>
              <w:jc w:val="left"/>
              <w:rPr>
                <w:sz w:val="18"/>
                <w:szCs w:val="18"/>
              </w:rPr>
            </w:pPr>
            <w:r w:rsidDel="00000000" w:rsidR="00000000" w:rsidRPr="00000000">
              <w:rPr>
                <w:sz w:val="18"/>
                <w:szCs w:val="18"/>
                <w:rtl w:val="0"/>
              </w:rPr>
              <w:t xml:space="preserve">implying</w:t>
            </w:r>
          </w:p>
        </w:tc>
        <w:tc>
          <w:tcPr/>
          <w:p w:rsidR="00000000" w:rsidDel="00000000" w:rsidP="00000000" w:rsidRDefault="00000000" w:rsidRPr="00000000" w14:paraId="000000E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3">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5">
            <w:pPr>
              <w:spacing w:after="0" w:before="0" w:line="480" w:lineRule="auto"/>
              <w:jc w:val="left"/>
              <w:rPr>
                <w:sz w:val="18"/>
                <w:szCs w:val="18"/>
              </w:rPr>
            </w:pPr>
            <w:r w:rsidDel="00000000" w:rsidR="00000000" w:rsidRPr="00000000">
              <w:rPr>
                <w:sz w:val="18"/>
                <w:szCs w:val="18"/>
                <w:rtl w:val="0"/>
              </w:rPr>
              <w:t xml:space="preserve">inferring</w:t>
            </w:r>
          </w:p>
        </w:tc>
        <w:tc>
          <w:tcPr/>
          <w:p w:rsidR="00000000" w:rsidDel="00000000" w:rsidP="00000000" w:rsidRDefault="00000000" w:rsidRPr="00000000" w14:paraId="000000E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7">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9">
            <w:pPr>
              <w:spacing w:after="0" w:before="0" w:line="480" w:lineRule="auto"/>
              <w:jc w:val="left"/>
              <w:rPr>
                <w:sz w:val="18"/>
                <w:szCs w:val="18"/>
              </w:rPr>
            </w:pPr>
            <w:r w:rsidDel="00000000" w:rsidR="00000000" w:rsidRPr="00000000">
              <w:rPr>
                <w:sz w:val="18"/>
                <w:szCs w:val="18"/>
                <w:rtl w:val="0"/>
              </w:rPr>
              <w:t xml:space="preserve">possible</w:t>
            </w:r>
          </w:p>
        </w:tc>
        <w:tc>
          <w:tcPr/>
          <w:p w:rsidR="00000000" w:rsidDel="00000000" w:rsidP="00000000" w:rsidRDefault="00000000" w:rsidRPr="00000000" w14:paraId="000000E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B">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D">
            <w:pPr>
              <w:spacing w:after="0" w:before="0" w:line="480" w:lineRule="auto"/>
              <w:jc w:val="left"/>
              <w:rPr>
                <w:sz w:val="18"/>
                <w:szCs w:val="18"/>
              </w:rPr>
            </w:pPr>
            <w:r w:rsidDel="00000000" w:rsidR="00000000" w:rsidRPr="00000000">
              <w:rPr>
                <w:sz w:val="18"/>
                <w:szCs w:val="18"/>
                <w:rtl w:val="0"/>
              </w:rPr>
              <w:t xml:space="preserve">can</w:t>
            </w:r>
          </w:p>
        </w:tc>
        <w:tc>
          <w:tcPr/>
          <w:p w:rsidR="00000000" w:rsidDel="00000000" w:rsidP="00000000" w:rsidRDefault="00000000" w:rsidRPr="00000000" w14:paraId="000000EE">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EF">
            <w:pPr>
              <w:spacing w:after="0" w:before="0" w:line="480" w:lineRule="auto"/>
              <w:jc w:val="center"/>
              <w:rPr>
                <w:sz w:val="18"/>
                <w:szCs w:val="18"/>
              </w:rPr>
            </w:pPr>
            <w:r w:rsidDel="00000000" w:rsidR="00000000" w:rsidRPr="00000000">
              <w:rPr>
                <w:sz w:val="18"/>
                <w:szCs w:val="18"/>
                <w:rtl w:val="0"/>
              </w:rPr>
              <w:t xml:space="preserve">5</w:t>
            </w:r>
          </w:p>
        </w:tc>
      </w:tr>
      <w:tr>
        <w:trPr>
          <w:cantSplit w:val="1"/>
          <w:tblHeader w:val="0"/>
        </w:trPr>
        <w:tc>
          <w:tcPr/>
          <w:p w:rsidR="00000000" w:rsidDel="00000000" w:rsidP="00000000" w:rsidRDefault="00000000" w:rsidRPr="00000000" w14:paraId="000000F1">
            <w:pPr>
              <w:spacing w:after="0" w:before="0" w:line="480" w:lineRule="auto"/>
              <w:jc w:val="left"/>
              <w:rPr>
                <w:sz w:val="18"/>
                <w:szCs w:val="18"/>
              </w:rPr>
            </w:pPr>
            <w:r w:rsidDel="00000000" w:rsidR="00000000" w:rsidRPr="00000000">
              <w:rPr>
                <w:sz w:val="18"/>
                <w:szCs w:val="18"/>
                <w:rtl w:val="0"/>
              </w:rPr>
              <w:t xml:space="preserve">could</w:t>
            </w:r>
          </w:p>
        </w:tc>
        <w:tc>
          <w:tcPr/>
          <w:p w:rsidR="00000000" w:rsidDel="00000000" w:rsidP="00000000" w:rsidRDefault="00000000" w:rsidRPr="00000000" w14:paraId="000000F2">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3">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5">
            <w:pPr>
              <w:spacing w:after="0" w:before="0" w:line="480" w:lineRule="auto"/>
              <w:jc w:val="left"/>
              <w:rPr>
                <w:sz w:val="18"/>
                <w:szCs w:val="18"/>
              </w:rPr>
            </w:pPr>
            <w:r w:rsidDel="00000000" w:rsidR="00000000" w:rsidRPr="00000000">
              <w:rPr>
                <w:sz w:val="18"/>
                <w:szCs w:val="18"/>
                <w:rtl w:val="0"/>
              </w:rPr>
              <w:t xml:space="preserve">may</w:t>
            </w:r>
          </w:p>
        </w:tc>
        <w:tc>
          <w:tcPr/>
          <w:p w:rsidR="00000000" w:rsidDel="00000000" w:rsidP="00000000" w:rsidRDefault="00000000" w:rsidRPr="00000000" w14:paraId="000000F6">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7">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9">
            <w:pPr>
              <w:spacing w:after="0" w:before="0" w:line="480" w:lineRule="auto"/>
              <w:jc w:val="left"/>
              <w:rPr>
                <w:sz w:val="18"/>
                <w:szCs w:val="18"/>
              </w:rPr>
            </w:pPr>
            <w:r w:rsidDel="00000000" w:rsidR="00000000" w:rsidRPr="00000000">
              <w:rPr>
                <w:sz w:val="18"/>
                <w:szCs w:val="18"/>
                <w:rtl w:val="0"/>
              </w:rPr>
              <w:t xml:space="preserve">might</w:t>
            </w:r>
          </w:p>
        </w:tc>
        <w:tc>
          <w:tcPr/>
          <w:p w:rsidR="00000000" w:rsidDel="00000000" w:rsidP="00000000" w:rsidRDefault="00000000" w:rsidRPr="00000000" w14:paraId="000000FA">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FD">
            <w:pPr>
              <w:spacing w:after="0" w:before="0" w:line="480" w:lineRule="auto"/>
              <w:jc w:val="left"/>
              <w:rPr>
                <w:sz w:val="18"/>
                <w:szCs w:val="18"/>
              </w:rPr>
            </w:pPr>
            <w:r w:rsidDel="00000000" w:rsidR="00000000" w:rsidRPr="00000000">
              <w:rPr>
                <w:sz w:val="18"/>
                <w:szCs w:val="18"/>
                <w:rtl w:val="0"/>
              </w:rPr>
              <w:t xml:space="preserve">potentially</w:t>
            </w:r>
          </w:p>
        </w:tc>
        <w:tc>
          <w:tcPr/>
          <w:p w:rsidR="00000000" w:rsidDel="00000000" w:rsidP="00000000" w:rsidRDefault="00000000" w:rsidRPr="00000000" w14:paraId="000000FE">
            <w:pPr>
              <w:spacing w:after="0" w:before="0" w:line="480" w:lineRule="auto"/>
              <w:jc w:val="left"/>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0F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tcBorders>
              <w:top w:color="000000" w:space="0" w:sz="6" w:val="single"/>
              <w:bottom w:color="000000" w:space="0" w:sz="18" w:val="single"/>
            </w:tcBorders>
          </w:tcPr>
          <w:p w:rsidR="00000000" w:rsidDel="00000000" w:rsidP="00000000" w:rsidRDefault="00000000" w:rsidRPr="00000000" w14:paraId="00000101">
            <w:pPr>
              <w:spacing w:after="0" w:before="0" w:line="480" w:lineRule="auto"/>
              <w:jc w:val="left"/>
              <w:rPr>
                <w:sz w:val="18"/>
                <w:szCs w:val="18"/>
              </w:rPr>
            </w:pPr>
            <w:r w:rsidDel="00000000" w:rsidR="00000000" w:rsidRPr="00000000">
              <w:rPr>
                <w:sz w:val="18"/>
                <w:szCs w:val="18"/>
                <w:rtl w:val="0"/>
              </w:rPr>
              <w:t xml:space="preserve">Total</w:t>
            </w:r>
          </w:p>
        </w:tc>
        <w:tc>
          <w:tcPr>
            <w:tcBorders>
              <w:top w:color="000000" w:space="0" w:sz="6" w:val="single"/>
              <w:bottom w:color="000000" w:space="0" w:sz="18" w:val="single"/>
            </w:tcBorders>
          </w:tcPr>
          <w:p w:rsidR="00000000" w:rsidDel="00000000" w:rsidP="00000000" w:rsidRDefault="00000000" w:rsidRPr="00000000" w14:paraId="00000102">
            <w:pPr>
              <w:spacing w:after="0" w:before="0" w:line="480" w:lineRule="auto"/>
              <w:jc w:val="left"/>
              <w:rPr>
                <w:sz w:val="18"/>
                <w:szCs w:val="18"/>
              </w:rPr>
            </w:pPr>
            <w:r w:rsidDel="00000000" w:rsidR="00000000" w:rsidRPr="00000000">
              <w:rPr>
                <w:rtl w:val="0"/>
              </w:rPr>
            </w:r>
          </w:p>
        </w:tc>
        <w:tc>
          <w:tcPr>
            <w:tcBorders>
              <w:top w:color="000000" w:space="0" w:sz="6" w:val="single"/>
              <w:bottom w:color="000000" w:space="0" w:sz="18" w:val="single"/>
            </w:tcBorders>
          </w:tcPr>
          <w:p w:rsidR="00000000" w:rsidDel="00000000" w:rsidP="00000000" w:rsidRDefault="00000000" w:rsidRPr="00000000" w14:paraId="00000103">
            <w:pPr>
              <w:spacing w:after="0" w:before="0" w:line="480" w:lineRule="auto"/>
              <w:jc w:val="center"/>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05">
      <w:pPr>
        <w:spacing w:after="0" w:before="120" w:line="480" w:lineRule="auto"/>
        <w:ind w:firstLine="720"/>
        <w:rPr/>
      </w:pPr>
      <w:r w:rsidDel="00000000" w:rsidR="00000000" w:rsidRPr="00000000">
        <w:rPr>
          <w:strike w:val="0"/>
          <w:rtl w:val="0"/>
        </w:rPr>
        <w:t xml:space="preserve">Table 3 lists every retained hedge form in the corpus with its grammatical type and count. Counts sum to 6</w:t>
      </w:r>
      <w:r w:rsidDel="00000000" w:rsidR="00000000" w:rsidRPr="00000000">
        <w:rPr>
          <w:rtl w:val="0"/>
        </w:rPr>
        <w:t xml:space="preserve">5</w:t>
      </w:r>
      <w:r w:rsidDel="00000000" w:rsidR="00000000" w:rsidRPr="00000000">
        <w:rPr>
          <w:strike w:val="0"/>
          <w:rtl w:val="0"/>
        </w:rPr>
        <w:t xml:space="preserve">. Surface forms of the same root are listed separately here so each tally line can be checked against the coding sheet.</w:t>
      </w:r>
      <w:r w:rsidDel="00000000" w:rsidR="00000000" w:rsidRPr="00000000">
        <w:rPr>
          <w:rtl w:val="0"/>
        </w:rPr>
      </w:r>
    </w:p>
    <w:p w:rsidR="00000000" w:rsidDel="00000000" w:rsidP="00000000" w:rsidRDefault="00000000" w:rsidRPr="00000000" w14:paraId="00000106">
      <w:pPr>
        <w:spacing w:after="0" w:before="0" w:line="480" w:lineRule="auto"/>
        <w:ind w:firstLine="720"/>
        <w:jc w:val="both"/>
        <w:rPr/>
      </w:pPr>
      <w:r w:rsidDel="00000000" w:rsidR="00000000" w:rsidRPr="00000000">
        <w:rPr>
          <w:rtl w:val="0"/>
        </w:rPr>
        <w:t xml:space="preserve">The distribution of hedge types shows cross-disciplinary differences, most clearly in Veterinary Medicine’s small total and low modal share. Table 4 presents the per-discipline breakdown of hedge types. Read against other corpora where type distribution also shifts by field or writer group (Wang, 2022; Hyland, 1996a), that cell is a local type profile in this sample, not only evidence that VM hedges less often.</w:t>
      </w:r>
    </w:p>
    <w:p w:rsidR="00000000" w:rsidDel="00000000" w:rsidP="00000000" w:rsidRDefault="00000000" w:rsidRPr="00000000" w14:paraId="00000107">
      <w:pPr>
        <w:keepNext w:val="1"/>
        <w:pageBreakBefore w:val="0"/>
        <w:spacing w:after="0" w:before="720" w:line="480" w:lineRule="auto"/>
        <w:jc w:val="center"/>
        <w:rPr/>
      </w:pPr>
      <w:r w:rsidDel="00000000" w:rsidR="00000000" w:rsidRPr="00000000">
        <w:rPr>
          <w:b w:val="1"/>
          <w:bCs w:val="1"/>
          <w:rtl w:val="0"/>
        </w:rPr>
        <w:t xml:space="preserve">Table 4</w:t>
      </w:r>
      <w:r w:rsidDel="00000000" w:rsidR="00000000" w:rsidRPr="00000000">
        <w:rPr>
          <w:rtl w:val="0"/>
        </w:rPr>
      </w:r>
    </w:p>
    <w:p w:rsidR="00000000" w:rsidDel="00000000" w:rsidP="00000000" w:rsidRDefault="00000000" w:rsidRPr="00000000" w14:paraId="00000108">
      <w:pPr>
        <w:keepNext w:val="1"/>
        <w:spacing w:after="60" w:before="0" w:line="480" w:lineRule="auto"/>
        <w:jc w:val="center"/>
        <w:rPr/>
      </w:pPr>
      <w:r w:rsidDel="00000000" w:rsidR="00000000" w:rsidRPr="00000000">
        <w:rPr>
          <w:rtl w:val="0"/>
        </w:rPr>
        <w:t xml:space="preserve">Hedge Type Distribution by Discipline</w:t>
      </w:r>
    </w:p>
    <w:tbl>
      <w:tblPr>
        <w:tblStyle w:val="Table4"/>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09">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A">
            <w:pPr>
              <w:spacing w:after="0" w:before="0" w:line="480" w:lineRule="auto"/>
              <w:rPr>
                <w:sz w:val="18"/>
                <w:szCs w:val="18"/>
              </w:rPr>
            </w:pPr>
            <w:r w:rsidDel="00000000" w:rsidR="00000000" w:rsidRPr="00000000">
              <w:rPr>
                <w:b w:val="1"/>
                <w:bCs w:val="1"/>
                <w:i w:val="0"/>
                <w:iCs w:val="0"/>
                <w:sz w:val="18"/>
                <w:szCs w:val="18"/>
                <w:rtl w:val="0"/>
              </w:rPr>
              <w:t xml:space="preserve">Modal Verbs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B">
            <w:pPr>
              <w:spacing w:after="0" w:before="0" w:line="480" w:lineRule="auto"/>
              <w:rPr>
                <w:sz w:val="18"/>
                <w:szCs w:val="18"/>
              </w:rPr>
            </w:pPr>
            <w:r w:rsidDel="00000000" w:rsidR="00000000" w:rsidRPr="00000000">
              <w:rPr>
                <w:b w:val="1"/>
                <w:bCs w:val="1"/>
                <w:i w:val="0"/>
                <w:iCs w:val="0"/>
                <w:sz w:val="18"/>
                <w:szCs w:val="18"/>
                <w:rtl w:val="0"/>
              </w:rPr>
              <w:t xml:space="preserve">Lexical 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C">
            <w:pPr>
              <w:spacing w:after="0" w:before="0" w:line="480" w:lineRule="auto"/>
              <w:rPr>
                <w:sz w:val="18"/>
                <w:szCs w:val="18"/>
              </w:rPr>
            </w:pPr>
            <w:r w:rsidDel="00000000" w:rsidR="00000000" w:rsidRPr="00000000">
              <w:rPr>
                <w:b w:val="1"/>
                <w:bCs w:val="1"/>
                <w:i w:val="0"/>
                <w:iCs w:val="0"/>
                <w:sz w:val="18"/>
                <w:szCs w:val="18"/>
                <w:rtl w:val="0"/>
              </w:rPr>
              <w:t xml:space="preserve">Adverbial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D">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Clause-</w:t>
            </w:r>
          </w:p>
          <w:p w:rsidR="00000000" w:rsidDel="00000000" w:rsidP="00000000" w:rsidRDefault="00000000" w:rsidRPr="00000000" w14:paraId="0000010E">
            <w:pPr>
              <w:spacing w:after="0" w:before="0" w:line="480" w:lineRule="auto"/>
              <w:rPr>
                <w:sz w:val="18"/>
                <w:szCs w:val="18"/>
              </w:rPr>
            </w:pPr>
            <w:r w:rsidDel="00000000" w:rsidR="00000000" w:rsidRPr="00000000">
              <w:rPr>
                <w:b w:val="1"/>
                <w:bCs w:val="1"/>
                <w:i w:val="0"/>
                <w:iCs w:val="0"/>
                <w:sz w:val="18"/>
                <w:szCs w:val="18"/>
                <w:rtl w:val="0"/>
              </w:rPr>
              <w:t xml:space="preserve">Level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F">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11">
            <w:pPr>
              <w:spacing w:after="0" w:before="0" w:line="480" w:lineRule="auto"/>
              <w:rPr>
                <w:sz w:val="18"/>
                <w:szCs w:val="18"/>
              </w:rPr>
            </w:pPr>
            <w:r w:rsidDel="00000000" w:rsidR="00000000" w:rsidRPr="00000000">
              <w:rPr>
                <w:sz w:val="18"/>
                <w:szCs w:val="18"/>
                <w:rtl w:val="0"/>
              </w:rPr>
              <w:t>13</w:t>
            </w:r>
          </w:p>
        </w:tc>
        <w:tc>
          <w:tcPr/>
          <w:p w:rsidR="00000000" w:rsidDel="00000000" w:rsidP="00000000" w:rsidRDefault="00000000" w:rsidRPr="00000000" w14:paraId="00000112">
            <w:pPr>
              <w:spacing w:after="0" w:before="0" w:line="480" w:lineRule="auto"/>
              <w:rPr>
                <w:sz w:val="18"/>
                <w:szCs w:val="18"/>
              </w:rPr>
            </w:pPr>
            <w:r w:rsidDel="00000000" w:rsidR="00000000" w:rsidRPr="00000000">
              <w:rPr>
                <w:sz w:val="18"/>
                <w:szCs w:val="18"/>
                <w:rtl w:val="0"/>
              </w:rPr>
              <w:t>14</w:t>
            </w:r>
          </w:p>
        </w:tc>
        <w:tc>
          <w:tcPr/>
          <w:p w:rsidR="00000000" w:rsidDel="00000000" w:rsidP="00000000" w:rsidRDefault="00000000" w:rsidRPr="00000000" w14:paraId="00000113">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4">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5">
            <w:pPr>
              <w:spacing w:after="0" w:before="0" w:line="480" w:lineRule="auto"/>
              <w:rPr>
                <w:sz w:val="18"/>
                <w:szCs w:val="18"/>
              </w:rPr>
            </w:pPr>
            <w:r w:rsidDel="00000000" w:rsidR="00000000" w:rsidRPr="00000000">
              <w:rPr>
                <w:sz w:val="18"/>
                <w:szCs w:val="18"/>
                <w:rtl w:val="0"/>
              </w:rPr>
              <w:t xml:space="preserve">27</w:t>
            </w:r>
          </w:p>
        </w:tc>
      </w:tr>
      <w:tr>
        <w:trPr>
          <w:cantSplit w:val="1"/>
          <w:tblHeader w:val="0"/>
        </w:trPr>
        <w:tc>
          <w:tcPr/>
          <w:p w:rsidR="00000000" w:rsidDel="00000000" w:rsidP="00000000" w:rsidRDefault="00000000" w:rsidRPr="00000000" w14:paraId="00000116">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17">
            <w:pPr>
              <w:spacing w:after="0" w:before="0" w:line="480" w:lineRule="auto"/>
              <w:rPr>
                <w:sz w:val="18"/>
                <w:szCs w:val="18"/>
              </w:rPr>
            </w:pPr>
            <w:r w:rsidDel="00000000" w:rsidR="00000000" w:rsidRPr="00000000">
              <w:rPr>
                <w:i w:val="0"/>
                <w:iCs w:val="0"/>
                <w:sz w:val="18"/>
                <w:szCs w:val="18"/>
                <w:rtl w:val="0"/>
              </w:rPr>
              <w:t>5</w:t>
            </w:r>
            <w:r w:rsidDel="00000000" w:rsidR="00000000" w:rsidRPr="00000000">
              <w:rPr>
                <w:rtl w:val="0"/>
              </w:rPr>
            </w:r>
          </w:p>
        </w:tc>
        <w:tc>
          <w:tcPr/>
          <w:p w:rsidR="00000000" w:rsidDel="00000000" w:rsidP="00000000" w:rsidRDefault="00000000" w:rsidRPr="00000000" w14:paraId="00000118">
            <w:pPr>
              <w:spacing w:after="0" w:before="0" w:line="480" w:lineRule="auto"/>
              <w:rPr>
                <w:sz w:val="18"/>
                <w:szCs w:val="18"/>
              </w:rPr>
            </w:pPr>
            <w:r w:rsidDel="00000000" w:rsidR="00000000" w:rsidRPr="00000000">
              <w:rPr>
                <w:i w:val="0"/>
                <w:iCs w:val="0"/>
                <w:sz w:val="18"/>
                <w:szCs w:val="18"/>
                <w:rtl w:val="0"/>
              </w:rPr>
              <w:t>20</w:t>
            </w:r>
            <w:r w:rsidDel="00000000" w:rsidR="00000000" w:rsidRPr="00000000">
              <w:rPr>
                <w:rtl w:val="0"/>
              </w:rPr>
            </w:r>
          </w:p>
        </w:tc>
        <w:tc>
          <w:tcPr/>
          <w:p w:rsidR="00000000" w:rsidDel="00000000" w:rsidP="00000000" w:rsidRDefault="00000000" w:rsidRPr="00000000" w14:paraId="00000119">
            <w:pPr>
              <w:spacing w:after="0" w:before="0" w:line="480" w:lineRule="auto"/>
              <w:rPr>
                <w:sz w:val="18"/>
                <w:szCs w:val="18"/>
              </w:rPr>
            </w:pPr>
            <w:r w:rsidDel="00000000" w:rsidR="00000000" w:rsidRPr="00000000">
              <w:rPr>
                <w:i w:val="0"/>
                <w:iCs w:val="0"/>
                <w:sz w:val="18"/>
                <w:szCs w:val="18"/>
                <w:rtl w:val="0"/>
              </w:rPr>
              <w:t>3</w:t>
            </w:r>
            <w:r w:rsidDel="00000000" w:rsidR="00000000" w:rsidRPr="00000000">
              <w:rPr>
                <w:rtl w:val="0"/>
              </w:rPr>
            </w:r>
          </w:p>
        </w:tc>
        <w:tc>
          <w:tcPr/>
          <w:p w:rsidR="00000000" w:rsidDel="00000000" w:rsidP="00000000" w:rsidRDefault="00000000" w:rsidRPr="00000000" w14:paraId="0000011A">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B">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1D">
            <w:pPr>
              <w:spacing w:after="0" w:before="0" w:line="480" w:lineRule="auto"/>
              <w:rPr>
                <w:sz w:val="18"/>
                <w:szCs w:val="18"/>
              </w:rPr>
            </w:pPr>
            <w:r w:rsidDel="00000000" w:rsidR="00000000" w:rsidRPr="00000000">
              <w:rPr>
                <w:i w:val="0"/>
                <w:iCs w:val="0"/>
                <w:sz w:val="18"/>
                <w:szCs w:val="18"/>
                <w:rtl w:val="0"/>
              </w:rPr>
              <w:t>2</w:t>
            </w:r>
            <w:r w:rsidDel="00000000" w:rsidR="00000000" w:rsidRPr="00000000">
              <w:rPr>
                <w:rtl w:val="0"/>
              </w:rPr>
            </w:r>
          </w:p>
        </w:tc>
        <w:tc>
          <w:tcPr/>
          <w:p w:rsidR="00000000" w:rsidDel="00000000" w:rsidP="00000000" w:rsidRDefault="00000000" w:rsidRPr="00000000" w14:paraId="0000011E">
            <w:pPr>
              <w:spacing w:after="0" w:before="0" w:line="480" w:lineRule="auto"/>
              <w:rPr>
                <w:sz w:val="18"/>
                <w:szCs w:val="18"/>
              </w:rPr>
            </w:pPr>
            <w:r w:rsidDel="00000000" w:rsidR="00000000" w:rsidRPr="00000000">
              <w:rPr>
                <w:i w:val="0"/>
                <w:iCs w:val="0"/>
                <w:sz w:val="18"/>
                <w:szCs w:val="18"/>
                <w:rtl w:val="0"/>
              </w:rPr>
              <w:t>8</w:t>
            </w:r>
            <w:r w:rsidDel="00000000" w:rsidR="00000000" w:rsidRPr="00000000">
              <w:rPr>
                <w:rtl w:val="0"/>
              </w:rPr>
            </w:r>
          </w:p>
        </w:tc>
        <w:tc>
          <w:tcPr/>
          <w:p w:rsidR="00000000" w:rsidDel="00000000" w:rsidP="00000000" w:rsidRDefault="00000000" w:rsidRPr="00000000" w14:paraId="0000011F">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0">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1">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22">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23">
            <w:pPr>
              <w:spacing w:after="0" w:before="0" w:line="480" w:lineRule="auto"/>
              <w:rPr>
                <w:sz w:val="18"/>
                <w:szCs w:val="18"/>
              </w:rPr>
            </w:pPr>
            <w:r w:rsidDel="00000000" w:rsidR="00000000" w:rsidRPr="00000000">
              <w:rPr>
                <w:sz w:val="18"/>
                <w:szCs w:val="18"/>
                <w:rtl w:val="0"/>
              </w:rPr>
              <w:t>20</w:t>
            </w:r>
          </w:p>
        </w:tc>
        <w:tc>
          <w:tcPr>
            <w:tcBorders>
              <w:bottom w:color="000000" w:space="0" w:sz="18" w:val="single"/>
            </w:tcBorders>
          </w:tcPr>
          <w:p w:rsidR="00000000" w:rsidDel="00000000" w:rsidP="00000000" w:rsidRDefault="00000000" w:rsidRPr="00000000" w14:paraId="00000124">
            <w:pPr>
              <w:spacing w:after="0" w:before="0" w:line="480" w:lineRule="auto"/>
              <w:rPr>
                <w:sz w:val="18"/>
                <w:szCs w:val="18"/>
              </w:rPr>
            </w:pPr>
            <w:r w:rsidDel="00000000" w:rsidR="00000000" w:rsidRPr="00000000">
              <w:rPr>
                <w:sz w:val="18"/>
                <w:szCs w:val="18"/>
                <w:rtl w:val="0"/>
              </w:rPr>
              <w:t>42</w:t>
            </w:r>
          </w:p>
        </w:tc>
        <w:tc>
          <w:tcPr>
            <w:tcBorders>
              <w:bottom w:color="000000" w:space="0" w:sz="18" w:val="single"/>
            </w:tcBorders>
          </w:tcPr>
          <w:p w:rsidR="00000000" w:rsidDel="00000000" w:rsidP="00000000" w:rsidRDefault="00000000" w:rsidRPr="00000000" w14:paraId="00000125">
            <w:pPr>
              <w:spacing w:after="0" w:before="0" w:line="480" w:lineRule="auto"/>
              <w:rPr>
                <w:sz w:val="18"/>
                <w:szCs w:val="18"/>
              </w:rPr>
            </w:pPr>
            <w:r w:rsidDel="00000000" w:rsidR="00000000" w:rsidRPr="00000000">
              <w:rPr>
                <w:sz w:val="18"/>
                <w:szCs w:val="18"/>
                <w:rtl w:val="0"/>
              </w:rPr>
              <w:t>3</w:t>
            </w:r>
          </w:p>
        </w:tc>
        <w:tc>
          <w:tcPr>
            <w:tcBorders>
              <w:bottom w:color="000000" w:space="0" w:sz="18" w:val="single"/>
            </w:tcBorders>
          </w:tcPr>
          <w:p w:rsidR="00000000" w:rsidDel="00000000" w:rsidP="00000000" w:rsidRDefault="00000000" w:rsidRPr="00000000" w14:paraId="00000126">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tcBorders>
              <w:bottom w:color="000000" w:space="0" w:sz="18" w:val="single"/>
            </w:tcBorders>
          </w:tcPr>
          <w:p w:rsidR="00000000" w:rsidDel="00000000" w:rsidP="00000000" w:rsidRDefault="00000000" w:rsidRPr="00000000" w14:paraId="00000127">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28">
      <w:pPr>
        <w:spacing w:after="0" w:before="240" w:line="480" w:lineRule="auto"/>
        <w:ind w:firstLine="720"/>
        <w:jc w:val="both"/>
        <w:rPr/>
      </w:pPr>
      <w:r w:rsidDel="00000000" w:rsidR="00000000" w:rsidRPr="00000000">
        <w:rPr>
          <w:strike w:val="0"/>
          <w:rtl w:val="0"/>
        </w:rPr>
        <w:t>Table 4 shows that Agriculture has a balanced type mix (13 modal verbs vs. 14 lexical hedges), while Biology is heavily lexical (20 of 28 hedges, with only 5 modal verbs). Veterinary Medicine, with only 10 total hedges, is also predominantly lexical (8 of 10). Agriculture is the only discipline in which modal verbs come close to half of the hedge tokens.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p>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sidDel="00000000" w:rsidR="00000000" w:rsidRPr="00000000">
        <w:rPr>
          <w:strike w:val="0"/>
          <w:rtl w:val="0"/>
        </w:rPr>
        <w:t>Alongside the 65 retained epistemic caution hedges (and no politeness/deference tokens), the corpus yielded 65 false positive tokens, hedge-like words that failed the claim condition or both removal checks at Step 2. Table 6 (Part III) places these totals side by side.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 xml:space="preserve">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tl w:val="0"/>
        </w:rPr>
        <w:t xml:space="preserve">Cross-disciplinary comparison shows differences in hedge density, driven mainly by Veterinary Medicine’s lower rate. Table 5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jc w:val="center"/>
        <w:rPr/>
      </w:pPr>
      <w:r w:rsidDel="00000000" w:rsidR="00000000" w:rsidRPr="00000000">
        <w:rPr>
          <w:b w:val="1"/>
          <w:bCs w:val="1"/>
          <w:rtl w:val="0"/>
        </w:rPr>
        <w:t xml:space="preserve">Table 5</w:t>
      </w:r>
      <w:r w:rsidDel="00000000" w:rsidR="00000000" w:rsidRPr="00000000">
        <w:rPr>
          <w:rtl w:val="0"/>
        </w:rPr>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sidDel="00000000" w:rsidR="00000000" w:rsidRPr="00000000">
        <w:rPr>
          <w:rtl w:val="0"/>
        </w:rPr>
        <w:t>Table 5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tl w:val="0"/>
        </w:rPr>
        <w:t xml:space="preserve">Veterinary Medicine's low density is more difficult to interpret. Many VM abstracts in this corpus reported clinical findings from animal studies (e.g., drug efficacy trials, disease detection, hematological profiling). Part IV tests the obvious explanation, that VM abstracts mostly report binary results, 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sidDel="00000000" w:rsidR="00000000" w:rsidRPr="00000000">
        <w:rPr>
          <w:strike w:val="0"/>
          <w:rtl w:val="0"/>
        </w:rPr>
        <w:t>Table 6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jc w:val="center"/>
        <w:rPr/>
      </w:pPr>
      <w:r w:rsidDel="00000000" w:rsidR="00000000" w:rsidRPr="00000000">
        <w:rPr>
          <w:b w:val="1"/>
          <w:bCs w:val="1"/>
          <w:rtl w:val="0"/>
        </w:rPr>
        <w:t xml:space="preserve">Table 6</w:t>
      </w:r>
      <w:r w:rsidDel="00000000" w:rsidR="00000000" w:rsidRPr="00000000">
        <w:rPr>
          <w:rtl w:val="0"/>
        </w:rPr>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jc w:val="center"/>
        <w:rPr/>
      </w:pPr>
      <w:r w:rsidDel="00000000" w:rsidR="00000000" w:rsidRPr="00000000">
        <w:rPr>
          <w:b w:val="1"/>
          <w:bCs w:val="1"/>
          <w:rtl w:val="0"/>
        </w:rPr>
        <w:t xml:space="preserve">Table 7</w:t>
      </w:r>
      <w:r w:rsidDel="00000000" w:rsidR="00000000" w:rsidRPr="00000000">
        <w:rPr>
          <w:rtl w:val="0"/>
        </w:rPr>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sidDel="00000000" w:rsidR="00000000" w:rsidRPr="00000000">
        <w:rPr>
          <w:rtl w:val="0"/>
        </w:rPr>
        <w:t xml:space="preserve">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sidDel="00000000" w:rsidR="00000000" w:rsidRPr="00000000">
        <w:rPr>
          <w:rtl w:val="0"/>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5),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xml:space="preserve">, with modal verbs as the other main resource. Instruction that assumes a full academic hedging repertoire will miss what this campus sample actually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