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used for classification after a token is retained. They are not treated as mutually exclusive categories in the wider literature. Interpersonal or deferential wording can overlap with epistemic stance in context. Retention depends on the Working Test: the item must change the epistemic weight of the claim. Interpersonal coloring alone is not enough. Discourse-organizing expressions are not ruled out in advance, but they are retained only when their use in context changes commitment to the proposition. Expressions that only sequence, label, or direct attention are not classified as hedges. This inclusion rule is consistent with Crompton (1997), who defines a hedge as language that explicitly qualifies the writer's lack of commitment to the truth of a proposition, and who tests for hedging by asking whether the proposition can be restated with greater author commitment without changing its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only to support an epistemically focused identification screen.</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 A related direction is noted under Recommendations: coding mitigation more broadly without the epistemic-only filter.</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i w:val="0"/>
          <w:iCs w:val="0"/>
          <w:sz w:val="22"/>
          <w:szCs w:val="22"/>
          <w:rtl w:val="0"/>
          <w:b/>
          <w:bCs/>
        </w:rPr>
        <w:t xml:space="preserve">e. Data Analysis. </w:t>
      </w:r>
      <w:r>
        <w:rPr>
          <w:rFonts w:ascii="Georgia" w:hAnsi="Georgia" w:cs="Georgia" w:eastAsia="Georgia"/>
          <w:i w:val="0"/>
          <w:iCs w:val="0"/>
          <w:sz w:val="22"/>
          <w:szCs w:val="22"/>
          <w:rtl w:val="0"/>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writer reports that statistical significance was not observed, then hedges that the treatment could still offer potential benefits, a null-result rescue pattern examined further in Part IV.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consists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under the Working Test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The absence of Politeness and Discourse Organization assignments among the 65 retained hedges should not be read as evidence that those functions are absent from PSAU student writing overall. The Working Test retains items that change epistemic weight, so the identification procedure is epistemically focused. Tokens that soften a claim without altering epistemic commitment may be excluded before functional classification. The compressed abstract genre may also limit rhetorical space for interactional or discourse-organizational mitigation. The present data cannot separate a coding effect from a genre effect. Both remain plausible accounts of the observed uniformity. That limitation is noted in Scope. The narrow functional range among retained hedges is consistent with restricted epistemic repertoires reported for developing L2 writers (Hyland &amp; Milton, 1997), though genre compression and supervisory practice remain proximate accounts in this corpus.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is still worth noting on its own terms: the writer reports that statistical significance was not observed, then hedges that the treatment could still offer potential benefits, a rescue framing that matches the introduction’s concern with overclaiming. It cannot support a Null/NS-level claim.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As noted in Scope, 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Future research could adopt a broader mitigation coding scheme to study interpersonal and discourse-organizing functions alongside epistemic ones. The present study defined hedging as epistemic stance management, drawing mainly on Hyland (1998) and Salager-Meyer (1994) for the coding scheme, and applied the Working Test so that retained hedges are those that change the epistemic weight of a claim. That epistemic focus is compatible with Crompton (1997), who reserves hedge for explicit qualification of commitment to a proposition. Under the present scheme, all retained hedges were coded Epistemic Caution. The uniform function assignment is therefore partly a methodological finding about the adapted screen, not a claim that Politeness or Discourse Organization never appear in developing-researcher writing. A future study could code mitigation more broadly, including devices that soften or qualify claims even when they do not pass a strict epistemic filter, and then classify epistemic, politeness, and discourse-organizing uses under that wider net. Such work would complement the present counts by testing whether interactional and textual mitigation appear in the abstract genre when the coding scheme is designed to capture them.</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pPr>
        <w:spacing w:before="0" w:after="0" w:line="480" w:lineRule="auto"/>
        <w:ind w:left="720" w:hanging="720"/>
        <w:jc w:val="both"/>
        <w:rPr/>
      </w:pPr>
      <w:r>
        <w:rPr>
          <w:rFonts w:ascii="Georgia" w:hAnsi="Georgia"/>
          <w:sz w:val="22"/>
          <w:szCs w:val="22"/>
        </w:rPr>
        <w:t xml:space="preserve">Crompton, P. (1997). Hedging in academic writing: Some theoretical problems. English for Specific Purposes, 16(4), 271-287. https://www.academia.edu/50160307/Hedging_in_academic_writing_Some_theoretical_problems</w:t>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