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content of that frame is consequential: the writer reports that statistical significance was not observed, then hedges that the treatment could still offer potential benefits. That is hedging used to soften or rescue a null result—the overclaiming risk this study's introduction identifies—not merely density inflation.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51.9% vs. 13 lexical hedges, 48.1%), while Biology is heavily lexical (20 of 28 hedges, 71.4%, with only 5 modal verbs). Veterinary Medicine, with only 10 total hedges, is also predominantly lexical (8 of 10, 80.0%).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Forms such as “it seems that” or “it is possible that” appear in broader academic prose, but science abstracts favor impersonal, compact reporting; first-person or overtly stance-marking variants (“I think,” “in our view”) are rare by convention. Scope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Kruskal-Wallis assumes independent observations; abstracts within a program may be clustered by adviser, so discipline is partly confounded with adviser pool.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pPr>
        <w:spacing w:before="240" w:after="0"/>
        <w:jc w:val="center"/>
      </w:pPr>
      <w:r>
        <w:rPr>
          <w:rFonts w:ascii="Times New Roman" w:hAnsi="Times New Roman"/>
          <w:sz w:val="22"/>
          <w:b/>
        </w:rPr>
        <w:t xml:space="preserve">Table 6</w:t>
      </w:r>
    </w:p>
    <w:p>
      <w:pPr>
        <w:spacing w:before="0" w:after="120"/>
        <w:jc w:val="center"/>
      </w:pPr>
      <w:r>
        <w:rPr>
          <w:rFonts w:ascii="Times New Roman" w:hAnsi="Times New Roman"/>
          <w:sz w:val="22"/>
        </w:rPr>
        <w:t xml:space="preserve">Outcome Type by Discipline</w:t>
      </w:r>
    </w:p>
    <w:tbl>
      <w:tblPr>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2016"/>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Outcome Type</w:t>
            </w:r>
          </w:p>
        </w:tc>
        <w:tc>
          <w:tcPr>
            <w:tcW w:type="dxa" w:w="1728"/>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Agriculture</w:t>
            </w:r>
          </w:p>
        </w:tc>
        <w:tc>
          <w:tcPr>
            <w:tcW w:type="dxa" w:w="2304"/>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Veterinary Medicine</w:t>
            </w:r>
          </w:p>
        </w:tc>
        <w:tc>
          <w:tcPr>
            <w:tcW w:type="dxa" w:w="1584"/>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Biology</w:t>
            </w:r>
          </w:p>
        </w:tc>
        <w:tc>
          <w:tcPr>
            <w:tcW w:type="dxa" w:w="1296"/>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Total</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Binary</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0</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8</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7</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15</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Continuous</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10</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Mixed</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3</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9</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Null/NS</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14</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5</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21</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Other</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0</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3</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5</w:t>
            </w:r>
          </w:p>
        </w:tc>
      </w:tr>
      <w:tr>
        <w:tc>
          <w:tcPr>
            <w:tcW w:type="dxa" w:w="2016"/>
            <w:tcBorders>
              <w:top w:val="single" w:sz="4" w:color="000000"/>
              <w:left w:val="single" w:sz="4" w:color="000000"/>
              <w:bottom w:val="single" w:sz="4" w:color="000000"/>
              <w:right w:val="single" w:sz="4" w:color="000000"/>
            </w:tcBorders>
            <w:shd w:fill="F2F2F2" w:val="clear"/>
          </w:tcPr>
          <w:p>
            <w:pPr>
              <w:jc w:val="left"/>
            </w:pPr>
            <w:r>
              <w:rPr>
                <w:rFonts w:ascii="Times New Roman" w:hAnsi="Times New Roman" w:cs="Times New Roman"/>
                <w:b/>
                <w:sz w:val="20"/>
              </w:rPr>
              <w:t>Total</w:t>
            </w:r>
          </w:p>
        </w:tc>
        <w:tc>
          <w:tcPr>
            <w:tcW w:type="dxa" w:w="1728"/>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2304"/>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1584"/>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1296"/>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60</w:t>
            </w:r>
          </w:p>
        </w:tc>
      </w:tr>
    </w:tbl>
    <w:p w:rsidR="00000000" w:rsidDel="00000000" w:rsidP="00000000" w:rsidRDefault="00000000" w:rsidRPr="00000000" w14:paraId="00000161">
      <w:pPr>
        <w:spacing w:before="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 separate pattern in the same table is worth noting: Agriculture accounts for 14 of 20 Null/NS abstracts, against 2 of 20 in VM, and those Agriculture Null/NS texts average about 1.5 hedges. Acs2 illustrates how a non-significant finding can still attract hedges that keep possible benefits in view; one abstract cannot establish a rule. With small cells, both the VM reading and the Null/NS share remain suggestive.</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differentiation, mainly Veterinary Medicine. Agriculture’s edge over Biology is modest and outlier-sensitive. The data cannot separate field norms, adviser practice, and outcome type. Statistical evidence is exploratory (Kruskal-Wallis p = .033, no multiple-comparison correction)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