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240"/>
        <w:ind w:firstLine="0"/>
        <w:jc w:val="center"/>
      </w:pPr>
      <w:r>
        <w:rPr>
          <w:rFonts w:ascii="Georgia" w:hAnsi="Georgia" w:eastAsia="Georgia"/>
          <w:b/>
          <w:i w:val="0"/>
          <w:sz w:val="24"/>
        </w:rPr>
        <w:t>RESULTS, ANALYSIS, AND DISCUSSION</w:t>
      </w:r>
    </w:p>
    <w:p>
      <w:pPr>
        <w:spacing w:line="480" w:lineRule="auto" w:before="0" w:after="0"/>
        <w:ind w:firstLine="720"/>
        <w:jc w:val="both"/>
      </w:pPr>
      <w:r>
        <w:rPr>
          <w:rFonts w:ascii="Georgia" w:hAnsi="Georgia" w:eastAsia="Georgia"/>
          <w:b w:val="0"/>
          <w:i w:val="0"/>
          <w:sz w:val="22"/>
        </w:rPr>
        <w:t>This section presents the results, analysis, and discussion of the rhetorical appeals and directive subtypes identified in the call-to-action (CTA) phrases of Facebook skincare advertisement captions. The chapter is organized into three parts, each corresponding to a research question. Within each part, the findings from the data are presented first, followed by a discussion that relates those findings to related studies.</w:t>
      </w:r>
    </w:p>
    <w:p>
      <w:pPr>
        <w:spacing w:line="480" w:lineRule="auto" w:before="240" w:after="0"/>
        <w:ind w:firstLine="0"/>
        <w:jc w:val="both"/>
      </w:pPr>
      <w:r>
        <w:rPr>
          <w:rFonts w:ascii="Georgia" w:hAnsi="Georgia" w:eastAsia="Georgia"/>
          <w:b/>
          <w:i w:val="0"/>
          <w:sz w:val="24"/>
        </w:rPr>
        <w:t>Part I. Rhetorical Appeals Used in the CTA Phrases</w:t>
      </w:r>
    </w:p>
    <w:p>
      <w:pPr>
        <w:spacing w:line="480" w:lineRule="auto" w:before="200" w:after="0"/>
        <w:ind w:firstLine="0"/>
        <w:jc w:val="both"/>
      </w:pPr>
      <w:r>
        <w:rPr>
          <w:rFonts w:ascii="Georgia" w:hAnsi="Georgia" w:eastAsia="Georgia"/>
          <w:b/>
          <w:i w:val="0"/>
          <w:sz w:val="22"/>
        </w:rPr>
        <w:t>Findings</w:t>
      </w:r>
    </w:p>
    <w:p>
      <w:pPr>
        <w:spacing w:line="480" w:lineRule="auto" w:before="0" w:after="0"/>
        <w:ind w:firstLine="720"/>
        <w:jc w:val="both"/>
      </w:pPr>
      <w:r>
        <w:rPr>
          <w:rFonts w:ascii="Georgia" w:hAnsi="Georgia"/>
          <w:sz w:val="22"/>
        </w:rPr>
        <w:t>The coding identified three rhetorical appeals across the 34 call-to-action (CTA) phrases from the selected Facebook skincare advertisement captions. These appeals were classified as logos, pathos, and ethos based on Aristotle’s rhetorical framework (</w:t>
      </w:r>
      <w:r>
        <w:rPr>
          <w:rFonts w:ascii="Georgia" w:hAnsi="Georgia"/>
          <w:sz w:val="22"/>
          <w:highlight w:val="yellow"/>
        </w:rPr>
        <w:t>Rapp, 2022</w:t>
      </w:r>
      <w:r>
        <w:rPr>
          <w:rFonts w:ascii="Georgia" w:hAnsi="Georgia"/>
          <w:sz w:val="22"/>
        </w:rPr>
        <w:t>). In identifying the dominant rhetorical appeal, the full advertisement caption was examined to determine the textual elements that indicated the appeal, while the CTA phrase served as the primary unit of analysis. Table 1 presents the distribution of rhetorical appeals across the five selected skincare brands.</w:t>
      </w:r>
    </w:p>
    <w:p>
      <w:pPr>
        <w:spacing w:line="480" w:lineRule="auto" w:before="240" w:after="0"/>
        <w:ind w:firstLine="0"/>
        <w:jc w:val="center"/>
      </w:pPr>
      <w:r>
        <w:rPr>
          <w:rFonts w:ascii="Georgia" w:hAnsi="Georgia" w:eastAsia="Georgia"/>
          <w:b/>
          <w:i w:val="0"/>
          <w:sz w:val="22"/>
        </w:rPr>
        <w:t>Table 1</w:t>
      </w:r>
    </w:p>
    <w:p>
      <w:pPr>
        <w:spacing w:line="480" w:lineRule="auto" w:before="0" w:after="120"/>
        <w:ind w:firstLine="0"/>
        <w:jc w:val="center"/>
      </w:pPr>
      <w:r>
        <w:rPr>
          <w:rFonts w:ascii="Georgia" w:hAnsi="Georgia" w:eastAsia="Georgia"/>
          <w:b w:val="0"/>
          <w:i/>
          <w:sz w:val="22"/>
        </w:rPr>
        <w:t>Frequency and Percentage Distribution of Rhetorical Appeals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Rhetorical Appeal</w:t>
            </w:r>
          </w:p>
        </w:tc>
        <w:tc>
          <w:tcPr>
            <w:tcW w:type="dxa" w:w="2160"/>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32.35%</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rPr>
        <w:t>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pPr>
        <w:spacing w:line="480" w:lineRule="auto" w:before="0" w:after="0"/>
        <w:ind w:firstLine="720"/>
        <w:jc w:val="both"/>
      </w:pPr>
      <w:r>
        <w:rPr>
          <w:rFonts w:ascii="Georgia" w:hAnsi="Georgia"/>
          <w:sz w:val="22"/>
        </w:rPr>
        <w:t>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w:t>
      </w:r>
      <w:r>
        <w:rPr>
          <w:rFonts w:ascii="Georgia" w:hAnsi="Georgia"/>
          <w:sz w:val="22"/>
          <w:highlight w:val="yellow"/>
        </w:rPr>
        <w:t>Rapp, 2022</w:t>
      </w:r>
      <w:r>
        <w:rPr>
          <w:rFonts w:ascii="Georgia" w:hAnsi="Georgia"/>
          <w:sz w:val="22"/>
        </w:rPr>
        <w:t>).</w:t>
      </w:r>
    </w:p>
    <w:p>
      <w:pPr>
        <w:spacing w:line="480" w:lineRule="auto" w:before="0" w:after="0"/>
        <w:ind w:firstLine="720"/>
        <w:jc w:val="both"/>
      </w:pPr>
      <w:r>
        <w:rPr>
          <w:rFonts w:ascii="Georgia" w:hAnsi="Georgia"/>
          <w:sz w:val="22"/>
        </w:rPr>
        <w:t>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w:t>
      </w:r>
      <w:r>
        <w:rPr>
          <w:rFonts w:ascii="Georgia" w:hAnsi="Georgia"/>
          <w:sz w:val="22"/>
          <w:highlight w:val="yellow"/>
        </w:rPr>
        <w:t>Rapp, 2022</w:t>
      </w:r>
      <w:r>
        <w:rPr>
          <w:rFonts w:ascii="Georgia" w:hAnsi="Georgia"/>
          <w:sz w:val="22"/>
        </w:rPr>
        <w:t>).</w:t>
      </w:r>
    </w:p>
    <w:p>
      <w:pPr>
        <w:spacing w:line="480" w:lineRule="auto" w:before="0" w:after="0"/>
        <w:ind w:firstLine="720"/>
        <w:jc w:val="both"/>
      </w:pPr>
      <w:r>
        <w:rPr>
          <w:rFonts w:ascii="Georgia" w:hAnsi="Georgia"/>
          <w:sz w:val="22"/>
        </w:rPr>
        <w:t>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w:t>
      </w:r>
      <w:r>
        <w:rPr>
          <w:rFonts w:ascii="Georgia" w:hAnsi="Georgia"/>
          <w:sz w:val="22"/>
          <w:highlight w:val="yellow"/>
        </w:rPr>
        <w:t>Rapp, 2022</w:t>
      </w:r>
      <w:r>
        <w:rPr>
          <w:rFonts w:ascii="Georgia" w:hAnsi="Georgia"/>
          <w:sz w:val="22"/>
        </w:rPr>
        <w:t>).</w:t>
      </w:r>
    </w:p>
    <w:p>
      <w:pPr>
        <w:spacing w:line="480" w:lineRule="auto" w:before="0" w:after="0"/>
        <w:ind w:firstLine="720"/>
        <w:jc w:val="both"/>
      </w:pPr>
      <w:r>
        <w:rPr>
          <w:rFonts w:ascii="Georgia" w:hAnsi="Georgia" w:eastAsia="Georgia"/>
          <w:b w:val="0"/>
          <w:i w:val="0"/>
          <w:sz w:val="22"/>
        </w:rPr>
        <w:t>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line="480" w:lineRule="auto" w:before="240" w:after="0"/>
        <w:ind w:firstLine="0"/>
        <w:jc w:val="center"/>
      </w:pPr>
      <w:r>
        <w:rPr>
          <w:rFonts w:ascii="Georgia" w:hAnsi="Georgia" w:eastAsia="Georgia"/>
          <w:b/>
          <w:i w:val="0"/>
          <w:sz w:val="22"/>
        </w:rPr>
        <w:t>Table 2</w:t>
      </w:r>
    </w:p>
    <w:p>
      <w:pPr>
        <w:spacing w:line="480" w:lineRule="auto" w:before="0" w:after="120"/>
        <w:ind w:firstLine="0"/>
        <w:jc w:val="center"/>
      </w:pPr>
      <w:r>
        <w:rPr>
          <w:rFonts w:ascii="Georgia" w:hAnsi="Georgia" w:eastAsia="Georgia"/>
          <w:b w:val="0"/>
          <w:i/>
          <w:sz w:val="22"/>
        </w:rPr>
        <w:t>Sample Analysis of Rhetorical Appeals</w:t>
      </w:r>
    </w:p>
    <w:p>
      <w:pPr>
        <w:spacing w:line="480" w:lineRule="auto" w:before="0" w:after="0"/>
        <w:ind w:firstLine="0"/>
        <w:jc w:val="both"/>
      </w:pPr>
      <w:r>
        <w:rPr>
          <w:rFonts w:ascii="Georgia" w:hAnsi="Georgia" w:eastAsia="Georgia"/>
          <w:b w:val="0"/>
          <w:i/>
          <w:sz w:val="22"/>
        </w:rPr>
        <w:t>[Insert Table 2 sample rows from the working Chapter 3 draft: Olay, Luxe Organix, The Ordinary, Myra, and Pond’s with caption, rhetorical appeal, and interpretation.]</w:t>
      </w:r>
    </w:p>
    <w:p>
      <w:pPr>
        <w:spacing w:line="480" w:lineRule="auto" w:before="0" w:after="0"/>
        <w:ind w:firstLine="720"/>
        <w:jc w:val="both"/>
      </w:pPr>
      <w:r>
        <w:rPr>
          <w:rFonts w:ascii="Georgia" w:hAnsi="Georgia" w:eastAsia="Georgia"/>
          <w:b w:val="0"/>
          <w:i w:val="0"/>
          <w:sz w:val="22"/>
        </w:rPr>
        <w:t>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p>
    <w:p>
      <w:pPr>
        <w:spacing w:line="480" w:lineRule="auto" w:before="200" w:after="0"/>
        <w:ind w:firstLine="0"/>
        <w:jc w:val="both"/>
      </w:pPr>
      <w:r>
        <w:rPr>
          <w:rFonts w:ascii="Georgia" w:hAnsi="Georgia" w:eastAsia="Georgia"/>
          <w:b/>
          <w:i w:val="0"/>
          <w:sz w:val="22"/>
        </w:rPr>
        <w:t>Discussion</w:t>
      </w:r>
    </w:p>
    <w:p>
      <w:pPr>
        <w:spacing w:line="480" w:lineRule="auto" w:before="0" w:after="0"/>
        <w:ind w:firstLine="720"/>
        <w:jc w:val="both"/>
      </w:pPr>
      <w:r>
        <w:rPr>
          <w:rFonts w:ascii="Georgia" w:hAnsi="Georgia"/>
          <w:sz w:val="22"/>
        </w:rPr>
        <w:t xml:space="preserve">The findings can be compared with </w:t>
      </w:r>
      <w:r>
        <w:rPr>
          <w:rFonts w:ascii="Georgia" w:hAnsi="Georgia"/>
          <w:sz w:val="22"/>
          <w:highlight w:val="yellow"/>
        </w:rPr>
        <w:t>Dwiyanti (2024)</w:t>
      </w:r>
      <w:r>
        <w:rPr>
          <w:rFonts w:ascii="Georgia" w:hAnsi="Georgia"/>
          <w:sz w:val="22"/>
        </w:rPr>
        <w:t xml:space="preserve">, who examined persuasive techniques in makeup and skincare video advertisements. In that study, </w:t>
      </w:r>
      <w:r>
        <w:rPr>
          <w:rFonts w:ascii="Georgia" w:hAnsi="Georgia"/>
          <w:sz w:val="22"/>
          <w:highlight w:val="yellow"/>
        </w:rPr>
        <w:t>pathos was the most frequently identified rhetorical appeal, whereas logos and ethos occurred less frequently</w:t>
      </w:r>
      <w:r>
        <w:rPr>
          <w:rFonts w:ascii="Georgia" w:hAnsi="Georgia"/>
          <w:sz w:val="22"/>
        </w:rPr>
        <w:t xml:space="preserve">. This differs from the present study, in which logos was the dominant appeal. The difference may be related to the materials and units of analysis examined in the two studies, as the present research focused specifically on CTA phrases in Facebook advertisement captions, whereas </w:t>
      </w:r>
      <w:r>
        <w:rPr>
          <w:rFonts w:ascii="Georgia" w:hAnsi="Georgia"/>
          <w:sz w:val="22"/>
          <w:highlight w:val="yellow"/>
        </w:rPr>
        <w:t>Dwiyanti (2024)</w:t>
      </w:r>
      <w:r>
        <w:rPr>
          <w:rFonts w:ascii="Georgia" w:hAnsi="Georgia"/>
          <w:sz w:val="22"/>
        </w:rPr>
        <w:t xml:space="preserve">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pPr>
        <w:spacing w:line="480" w:lineRule="auto" w:before="0" w:after="0"/>
        <w:ind w:firstLine="720"/>
        <w:jc w:val="both"/>
      </w:pPr>
      <w:r>
        <w:rPr>
          <w:rFonts w:ascii="Georgia" w:hAnsi="Georgia"/>
          <w:sz w:val="22"/>
        </w:rPr>
        <w:t xml:space="preserve">Related work on Facebook advertising in the Philippines has also identified rhetorical appeals in other product sectors, including bank picture advertisements where </w:t>
      </w:r>
      <w:r>
        <w:rPr>
          <w:rFonts w:ascii="Georgia" w:hAnsi="Georgia"/>
          <w:sz w:val="22"/>
          <w:highlight w:val="yellow"/>
        </w:rPr>
        <w:t>ethos–logos combinations were common</w:t>
      </w:r>
      <w:r>
        <w:rPr>
          <w:rFonts w:ascii="Georgia" w:hAnsi="Georgia"/>
          <w:sz w:val="22"/>
        </w:rPr>
        <w:t xml:space="preserve"> (</w:t>
      </w:r>
      <w:r>
        <w:rPr>
          <w:rFonts w:ascii="Georgia" w:hAnsi="Georgia"/>
          <w:sz w:val="22"/>
          <w:highlight w:val="yellow"/>
        </w:rPr>
        <w:t>De Castro &amp; Martinez, 2025</w:t>
      </w:r>
      <w:r>
        <w:rPr>
          <w:rFonts w:ascii="Georgia" w:hAnsi="Georgia"/>
          <w:sz w:val="22"/>
        </w:rPr>
        <w:t xml:space="preserve">). Consumer-response research further suggests that </w:t>
      </w:r>
      <w:r>
        <w:rPr>
          <w:rFonts w:ascii="Georgia" w:hAnsi="Georgia"/>
          <w:sz w:val="22"/>
          <w:highlight w:val="yellow"/>
        </w:rPr>
        <w:t>audiences may give strong weight to credibility when judging advertisements</w:t>
      </w:r>
      <w:r>
        <w:rPr>
          <w:rFonts w:ascii="Georgia" w:hAnsi="Georgia"/>
          <w:sz w:val="22"/>
        </w:rPr>
        <w:t xml:space="preserve"> (</w:t>
      </w:r>
      <w:r>
        <w:rPr>
          <w:rFonts w:ascii="Georgia" w:hAnsi="Georgia"/>
          <w:sz w:val="22"/>
          <w:highlight w:val="yellow"/>
        </w:rPr>
        <w:t>Talaue, 2022</w:t>
      </w:r>
      <w:r>
        <w:rPr>
          <w:rFonts w:ascii="Georgia" w:hAnsi="Georgia"/>
          <w:sz w:val="22"/>
        </w:rPr>
        <w:t xml:space="preserve">). Similar attention to </w:t>
      </w:r>
      <w:r>
        <w:rPr>
          <w:rFonts w:ascii="Georgia" w:hAnsi="Georgia"/>
          <w:sz w:val="22"/>
          <w:highlight w:val="yellow"/>
        </w:rPr>
        <w:t>product-based and fact-oriented language in social media advertising</w:t>
      </w:r>
      <w:r>
        <w:rPr>
          <w:rFonts w:ascii="Georgia" w:hAnsi="Georgia"/>
          <w:sz w:val="22"/>
        </w:rPr>
        <w:t xml:space="preserve"> also appears in </w:t>
      </w:r>
      <w:r>
        <w:rPr>
          <w:rFonts w:ascii="Georgia" w:hAnsi="Georgia"/>
          <w:sz w:val="22"/>
          <w:highlight w:val="yellow"/>
        </w:rPr>
        <w:t>Nasir et al. (2025)</w:t>
      </w:r>
      <w:r>
        <w:rPr>
          <w:rFonts w:ascii="Georgia" w:hAnsi="Georgia"/>
          <w:sz w:val="22"/>
        </w:rPr>
        <w:t>. Taken together, these studies support reading the present logos-dominant pattern as a finding about the captions under study, while showing that other materials and audiences may foreground pathos or ethos more strongly.</w:t>
      </w:r>
    </w:p>
    <w:p>
      <w:pPr>
        <w:spacing w:line="480" w:lineRule="auto" w:before="240" w:after="0"/>
        <w:ind w:firstLine="0"/>
        <w:jc w:val="both"/>
      </w:pPr>
      <w:r>
        <w:rPr>
          <w:rFonts w:ascii="Georgia" w:hAnsi="Georgia" w:eastAsia="Georgia"/>
          <w:b/>
          <w:i w:val="0"/>
          <w:sz w:val="24"/>
        </w:rPr>
        <w:t>Part II. Directive Subtypes Present in the CTA Phrases</w:t>
      </w:r>
    </w:p>
    <w:p>
      <w:pPr>
        <w:spacing w:line="480" w:lineRule="auto" w:before="200" w:after="0"/>
        <w:ind w:firstLine="0"/>
        <w:jc w:val="both"/>
      </w:pPr>
      <w:r>
        <w:rPr>
          <w:rFonts w:ascii="Georgia" w:hAnsi="Georgia" w:eastAsia="Georgia"/>
          <w:b/>
          <w:i w:val="0"/>
          <w:sz w:val="22"/>
        </w:rPr>
        <w:t>Findings</w:t>
      </w:r>
    </w:p>
    <w:p>
      <w:pPr>
        <w:spacing w:line="480" w:lineRule="auto" w:before="0" w:after="0"/>
        <w:ind w:firstLine="720"/>
        <w:jc w:val="both"/>
      </w:pPr>
      <w:r>
        <w:rPr>
          <w:rFonts w:ascii="Georgia" w:hAnsi="Georgia"/>
          <w:sz w:val="22"/>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w:t>
      </w:r>
      <w:r>
        <w:rPr>
          <w:rFonts w:ascii="Georgia" w:hAnsi="Georgia"/>
          <w:sz w:val="22"/>
          <w:highlight w:val="yellow"/>
        </w:rPr>
        <w:t>Yule (1996, as cited in Anggraini &amp; Afriana, 2023)</w:t>
      </w:r>
      <w:r>
        <w:rPr>
          <w:rFonts w:ascii="Georgia" w:hAnsi="Georgia"/>
          <w:sz w:val="22"/>
        </w:rPr>
        <w:t xml:space="preserve">. </w:t>
      </w:r>
      <w:r>
        <w:rPr>
          <w:rFonts w:ascii="Georgia" w:hAnsi="Georgia"/>
          <w:sz w:val="22"/>
          <w:highlight w:val="yellow"/>
        </w:rPr>
        <w:t>Searle (1975, 1976)</w:t>
      </w:r>
      <w:r>
        <w:rPr>
          <w:rFonts w:ascii="Georgia" w:hAnsi="Georgia"/>
          <w:sz w:val="22"/>
        </w:rPr>
        <w:t xml:space="preserve"> describes directives as speech acts through which the speaker attempts to get the hearer to perform an action. Table 3 presents the distribution of directive subtypes across the five selected skincare brands.</w:t>
      </w:r>
    </w:p>
    <w:p>
      <w:pPr>
        <w:spacing w:line="480" w:lineRule="auto" w:before="240" w:after="0"/>
        <w:ind w:firstLine="0"/>
        <w:jc w:val="center"/>
      </w:pPr>
      <w:r>
        <w:rPr>
          <w:rFonts w:ascii="Georgia" w:hAnsi="Georgia" w:eastAsia="Georgia"/>
          <w:b/>
          <w:i w:val="0"/>
          <w:sz w:val="22"/>
        </w:rPr>
        <w:t>Table 3</w:t>
      </w:r>
    </w:p>
    <w:p>
      <w:pPr>
        <w:spacing w:line="480" w:lineRule="auto" w:before="0" w:after="120"/>
        <w:ind w:firstLine="0"/>
        <w:jc w:val="center"/>
      </w:pPr>
      <w:r>
        <w:rPr>
          <w:rFonts w:ascii="Georgia" w:hAnsi="Georgia" w:eastAsia="Georgia"/>
          <w:b w:val="0"/>
          <w:i/>
          <w:sz w:val="22"/>
        </w:rPr>
        <w:t>Frequency and Percentage Distribution of Directive Subtypes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Directive Subtype</w:t>
            </w:r>
          </w:p>
        </w:tc>
        <w:tc>
          <w:tcPr>
            <w:tcW w:type="dxa" w:w="2160"/>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Command</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Order</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Suggestion</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35.29%</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Request</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rPr>
        <w:t>Table 3 presents the overall distribution of the four directive subtypes considered in the analysis. Order was the most frequently identified subtype, with 22 instances (64.71%), followed by suggestion, with 12 instances (35.29%). No instances of command or request were identified in the analyzed CTA phrases. Orders appeared across all five selected skincare brands, while suggestions were also identified across the selected advertisements, although their frequency varied by brand.</w:t>
      </w:r>
    </w:p>
    <w:p>
      <w:pPr>
        <w:spacing w:line="480" w:lineRule="auto" w:before="0" w:after="0"/>
        <w:ind w:firstLine="720"/>
        <w:jc w:val="both"/>
      </w:pPr>
      <w:r>
        <w:rPr>
          <w:rFonts w:ascii="Georgia" w:hAnsi="Georgia" w:eastAsia="Georgia"/>
          <w:b w:val="0"/>
          <w:i w:val="0"/>
          <w:sz w:val="22"/>
        </w:rPr>
        <w:t>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pPr>
        <w:spacing w:line="480" w:lineRule="auto" w:before="0" w:after="0"/>
        <w:ind w:firstLine="720"/>
        <w:jc w:val="both"/>
      </w:pPr>
      <w:r>
        <w:rPr>
          <w:rFonts w:ascii="Georgia" w:hAnsi="Georgia"/>
          <w:sz w:val="22"/>
        </w:rPr>
        <w:t>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w:t>
      </w:r>
      <w:r>
        <w:rPr>
          <w:rFonts w:ascii="Georgia" w:hAnsi="Georgia"/>
          <w:sz w:val="22"/>
          <w:highlight w:val="yellow"/>
        </w:rPr>
        <w:t>Anggraini &amp; Afriana, 2023</w:t>
      </w:r>
      <w:r>
        <w:rPr>
          <w:rFonts w:ascii="Georgia" w:hAnsi="Georgia"/>
          <w:sz w:val="22"/>
        </w:rPr>
        <w:t>).</w:t>
      </w:r>
    </w:p>
    <w:p>
      <w:pPr>
        <w:spacing w:line="480" w:lineRule="auto" w:before="0" w:after="0"/>
        <w:ind w:firstLine="720"/>
        <w:jc w:val="both"/>
      </w:pPr>
      <w:r>
        <w:rPr>
          <w:rFonts w:ascii="Georgia" w:hAnsi="Georgia" w:eastAsia="Georgia"/>
          <w:b w:val="0"/>
          <w:i w:val="0"/>
          <w:sz w:val="22"/>
        </w:rPr>
        <w:t>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pPr>
        <w:spacing w:line="480" w:lineRule="auto" w:before="0" w:after="0"/>
        <w:ind w:firstLine="720"/>
        <w:jc w:val="both"/>
      </w:pPr>
      <w:r>
        <w:rPr>
          <w:rFonts w:ascii="Georgia" w:hAnsi="Georgia" w:eastAsia="Georgia"/>
          <w:b w:val="0"/>
          <w:i w:val="0"/>
          <w:sz w:val="22"/>
        </w:rPr>
        <w:t>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line="480" w:lineRule="auto" w:before="240" w:after="0"/>
        <w:ind w:firstLine="0"/>
        <w:jc w:val="center"/>
      </w:pPr>
      <w:r>
        <w:rPr>
          <w:rFonts w:ascii="Georgia" w:hAnsi="Georgia" w:eastAsia="Georgia"/>
          <w:b/>
          <w:i w:val="0"/>
          <w:sz w:val="22"/>
        </w:rPr>
        <w:t>Table 4</w:t>
      </w:r>
    </w:p>
    <w:p>
      <w:pPr>
        <w:spacing w:line="480" w:lineRule="auto" w:before="0" w:after="120"/>
        <w:ind w:firstLine="0"/>
        <w:jc w:val="center"/>
      </w:pPr>
      <w:r>
        <w:rPr>
          <w:rFonts w:ascii="Georgia" w:hAnsi="Georgia" w:eastAsia="Georgia"/>
          <w:b w:val="0"/>
          <w:i/>
          <w:sz w:val="22"/>
        </w:rPr>
        <w:t>Sample Analysis of Directive Subtypes</w:t>
      </w:r>
    </w:p>
    <w:p>
      <w:pPr>
        <w:spacing w:line="480" w:lineRule="auto" w:before="0" w:after="0"/>
        <w:ind w:firstLine="0"/>
        <w:jc w:val="both"/>
      </w:pPr>
      <w:r>
        <w:rPr>
          <w:rFonts w:ascii="Georgia" w:hAnsi="Georgia" w:eastAsia="Georgia"/>
          <w:b w:val="0"/>
          <w:i/>
          <w:sz w:val="22"/>
        </w:rPr>
        <w:t>[Insert Table 4 sample rows from the working Chapter 3 draft: Olay, Luxe Organix, The Ordinary, Myra, and Pond’s with caption, directive subtype, and interpretation.]</w:t>
      </w:r>
    </w:p>
    <w:p>
      <w:pPr>
        <w:spacing w:line="480" w:lineRule="auto" w:before="0" w:after="0"/>
        <w:ind w:firstLine="720"/>
        <w:jc w:val="both"/>
      </w:pPr>
      <w:r>
        <w:rPr>
          <w:rFonts w:ascii="Georgia" w:hAnsi="Georgia" w:eastAsia="Georgia"/>
          <w:b w:val="0"/>
          <w:i w:val="0"/>
          <w:sz w:val="22"/>
        </w:rPr>
        <w:t>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pPr>
        <w:spacing w:line="480" w:lineRule="auto" w:before="200" w:after="0"/>
        <w:ind w:firstLine="0"/>
        <w:jc w:val="both"/>
      </w:pPr>
      <w:r>
        <w:rPr>
          <w:rFonts w:ascii="Georgia" w:hAnsi="Georgia" w:eastAsia="Georgia"/>
          <w:b/>
          <w:i w:val="0"/>
          <w:sz w:val="22"/>
        </w:rPr>
        <w:t>Discussion</w:t>
      </w:r>
    </w:p>
    <w:p>
      <w:pPr>
        <w:spacing w:line="480" w:lineRule="auto" w:before="0" w:after="0"/>
        <w:ind w:firstLine="720"/>
        <w:jc w:val="both"/>
      </w:pPr>
      <w:r>
        <w:rPr>
          <w:rFonts w:ascii="Georgia" w:hAnsi="Georgia"/>
          <w:sz w:val="22"/>
        </w:rPr>
        <w:t xml:space="preserve">Research on imperatives in advertising has noted that such forms often </w:t>
      </w:r>
      <w:r>
        <w:rPr>
          <w:rFonts w:ascii="Georgia" w:hAnsi="Georgia"/>
          <w:sz w:val="22"/>
          <w:highlight w:val="yellow"/>
        </w:rPr>
        <w:t>function more like advice or recommendation than strict commands</w:t>
      </w:r>
      <w:r>
        <w:rPr>
          <w:rFonts w:ascii="Georgia" w:hAnsi="Georgia"/>
          <w:sz w:val="22"/>
        </w:rPr>
        <w:t xml:space="preserve"> (</w:t>
      </w:r>
      <w:r>
        <w:rPr>
          <w:rFonts w:ascii="Georgia" w:hAnsi="Georgia"/>
          <w:sz w:val="22"/>
          <w:highlight w:val="yellow"/>
        </w:rPr>
        <w:t>Pennock-Speck &amp; Fuster-Márquez, 2014</w:t>
      </w:r>
      <w:r>
        <w:rPr>
          <w:rFonts w:ascii="Georgia" w:hAnsi="Georgia"/>
          <w:sz w:val="22"/>
        </w:rPr>
        <w:t>).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pPr>
        <w:spacing w:line="480" w:lineRule="auto" w:before="0" w:after="0"/>
        <w:ind w:firstLine="720"/>
        <w:jc w:val="both"/>
      </w:pPr>
      <w:r>
        <w:rPr>
          <w:rFonts w:ascii="Georgia" w:hAnsi="Georgia"/>
          <w:sz w:val="22"/>
        </w:rPr>
        <w:t xml:space="preserve">Related work on beauty product captions has also identified </w:t>
      </w:r>
      <w:r>
        <w:rPr>
          <w:rFonts w:ascii="Georgia" w:hAnsi="Georgia"/>
          <w:sz w:val="22"/>
          <w:highlight w:val="yellow"/>
        </w:rPr>
        <w:t>directive language used to encourage purchase and engagement</w:t>
      </w:r>
      <w:r>
        <w:rPr>
          <w:rFonts w:ascii="Georgia" w:hAnsi="Georgia"/>
          <w:sz w:val="22"/>
        </w:rPr>
        <w:t xml:space="preserve"> (</w:t>
      </w:r>
      <w:r>
        <w:rPr>
          <w:rFonts w:ascii="Georgia" w:hAnsi="Georgia"/>
          <w:sz w:val="22"/>
          <w:highlight w:val="yellow"/>
        </w:rPr>
        <w:t>Saad &amp; Ismael, 2025</w:t>
      </w:r>
      <w:r>
        <w:rPr>
          <w:rFonts w:ascii="Georgia" w:hAnsi="Georgia"/>
          <w:sz w:val="22"/>
        </w:rPr>
        <w:t>).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pPr>
        <w:spacing w:line="480" w:lineRule="auto" w:before="240" w:after="0"/>
        <w:ind w:firstLine="0"/>
        <w:jc w:val="both"/>
      </w:pPr>
      <w:r>
        <w:rPr>
          <w:rFonts w:ascii="Georgia" w:hAnsi="Georgia" w:eastAsia="Georgia"/>
          <w:b/>
          <w:i w:val="0"/>
          <w:sz w:val="24"/>
        </w:rPr>
        <w:t>Part III. Constructing Persuasive Meaning</w:t>
      </w:r>
    </w:p>
    <w:p>
      <w:pPr>
        <w:spacing w:line="480" w:lineRule="auto" w:before="200" w:after="0"/>
        <w:ind w:firstLine="0"/>
        <w:jc w:val="both"/>
      </w:pPr>
      <w:r>
        <w:rPr>
          <w:rFonts w:ascii="Georgia" w:hAnsi="Georgia" w:eastAsia="Georgia"/>
          <w:b/>
          <w:i w:val="0"/>
          <w:sz w:val="22"/>
        </w:rPr>
        <w:t>Findings</w:t>
      </w:r>
    </w:p>
    <w:p>
      <w:pPr>
        <w:spacing w:line="480" w:lineRule="auto" w:before="0" w:after="0"/>
        <w:ind w:firstLine="720"/>
        <w:jc w:val="both"/>
      </w:pPr>
      <w:r>
        <w:rPr>
          <w:rFonts w:ascii="Georgia" w:hAnsi="Georgia" w:eastAsia="Georgia"/>
          <w:b w:val="0"/>
          <w:i w:val="0"/>
          <w:sz w:val="22"/>
        </w:rPr>
        <w:t>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line="480" w:lineRule="auto" w:before="240" w:after="0"/>
        <w:ind w:firstLine="0"/>
        <w:jc w:val="center"/>
      </w:pPr>
      <w:r>
        <w:rPr>
          <w:rFonts w:ascii="Georgia" w:hAnsi="Georgia" w:eastAsia="Georgia"/>
          <w:b/>
          <w:i w:val="0"/>
          <w:sz w:val="22"/>
        </w:rPr>
        <w:t>Table 5</w:t>
      </w:r>
    </w:p>
    <w:p>
      <w:pPr>
        <w:spacing w:line="480" w:lineRule="auto" w:before="0" w:after="120"/>
        <w:ind w:firstLine="0"/>
        <w:jc w:val="center"/>
      </w:pPr>
      <w:r>
        <w:rPr>
          <w:rFonts w:ascii="Georgia" w:hAnsi="Georgia" w:eastAsia="Georgia"/>
          <w:b w:val="0"/>
          <w:i/>
          <w:sz w:val="22"/>
        </w:rPr>
        <w:t>Frequency and Percentage Distribution of Rhetorical Appeal and Directive Subtype Combinations</w:t>
      </w:r>
    </w:p>
    <w:tbl>
      <w:tblPr>
        <w:tblStyle w:val="TableGrid"/>
        <w:tblW w:type="auto" w:w="0"/>
        <w:jc w:val="center"/>
        <w:tblLook w:firstColumn="1" w:firstRow="1" w:lastColumn="0" w:lastRow="0" w:noHBand="0" w:noVBand="1" w:val="04A0"/>
      </w:tblPr>
      <w:tblGrid>
        <w:gridCol w:w="2880"/>
        <w:gridCol w:w="2880"/>
        <w:gridCol w:w="2880"/>
      </w:tblGrid>
      <w:tr>
        <w:tc>
          <w:tcPr>
            <w:tcW w:type="dxa" w:w="4608"/>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Rhetorical Appeal + Directive Subtype</w:t>
            </w:r>
          </w:p>
        </w:tc>
        <w:tc>
          <w:tcPr>
            <w:tcW w:type="dxa" w:w="1872"/>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Frequency</w:t>
            </w:r>
          </w:p>
        </w:tc>
        <w:tc>
          <w:tcPr>
            <w:tcW w:type="dxa" w:w="1872"/>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Percentage</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44.12%</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17.65%</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7</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20.59%</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14.71%</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rPr>
        <w:t>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pPr>
        <w:spacing w:line="480" w:lineRule="auto" w:before="0" w:after="0"/>
        <w:ind w:firstLine="720"/>
        <w:jc w:val="both"/>
      </w:pPr>
      <w:r>
        <w:rPr>
          <w:rFonts w:ascii="Georgia" w:hAnsi="Georgia" w:eastAsia="Georgia"/>
          <w:b w:val="0"/>
          <w:i w:val="0"/>
          <w:sz w:val="22"/>
        </w:rPr>
        <w:t>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pPr>
        <w:spacing w:line="480" w:lineRule="auto" w:before="0" w:after="0"/>
        <w:ind w:firstLine="720"/>
        <w:jc w:val="both"/>
      </w:pPr>
      <w:r>
        <w:rPr>
          <w:rFonts w:ascii="Georgia" w:hAnsi="Georgia" w:eastAsia="Georgia"/>
          <w:b w:val="0"/>
          <w:i w:val="0"/>
          <w:sz w:val="22"/>
        </w:rPr>
        <w:t>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pPr>
        <w:spacing w:line="480" w:lineRule="auto" w:before="0" w:after="0"/>
        <w:ind w:firstLine="720"/>
        <w:jc w:val="both"/>
      </w:pPr>
      <w:r>
        <w:rPr>
          <w:rFonts w:ascii="Georgia" w:hAnsi="Georgia" w:eastAsia="Georgia"/>
          <w:b w:val="0"/>
          <w:i w:val="0"/>
          <w:sz w:val="22"/>
        </w:rPr>
        <w:t>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pPr>
        <w:spacing w:line="480" w:lineRule="auto" w:before="0" w:after="0"/>
        <w:ind w:firstLine="720"/>
        <w:jc w:val="both"/>
      </w:pPr>
      <w:r>
        <w:rPr>
          <w:rFonts w:ascii="Georgia" w:hAnsi="Georgia" w:eastAsia="Georgia"/>
          <w:b w:val="0"/>
          <w:i w:val="0"/>
          <w:sz w:val="22"/>
        </w:rPr>
        <w:t>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pPr>
        <w:spacing w:line="480" w:lineRule="auto" w:before="0" w:after="0"/>
        <w:ind w:firstLine="720"/>
        <w:jc w:val="both"/>
      </w:pPr>
      <w:r>
        <w:rPr>
          <w:rFonts w:ascii="Georgia" w:hAnsi="Georgia" w:eastAsia="Georgia"/>
          <w:b w:val="0"/>
          <w:i w:val="0"/>
          <w:sz w:val="22"/>
        </w:rPr>
        <w:t>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line="480" w:lineRule="auto" w:before="200" w:after="0"/>
        <w:ind w:firstLine="0"/>
        <w:jc w:val="both"/>
      </w:pPr>
      <w:r>
        <w:rPr>
          <w:rFonts w:ascii="Georgia" w:hAnsi="Georgia" w:eastAsia="Georgia"/>
          <w:b/>
          <w:i w:val="0"/>
          <w:sz w:val="22"/>
        </w:rPr>
        <w:t>Discussion</w:t>
      </w:r>
    </w:p>
    <w:p>
      <w:pPr>
        <w:spacing w:line="480" w:lineRule="auto" w:before="0" w:after="0"/>
        <w:ind w:firstLine="720"/>
        <w:jc w:val="both"/>
      </w:pPr>
      <w:r>
        <w:rPr>
          <w:rFonts w:ascii="Georgia" w:hAnsi="Georgia"/>
          <w:sz w:val="22"/>
        </w:rPr>
        <w:t xml:space="preserve">Related studies on cosmetics advertising in social media have examined how </w:t>
      </w:r>
      <w:r>
        <w:rPr>
          <w:rFonts w:ascii="Georgia" w:hAnsi="Georgia"/>
          <w:sz w:val="22"/>
          <w:highlight w:val="yellow"/>
        </w:rPr>
        <w:t>rhetorical appeals and speech acts work together in promotional messages</w:t>
      </w:r>
      <w:r>
        <w:rPr>
          <w:rFonts w:ascii="Georgia" w:hAnsi="Georgia"/>
          <w:sz w:val="22"/>
        </w:rPr>
        <w:t xml:space="preserve"> (</w:t>
      </w:r>
      <w:r>
        <w:rPr>
          <w:rFonts w:ascii="Georgia" w:hAnsi="Georgia"/>
          <w:sz w:val="22"/>
          <w:highlight w:val="yellow"/>
        </w:rPr>
        <w:t>Saad &amp; Ismael, 2025</w:t>
      </w:r>
      <w:r>
        <w:rPr>
          <w:rFonts w:ascii="Georgia" w:hAnsi="Georgia"/>
          <w:sz w:val="22"/>
        </w:rPr>
        <w:t>).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pPr>
        <w:spacing w:line="480" w:lineRule="auto" w:before="0" w:after="0"/>
        <w:ind w:firstLine="720"/>
        <w:jc w:val="both"/>
      </w:pPr>
      <w:r>
        <w:rPr>
          <w:rFonts w:ascii="Georgia" w:hAnsi="Georgia"/>
          <w:sz w:val="22"/>
        </w:rPr>
        <w:t>These patterns do not contradict studies in which pathos or ethos appears more often in other materials, such as video advertisements (Dwiyanti, 2024) or other product sectors on Facebook (</w:t>
      </w:r>
      <w:r>
        <w:rPr>
          <w:rFonts w:ascii="Georgia" w:hAnsi="Georgia"/>
          <w:sz w:val="22"/>
          <w:highlight w:val="yellow"/>
        </w:rPr>
        <w:t>De Castro &amp; Martinez, 2025</w:t>
      </w:r>
      <w:r>
        <w:rPr>
          <w:rFonts w:ascii="Georgia" w:hAnsi="Georgia"/>
          <w:sz w:val="22"/>
        </w:rPr>
        <w:t>). They specify what the combinations look like in the selected Facebook skincare captions. Future work may test whether the Logos + Order preference holds in larger samples or on other platforms.</w:t>
      </w:r>
    </w:p>
    <w:p>
      <w:pPr>
        <w:spacing w:line="480" w:lineRule="auto" w:before="240" w:after="0"/>
        <w:ind w:firstLine="0"/>
        <w:jc w:val="both"/>
      </w:pPr>
      <w:r>
        <w:rPr>
          <w:rFonts w:ascii="Georgia" w:hAnsi="Georgia" w:eastAsia="Georgia"/>
          <w:b/>
          <w:i w:val="0"/>
          <w:sz w:val="24"/>
        </w:rPr>
        <w:t>References</w:t>
      </w:r>
    </w:p>
    <w:p>
      <w:pPr>
        <w:spacing w:line="480" w:lineRule="auto"/>
        <w:ind w:left="720" w:hanging="720"/>
        <w:jc w:val="left"/>
      </w:pPr>
      <w:r>
        <w:rPr>
          <w:rFonts w:ascii="Georgia" w:hAnsi="Georgia" w:eastAsia="Georgia"/>
          <w:b w:val="0"/>
          <w:i w:val="0"/>
          <w:sz w:val="22"/>
        </w:rPr>
        <w:t>Anggraini, &amp; Afriana. (2023). [Operational definitions of directive subtypes command, order, request, and suggestion, as applied in the thesis framework from Yule (1996)].</w:t>
      </w:r>
    </w:p>
    <w:p>
      <w:pPr>
        <w:spacing w:line="480" w:lineRule="auto"/>
        <w:ind w:left="720" w:hanging="720"/>
        <w:jc w:val="left"/>
      </w:pPr>
      <w:r>
        <w:rPr>
          <w:rFonts w:ascii="Georgia" w:hAnsi="Georgia" w:eastAsia="Georgia"/>
          <w:b w:val="0"/>
          <w:i w:val="0"/>
          <w:sz w:val="22"/>
        </w:rPr>
        <w:t>De Castro, G. L., &amp; Martinez, S. P. (2025). Rhetorical appeals across selected Philippine bank advertising on Facebook. Southern Semiotic Review, (22). https://doi.org/10.33234/SSR.22.13</w:t>
      </w:r>
    </w:p>
    <w:p>
      <w:pPr>
        <w:spacing w:line="480" w:lineRule="auto"/>
        <w:ind w:left="720" w:hanging="720"/>
        <w:jc w:val="left"/>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line="480" w:lineRule="auto"/>
        <w:ind w:left="720" w:hanging="720"/>
        <w:jc w:val="left"/>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line="480" w:lineRule="auto"/>
        <w:ind w:left="720" w:hanging="720"/>
        <w:jc w:val="left"/>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line="480" w:lineRule="auto"/>
        <w:ind w:left="720" w:hanging="720"/>
        <w:jc w:val="left"/>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line="480" w:lineRule="auto"/>
        <w:ind w:left="720" w:hanging="720"/>
        <w:jc w:val="left"/>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14. https://doi.org/10.56924/tasnim.14.2025/23</w:t>
      </w:r>
    </w:p>
    <w:p>
      <w:pPr>
        <w:spacing w:line="480" w:lineRule="auto"/>
        <w:ind w:left="720" w:hanging="720"/>
        <w:jc w:val="left"/>
      </w:pPr>
      <w:r>
        <w:rPr>
          <w:rFonts w:ascii="Georgia" w:hAnsi="Georgia" w:eastAsia="Georgia"/>
          <w:b w:val="0"/>
          <w:i w:val="0"/>
          <w:sz w:val="22"/>
        </w:rPr>
        <w:t>Searle, J. R. (1975). Indirect speech acts. In P. Cole &amp; J. L. Morgan (Eds.), Syntax and semantics: Vol. 3. Speech acts (pp. 59–82). Academic Press.</w:t>
      </w:r>
    </w:p>
    <w:p>
      <w:pPr>
        <w:spacing w:line="480" w:lineRule="auto"/>
        <w:ind w:left="720" w:hanging="720"/>
        <w:jc w:val="left"/>
      </w:pPr>
      <w:r>
        <w:rPr>
          <w:rFonts w:ascii="Georgia" w:hAnsi="Georgia" w:eastAsia="Georgia"/>
          <w:b w:val="0"/>
          <w:i w:val="0"/>
          <w:sz w:val="22"/>
        </w:rPr>
        <w:t>Searle, J. R. (1976). A classification of illocutionary acts. Language in Society, 5(1), 1–23. https://doi.org/10.1017/S0047404500006837</w:t>
      </w:r>
    </w:p>
    <w:p>
      <w:pPr>
        <w:spacing w:line="480" w:lineRule="auto"/>
        <w:ind w:left="720" w:hanging="720"/>
        <w:jc w:val="left"/>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line="480" w:lineRule="auto"/>
        <w:ind w:left="720" w:hanging="720"/>
        <w:jc w:val="left"/>
      </w:pPr>
      <w:r>
        <w:rPr>
          <w:rFonts w:ascii="Georgia" w:hAnsi="Georgia" w:eastAsia="Georgia"/>
          <w:b w:val="0"/>
          <w:i w:val="0"/>
          <w:sz w:val="22"/>
        </w:rPr>
        <w:t>Yule, G. (1996). Pragmatics. Oxford University Press.</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