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i w:val="0"/>
          <w:iCs w:val="0"/>
          <w:sz w:val="28"/>
          <w:szCs w:val="28"/>
          <w:rtl w:val="0"/>
        </w:rPr>
        <w:t xml:space="preserve">INTRODUCTION</w:t>
      </w:r>
      <w:r>
        <w:rPr>
          <w:rtl w:val="0"/>
          <w:sz w:val="28"/>
          <w:szCs w:val="28"/>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2"/>
          <w:szCs w:val="22"/>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sz w:val="24"/>
          <w:szCs w:val="24"/>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2"/>
          <w:szCs w:val="22"/>
        </w:rPr>
        <w:t xml:space="preserve">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w:t>
      </w:r>
      <w:r>
        <w:rPr>
          <w:rFonts w:ascii="Georgia" w:hAnsi="Georgia" w:cs="Georgia" w:eastAsia="Georgia"/>
          <w:sz w:val="22"/>
          <w:szCs w:val="22"/>
          <w:i/>
          <w:iCs/>
        </w:rPr>
        <w:t xml:space="preserve">dapat</w:t>
      </w:r>
      <w:r>
        <w:rPr>
          <w:rFonts w:ascii="Georgia" w:hAnsi="Georgia" w:cs="Georgia" w:eastAsia="Georgia"/>
          <w:sz w:val="22"/>
          <w:szCs w:val="22"/>
        </w:rPr>
        <w:t xml:space="preserve">,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2"/>
          <w:szCs w:val="22"/>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sz w:val="24"/>
          <w:szCs w:val="24"/>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2"/>
          <w:szCs w:val="22"/>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a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sz w:val="24"/>
          <w:szCs w:val="24"/>
        </w:rPr>
      </w:r>
    </w:p>
    <w:p w:rsidR="00000000" w:rsidDel="00000000" w:rsidP="00000000" w:rsidRDefault="00000000" w:rsidRPr="00000000" w14:paraId="0000003A">
      <w:pPr>
        <w:spacing w:before="0" w:after="0" w:line="480" w:lineRule="auto"/>
        <w:ind w:firstLine="720"/>
        <w:jc w:val="both"/>
        <w:rPr/>
      </w:pPr>
      <w:r>
        <w:rPr>
          <w:rFonts w:ascii="Georgia" w:hAnsi="Georgia" w:cs="Georgia" w:eastAsia="Georgia"/>
          <w:sz w:val="22"/>
          <w:szCs w:val="22"/>
        </w:rPr>
        <w:t>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sz w:val="24"/>
          <w:szCs w:val="24"/>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2"/>
          <w:szCs w:val="22"/>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sz w:val="24"/>
          <w:szCs w:val="24"/>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2"/>
          <w:szCs w:val="22"/>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2"/>
          <w:szCs w:val="22"/>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sz w:val="24"/>
          <w:szCs w:val="24"/>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Specifically, it asked the following questions: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4"/>
          <w:szCs w:val="24"/>
          <w:rtl w:val="0"/>
        </w:rPr>
        <w:t>3. Among the hedging devices identified, what rhetorical functions do they serve?</w:t>
      </w:r>
      <w:r>
        <w:rPr>
          <w:rtl w:val="0"/>
          <w:sz w:val="24"/>
          <w:szCs w:val="24"/>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sz w:val="24"/>
          <w:szCs w:val="24"/>
        </w:rPr>
      </w:r>
    </w:p>
    <w:p w:rsidR="00000000" w:rsidDel="00000000" w:rsidP="00000000" w:rsidRDefault="00000000" w:rsidRPr="00000000" w14:paraId="0000004E">
      <w:pPr>
        <w:spacing w:before="0" w:after="0" w:line="480" w:lineRule="auto"/>
        <w:ind w:firstLine="720"/>
        <w:jc w:val="both"/>
        <w:rPr/>
      </w:pPr>
      <w:r>
        <w:rPr>
          <w:rFonts w:ascii="Georgia" w:hAnsi="Georgia" w:cs="Georgia" w:eastAsia="Georgia"/>
          <w:i w:val="0"/>
          <w:iCs w:val="0"/>
          <w:sz w:val="22"/>
          <w:szCs w:val="22"/>
          <w:rtl w:val="0"/>
          <w:b w:val="0"/>
          <w:bCs w:val="0"/>
        </w:rPr>
        <w:t>This study is grounded in a coding scheme adapted from Hyland’s (1998) classification of hedging forms. Hyland (1998) is the instrument for this project. It supplies the grammatical types coded in the corpus (consolidated here as lexical hedges, modal verbs, adverbial hedges, and clause-level hedges) and the starting point for functional reading of retained hedges. Two function labels map onto that starting point. Epistemic Caution covers reduced commitment to the truth of a knowledge claim. Politeness/Deference covers interpersonal softening toward readers or prior work. Those two align roughly with content-oriented and reader-oriented concerns in the hedging literature. Discourse Organization is not treated as one of Hyland’s hedge functions. It is added here as a test category from metadiscourse accounts of text-organizing moves, so that non-epistemic mitigation of how a claim is put forward could be recorded if it appeared. The scheme is adapted for this corpus. It is not a fixed published taxonomy.</w:t>
      </w:r>
      <w:r>
        <w:rPr>
          <w:rtl w:val="0"/>
        </w:rPr>
      </w:r>
    </w:p>
    <w:p w:rsidR="00000000" w:rsidDel="00000000" w:rsidP="00000000" w:rsidRDefault="00000000" w:rsidRPr="00000000" w14:paraId="0000004F">
      <w:pPr>
        <w:spacing w:before="0" w:after="0" w:line="480" w:lineRule="auto"/>
        <w:ind w:firstLine="720"/>
        <w:jc w:val="both"/>
        <w:rPr/>
      </w:pPr>
      <w:r>
        <w:rPr>
          <w:rFonts w:ascii="Georgia" w:hAnsi="Georgia" w:cs="Georgia" w:eastAsia="Georgia"/>
          <w:i w:val="0"/>
          <w:iCs w:val="0"/>
          <w:sz w:val="22"/>
          <w:szCs w:val="22"/>
          <w:rtl w:val="0"/>
          <w:b w:val="0"/>
          <w:bCs w:val="0"/>
        </w:rPr>
        <w:t>Each source used in the framework has a distinct job. Hyland (1998) is the coding instrument for hedge types and the broad start for function labels EC and P. Crompton (1997) is the boundary rule for Epistemic Caution alone. His restatement test (whether the claim could be restated with greater author commitment) operationalizes the Step 3 EC diagnostic. The study does not adopt Crompton’s full taxonomy or his narrower view of what may enter the retained set. Salager-Meyer (1994) is an interpretive lens used in Part IV. Her claim-responsibility account helps read why density may differ across programs. Her taxonomy is not used for coding. Hyland (2005) is a second interpretive lens. The stance model helps read what fewer hedges mean where results turn into implications. It is not an operational coding criterion. Together, the two lenses frame hedging as both an epistemic and an interpersonal resource without treating either lens as a tested finding.</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i w:val="0"/>
          <w:iCs w:val="0"/>
          <w:sz w:val="22"/>
          <w:szCs w:val="22"/>
          <w:rtl w:val="0"/>
          <w:b w:val="0"/>
          <w:bCs w:val="0"/>
        </w:rPr>
        <w:t>In practice, the coding scheme was adapted from Hyland (1998) as the type instrument and operationalized through the decision rules in Appendix A. Coding followed three steps after a holistic reading of each abstract. First, Step 1 (candidate tagging) cast a wide net: hedge-like forms, findings framing or sequencing, and forms that might later prove to be false positives were marked for inspection. This step did not yet count hedges. Second, each candidate was sorted at Step 2. A token entered the retained hedge set only if removing it made a knowledge claim about findings more categorical or more direct, or softened how that claim was put forward. Capability, recommendation, pure procedure, topic-naming with no claim mitigation, and sequencing of non-claims were rejected as false positives. Pure framing or sequencing of a findings claim, with no change in commitment and no interpersonal softening, was logged as discourse organization only. It did not enter the retained hedge set. Third, Step 3 assigned function labels to retained hedges only: Epistemic Caution, Politeness/Deference, and/or Discourse Organization as co-occurring labels where relevant. The Working Test supported the EC label. Retained tokens were also marked for grammatical type using the Appendix A decision rules. In this corpus all retained hedges were coded Epistemic Caution at Step 3. No P forms appeared in the retained set. Pure DO candidates were logged outside that set. RQ3 reports the functional profile of retained hedges only. RQ4 is answered from frequency patterns together with interpretive reading under the lenses named above.</w:t>
      </w:r>
      <w:r>
        <w:rPr>
          <w:rtl w:val="0"/>
        </w:rPr>
      </w:r>
    </w:p>
    <w:p>
      <w:pPr>
        <w:spacing w:before="0" w:after="0" w:line="480" w:lineRule="auto"/>
        <w:ind w:firstLine="720"/>
        <w:jc w:val="both"/>
        <w:rPr/>
      </w:pPr>
      <w:r>
        <w:rPr>
          <w:rFonts w:ascii="Georgia" w:hAnsi="Georgia" w:cs="Georgia" w:eastAsia="Georgia"/>
          <w:i w:val="0"/>
          <w:sz w:val="22"/>
          <w:szCs w:val="22"/>
          <w:b w:val="0"/>
          <w:bCs w:val="0"/>
        </w:rPr>
        <w:t>Functional labels in this study (Epistemic Caution, Politeness/Deference, and Discourse Organization) are assigned to retained hedges after Step 2. They are not mutually exclusive. Interpersonal or discourse effects can co-occur with epistemic stance on a retained token. Step 1 may include pure findings framing so that discourse organization is inspected rather than ignored. That pure framing fails Step 2 as a hedge because it does not reduce commitment and does not soften interpersonal force. It is recorded as non-hedge organization (including Appendix C connector marks) and sits outside the retained count. The Working Test (does removing the device change commitment to the truth of the proposition?) supports an EC label on retained hedges. It is not a license to count every soft-sounding word. Crompton (1997) informs only the EC diagnostic. A proposition restatable with greater author commitment signals reduced epistemic weight.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on retained hedges, not as the sole candidate-tagging rule. The 100% EC profile of the retained set is therefore readable as both an empirical pattern in this sample and a product of the Step 2 rule that keeps only claim mitigation in the hedge tally. The zero for pure DO in that tally is expected under the same rule. The zero for P is the clearer empirical null in this abstract genre.</w:t>
      </w:r>
    </w:p>
    <w:p w:rsidR="00000000" w:rsidDel="00000000" w:rsidP="00000000" w:rsidRDefault="00000000" w:rsidRPr="00000000" w14:paraId="00000051">
      <w:pPr>
        <w:spacing w:before="0" w:after="0" w:line="480" w:lineRule="auto"/>
        <w:ind w:firstLine="720"/>
        <w:jc w:val="both"/>
        <w:rPr/>
      </w:pPr>
      <w:r>
        <w:rPr>
          <w:rFonts w:ascii="Georgia" w:hAnsi="Georgia" w:cs="Georgia" w:eastAsia="Georgia"/>
          <w:i w:val="0"/>
          <w:iCs w:val="0"/>
          <w:sz w:val="22"/>
          <w:szCs w:val="22"/>
          <w:rtl w:val="0"/>
          <w:b w:val="0"/>
          <w:bCs w:val="0"/>
        </w:rPr>
        <w:t>The conceptual framework is presented in Figure 1. The grouping variable is discipline (Agriculture, Veterinary Medicine, and Biology). The outcome measures are hedge type frequency, distribution, and function. Figure 1 shows the study’s type and function categories in that pipeline. The analytical path moves from Step 1 and Step 2 through frequency analysis and cross-disciplinary comparison to functional and interpretive reading. Source jobs are stated in the framework text: Hyland (1998) supplies the type instrument and the starting point for EC and P on retained hedges, Crompton (1997) supports the Step 3 EC diagnostic, Salager-Meyer (1994) is the Part IV claim-responsibility lens, and Hyland (2005) is the stance lens for implications. DO appears in Figure 1 as a possible function label and logging category in this scheme. It is not treated as one of Hyland’s hedge functions. Two boundary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bound how far the findings may be generalized.</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4"/>
          <w:szCs w:val="24"/>
          <w:rtl w:val="0"/>
        </w:rPr>
        <w:t xml:space="preserve">Conceptual Framework of the Study</w:t>
      </w:r>
      <w:r>
        <w:rPr>
          <w:rtl w:val="0"/>
          <w:sz w:val="24"/>
          <w:szCs w:val="24"/>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sz w:val="24"/>
          <w:szCs w:val="24"/>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b w:val="1"/>
          <w:bCs w:val="1"/>
        </w:rPr>
        <w:t xml:space="preserve">For writing instructors and thesis advisers at PSAU, </w:t>
      </w:r>
      <w:r>
        <w:rPr>
          <w:rFonts w:ascii="Georgia" w:hAnsi="Georgia" w:cs="Georgia" w:eastAsia="Georgia"/>
          <w:sz w:val="22"/>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b w:val="1"/>
          <w:bCs w:val="1"/>
        </w:rPr>
        <w:t xml:space="preserve">For academic writing researchers, </w:t>
      </w:r>
      <w:r>
        <w:rPr>
          <w:rFonts w:ascii="Georgia" w:hAnsi="Georgia" w:cs="Georgia" w:eastAsia="Georgia"/>
          <w:sz w:val="22"/>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b w:val="1"/>
          <w:bCs w:val="1"/>
        </w:rPr>
        <w:t xml:space="preserve">For the BAELS program, </w:t>
      </w:r>
      <w:r>
        <w:rPr>
          <w:rFonts w:ascii="Georgia" w:hAnsi="Georgia" w:cs="Georgia" w:eastAsia="Georgia"/>
          <w:sz w:val="22"/>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b w:val="1"/>
          <w:bCs w:val="1"/>
        </w:rPr>
        <w:t xml:space="preserve">For future researchers, </w:t>
      </w:r>
      <w:r>
        <w:rPr>
          <w:rFonts w:ascii="Georgia" w:hAnsi="Georgia" w:cs="Georgia" w:eastAsia="Georgia"/>
          <w:sz w:val="22"/>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sz w:val="24"/>
          <w:szCs w:val="24"/>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b w:val="0"/>
          <w:sz w:val="22"/>
          <w:rtl w:val="0"/>
        </w:rPr>
        <w:t>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Step 1–3 coding scheme to longer genres where P may appear more often and where pure DO logs can be compared across genres.</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b w:val="0"/>
          <w:sz w:val="22"/>
          <w:rtl w:val="0"/>
        </w:rPr>
        <w:t>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items did not appear in the retained set. Expert abstracts in the same three disciplines, coded with the same Step 1–3 coding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sz w:val="24"/>
          <w:szCs w:val="24"/>
        </w:rPr>
      </w:r>
    </w:p>
    <w:p w:rsidR="00000000" w:rsidDel="00000000" w:rsidP="00000000" w:rsidRDefault="00000000" w:rsidRPr="00000000" w14:paraId="00000066">
      <w:pPr>
        <w:spacing w:before="0" w:after="0" w:line="480" w:lineRule="auto"/>
        <w:ind w:firstLine="720"/>
        <w:jc w:val="both"/>
        <w:rPr/>
      </w:pPr>
      <w:r>
        <w:rPr>
          <w:rFonts w:ascii="Georgia" w:hAnsi="Georgia" w:cs="Georgia" w:eastAsia="Georgia"/>
          <w:i w:val="0"/>
          <w:iCs w:val="0"/>
          <w:sz w:val="22"/>
          <w:szCs w:val="22"/>
          <w:rtl w:val="0"/>
          <w:b w:val="0"/>
          <w:bCs w:val="0"/>
        </w:rPr>
        <w:t xml:space="preserve">The following terms are defined conceptually and operationally to ensure consistency throughout the study:</w:t>
      </w:r>
      <w:r>
        <w:rPr>
          <w:rFonts w:ascii="Georgia" w:hAnsi="Georgia" w:cs="Georgia" w:eastAsia="Georgia"/>
          <w:sz w:val="22"/>
          <w:rtl w:val="0"/>
          <w:b w:val="0"/>
          <w:bCs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Abstract,</w:t>
      </w:r>
      <w:r>
        <w:rPr>
          <w:rFonts w:ascii="Georgia" w:hAnsi="Georgia" w:cs="Georgia" w:eastAsia="Georgia"/>
          <w:sz w:val="22"/>
          <w:b w:val="0"/>
          <w:bCs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sz w:val="22"/>
          <w:b w:val="1"/>
          <w:bCs w:val="1"/>
        </w:rPr>
        <w:t>Adverbial Hedges,</w:t>
      </w:r>
      <w:r>
        <w:rPr>
          <w:rFonts w:ascii="Georgia" w:hAnsi="Georgia" w:cs="Georgia" w:eastAsia="Georgia"/>
          <w:sz w:val="22"/>
          <w:b w:val="0"/>
          <w:bCs w:val="0"/>
        </w:rPr>
        <w:t xml:space="preserve"> conceptually,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sz w:val="22"/>
          <w:b w:val="1"/>
          <w:bCs w:val="1"/>
        </w:rPr>
        <w:t>Applied Life Sciences,</w:t>
      </w:r>
      <w:r>
        <w:rPr>
          <w:rFonts w:ascii="Georgia" w:hAnsi="Georgia" w:cs="Georgia" w:eastAsia="Georgia"/>
          <w:sz w:val="22"/>
          <w:b w:val="0"/>
          <w:bCs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sz w:val="22"/>
          <w:b w:val="1"/>
          <w:bCs w:val="1"/>
        </w:rPr>
        <w:t>Claim Responsibility,</w:t>
      </w:r>
      <w:r>
        <w:rPr>
          <w:rFonts w:ascii="Georgia" w:hAnsi="Georgia" w:cs="Georgia" w:eastAsia="Georgia"/>
          <w:sz w:val="22"/>
          <w:b w:val="0"/>
          <w:bCs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Chi-Square Test of Independence,</w:t>
      </w:r>
      <w:r>
        <w:rPr>
          <w:rFonts w:ascii="Georgia" w:hAnsi="Georgia" w:cs="Georgia" w:eastAsia="Georgia"/>
          <w:sz w:val="22"/>
          <w:b w:val="0"/>
          <w:bCs w:val="0"/>
        </w:rPr>
        <w:t xml:space="preserve"> conceptually,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sz w:val="22"/>
          <w:b w:val="1"/>
          <w:bCs w:val="1"/>
        </w:rPr>
        <w:t>Clause-Level Hedges,</w:t>
      </w:r>
      <w:r>
        <w:rPr>
          <w:rFonts w:ascii="Georgia" w:hAnsi="Georgia" w:cs="Georgia" w:eastAsia="Georgia"/>
          <w:sz w:val="22"/>
          <w:b w:val="0"/>
          <w:bCs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Cohen’s Kappa (κ),</w:t>
      </w:r>
      <w:r>
        <w:rPr>
          <w:rFonts w:ascii="Georgia" w:hAnsi="Georgia" w:cs="Georgia" w:eastAsia="Georgia"/>
          <w:sz w:val="22"/>
          <w:b w:val="0"/>
          <w:bCs w:val="0"/>
        </w:rPr>
        <w:t xml:space="preserve"> conceptually,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sz w:val="22"/>
          <w:b w:val="1"/>
          <w:bCs w:val="1"/>
        </w:rPr>
        <w:t>Corpus-Assisted Discourse Analysis,</w:t>
      </w:r>
      <w:r>
        <w:rPr>
          <w:rFonts w:ascii="Georgia" w:hAnsi="Georgia" w:cs="Georgia" w:eastAsia="Georgia"/>
          <w:sz w:val="22"/>
          <w:b w:val="0"/>
          <w:bCs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sz w:val="22"/>
          <w:b w:val="1"/>
          <w:bCs w:val="1"/>
        </w:rPr>
        <w:t>Disciplinary Variation,</w:t>
      </w:r>
      <w:r>
        <w:rPr>
          <w:rFonts w:ascii="Georgia" w:hAnsi="Georgia" w:cs="Georgia" w:eastAsia="Georgia"/>
          <w:sz w:val="22"/>
          <w:b w:val="0"/>
          <w:bCs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sz w:val="22"/>
          <w:b w:val="1"/>
          <w:bCs w:val="1"/>
        </w:rPr>
        <w:t>Epistemic Stance,</w:t>
      </w:r>
      <w:r>
        <w:rPr>
          <w:rFonts w:ascii="Georgia" w:hAnsi="Georgia" w:cs="Georgia" w:eastAsia="Georgia"/>
          <w:sz w:val="22"/>
          <w:b w:val="0"/>
          <w:bCs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Epistemic Weight,</w:t>
      </w:r>
      <w:r>
        <w:rPr>
          <w:rFonts w:ascii="Georgia" w:hAnsi="Georgia" w:cs="Georgia" w:eastAsia="Georgia"/>
          <w:sz w:val="22"/>
          <w:b w:val="0"/>
          <w:bCs w:val="0"/>
        </w:rPr>
        <w:t xml:space="preserve"> conceptually, is the strength of the writer’s commitment to the truth of a proposition (how certain or tentative the claim is). Operationally, a change in epistemic weight supports an EC function label at Step 3. Step 2 uses the broader force / directness test on knowledge claims (imposition only as interpersonal softening of a claim, not as a directive).</w:t>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sz w:val="22"/>
          <w:b w:val="1"/>
          <w:bCs w:val="1"/>
        </w:rPr>
        <w:t>Hedge Function,</w:t>
      </w:r>
      <w:r>
        <w:rPr>
          <w:rFonts w:ascii="Georgia" w:hAnsi="Georgia" w:cs="Georgia" w:eastAsia="Georgia"/>
          <w:sz w:val="22"/>
          <w:b w:val="0"/>
          <w:bCs w:val="0"/>
        </w:rPr>
        <w:t xml:space="preserve"> conceptually,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sz w:val="22"/>
          <w:b w:val="1"/>
          <w:bCs w:val="1"/>
        </w:rPr>
        <w:t>Hedging,</w:t>
      </w:r>
      <w:r>
        <w:rPr>
          <w:rFonts w:ascii="Georgia" w:hAnsi="Georgia" w:cs="Georgia" w:eastAsia="Georgia"/>
          <w:sz w:val="22"/>
          <w:b w:val="0"/>
          <w:bCs w:val="0"/>
        </w:rPr>
        <w:t xml:space="preserve"> conceptually,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Kruskal-Wallis Test,</w:t>
      </w:r>
      <w:r>
        <w:rPr>
          <w:rFonts w:ascii="Georgia" w:hAnsi="Georgia" w:cs="Georgia" w:eastAsia="Georgia"/>
          <w:sz w:val="22"/>
          <w:b w:val="0"/>
          <w:bCs w:val="0"/>
        </w:rPr>
        <w:t xml:space="preserve"> conceptually,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sz w:val="22"/>
          <w:b w:val="1"/>
          <w:bCs w:val="1"/>
        </w:rPr>
        <w:t>Lexical Hedges,</w:t>
      </w:r>
      <w:r>
        <w:rPr>
          <w:rFonts w:ascii="Georgia" w:hAnsi="Georgia" w:cs="Georgia" w:eastAsia="Georgia"/>
          <w:sz w:val="22"/>
          <w:b w:val="0"/>
          <w:bCs w:val="0"/>
        </w:rPr>
        <w:t xml:space="preserve"> conceptually,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before="0" w:after="0" w:line="480" w:lineRule="auto"/>
        <w:ind w:firstLine="720"/>
        <w:jc w:val="both"/>
        <w:rPr/>
      </w:pPr>
      <w:r>
        <w:rPr>
          <w:rFonts w:ascii="Georgia" w:hAnsi="Georgia" w:cs="Georgia" w:eastAsia="Georgia"/>
          <w:sz w:val="22"/>
          <w:b w:val="1"/>
          <w:bCs w:val="1"/>
        </w:rPr>
        <w:t>Mann-Whitney U Test,</w:t>
      </w:r>
      <w:r>
        <w:rPr>
          <w:rFonts w:ascii="Georgia" w:hAnsi="Georgia" w:cs="Georgia" w:eastAsia="Georgia"/>
          <w:sz w:val="22"/>
          <w:b w:val="0"/>
          <w:bCs w:val="0"/>
        </w:rPr>
        <w:t xml:space="preserve"> conceptually,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sz w:val="22"/>
          <w:b w:val="1"/>
          <w:bCs w:val="1"/>
        </w:rPr>
        <w:t>Modal Verbs,</w:t>
      </w:r>
      <w:r>
        <w:rPr>
          <w:rFonts w:ascii="Georgia" w:hAnsi="Georgia" w:cs="Georgia" w:eastAsia="Georgia"/>
          <w:sz w:val="22"/>
          <w:b w:val="0"/>
          <w:bCs w:val="0"/>
        </w:rPr>
        <w:t xml:space="preserve"> conceptually,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sz w:val="22"/>
          <w:b w:val="1"/>
          <w:bCs w:val="1"/>
        </w:rPr>
        <w:t>Normalized Frequency,</w:t>
      </w:r>
      <w:r>
        <w:rPr>
          <w:rFonts w:ascii="Georgia" w:hAnsi="Georgia" w:cs="Georgia" w:eastAsia="Georgia"/>
          <w:sz w:val="22"/>
          <w:b w:val="0"/>
          <w:bCs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before="0" w:after="0" w:line="480" w:lineRule="auto"/>
        <w:ind w:firstLine="720"/>
        <w:jc w:val="both"/>
        <w:rPr/>
      </w:pPr>
      <w:r>
        <w:rPr>
          <w:rFonts w:ascii="Georgia" w:hAnsi="Georgia" w:cs="Georgia" w:eastAsia="Georgia"/>
          <w:sz w:val="22"/>
          <w:b w:val="1"/>
          <w:bCs w:val="1"/>
        </w:rPr>
        <w:t>Operational Restatement (Threshold Restatement),</w:t>
      </w:r>
      <w:r>
        <w:rPr>
          <w:rFonts w:ascii="Georgia" w:hAnsi="Georgia" w:cs="Georgia" w:eastAsia="Georgia"/>
          <w:sz w:val="22"/>
          <w:b w:val="0"/>
          <w:bCs w:val="0"/>
        </w:rPr>
        <w:t xml:space="preserve"> 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Rescue-Hedging (Rescue Framing),</w:t>
      </w:r>
      <w:r>
        <w:rPr>
          <w:rFonts w:ascii="Georgia" w:hAnsi="Georgia" w:cs="Georgia" w:eastAsia="Georgia"/>
          <w:sz w:val="22"/>
          <w:b w:val="0"/>
          <w:bCs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Softening,</w:t>
      </w:r>
      <w:r>
        <w:rPr>
          <w:rFonts w:ascii="Georgia" w:hAnsi="Georgia" w:cs="Georgia" w:eastAsia="Georgia"/>
          <w:sz w:val="22"/>
          <w:b w:val="0"/>
          <w:bCs w:val="0"/>
        </w:rPr>
        <w:t xml:space="preserve"> conceptually, is the reduction of force, directness, imposition, or interpersonal impact in a statement. Operationally, Step 2 tracks softening of force or directness on knowledge claims (and interpersonal imposition on how claims are put forward). Step 3 labels retained hedges as epistemic (EC), interpersonal (P), and/or discourse-managing (DO) where co-occurrence applies. Directives remain excluded.</w:t>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sz w:val="28"/>
          <w:szCs w:val="28"/>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sz w:val="24"/>
          <w:szCs w:val="24"/>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sz w:val="24"/>
          <w:szCs w:val="24"/>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sz w:val="24"/>
          <w:szCs w:val="24"/>
        </w:rPr>
      </w:r>
    </w:p>
    <w:p w:rsidR="00000000" w:rsidDel="00000000" w:rsidP="00000000" w:rsidRDefault="00000000" w:rsidRPr="00000000" w14:paraId="00000086">
      <w:pPr>
        <w:spacing w:before="0" w:after="0" w:line="480" w:lineRule="auto"/>
        <w:ind w:firstLine="720"/>
        <w:jc w:val="both"/>
        <w:rPr/>
      </w:pPr>
      <w:r>
        <w:rPr>
          <w:rFonts w:ascii="Georgia" w:hAnsi="Georgia" w:cs="Georgia" w:eastAsia="Georgia"/>
          <w:i w:val="0"/>
          <w:iCs w:val="0"/>
          <w:sz w:val="24"/>
          <w:szCs w:val="24"/>
          <w:rtl w:val="0"/>
          <w:b w:val="0"/>
          <w:bCs w:val="0"/>
        </w:rPr>
        <w:t xml:space="preserve">The study proceeded through the following steps:</w:t>
      </w:r>
      <w:r>
        <w:rPr>
          <w:rFonts w:ascii="Georgia" w:hAnsi="Georgia" w:cs="Georgia" w:eastAsia="Georgia"/>
          <w:sz w:val="24"/>
          <w:rtl w:val="0"/>
          <w:b w:val="0"/>
          <w:bCs w:val="0"/>
          <w:szCs w:val="24"/>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sz w:val="22"/>
          <w:b w:val="1"/>
          <w:bCs w:val="1"/>
        </w:rPr>
        <w:t xml:space="preserve">a. Requesting Permission. </w:t>
      </w:r>
      <w:r>
        <w:rPr>
          <w:rFonts w:ascii="Georgia" w:hAnsi="Georgia" w:cs="Georgia" w:eastAsia="Georgia"/>
          <w:sz w:val="22"/>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sz w:val="22"/>
          <w:b w:val="1"/>
          <w:bCs w:val="1"/>
        </w:rPr>
        <w:t xml:space="preserve">b. Corpus Construction. </w:t>
      </w:r>
      <w:r>
        <w:rPr>
          <w:rFonts w:ascii="Georgia" w:hAnsi="Georgia" w:cs="Georgia" w:eastAsia="Georgia"/>
          <w:sz w:val="22"/>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sz w:val="22"/>
          <w:b w:val="1"/>
          <w:bCs w:val="1"/>
        </w:rPr>
        <w:t xml:space="preserve">c. Text Extraction. </w:t>
      </w:r>
      <w:r>
        <w:rPr>
          <w:rFonts w:ascii="Georgia" w:hAnsi="Georgia" w:cs="Georgia" w:eastAsia="Georgia"/>
          <w:sz w:val="22"/>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sz w:val="22"/>
          <w:b w:val="1"/>
          <w:bCs w:val="1"/>
        </w:rPr>
        <w:t xml:space="preserve">d. Pilot Testing and Reliability Checking. </w:t>
      </w:r>
      <w:r>
        <w:rPr>
          <w:rFonts w:ascii="Georgia" w:hAnsi="Georgia" w:cs="Georgia" w:eastAsia="Georgia"/>
          <w:sz w:val="22"/>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b w:val="1"/>
          <w:bCs w:val="1"/>
        </w:rPr>
        <w:t xml:space="preserve">e. Data Analysis. </w:t>
      </w:r>
      <w:r>
        <w:rPr>
          <w:rFonts w:ascii="Georgia" w:hAnsi="Georgia" w:cs="Georgia" w:eastAsia="Georgia"/>
          <w:sz w:val="22"/>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sz w:val="22"/>
          <w:b w:val="1"/>
          <w:bCs w:val="1"/>
        </w:rPr>
        <w:t xml:space="preserve">f. Timeline. </w:t>
      </w:r>
      <w:r>
        <w:rPr>
          <w:rFonts w:ascii="Georgia" w:hAnsi="Georgia" w:cs="Georgia" w:eastAsia="Georgia"/>
          <w:sz w:val="22"/>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sz w:val="24"/>
          <w:szCs w:val="24"/>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sz w:val="24"/>
          <w:szCs w:val="24"/>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240" w:after="0" w:line="480" w:lineRule="auto"/>
        <w:jc w:val="center"/>
      </w:pPr>
      <w:r>
        <w:rPr>
          <w:rFonts w:ascii="Georgia" w:hAnsi="Georgia" w:cs="Georgia" w:eastAsia="Georgia"/>
          <w:b/>
          <w:sz w:val="22"/>
          <w:szCs w:val="22"/>
        </w:rPr>
        <w:t>Table 1</w:t>
      </w:r>
    </w:p>
    <w:p>
      <w:pPr>
        <w:keepNext w:val="1"/>
        <w:spacing w:before="0" w:after="60" w:line="480" w:lineRule="auto"/>
        <w:jc w:val="center"/>
      </w:pPr>
      <w:r>
        <w:rPr>
          <w:rFonts w:ascii="Georgia" w:hAnsi="Georgia" w:cs="Georgia" w:eastAsia="Georgia"/>
          <w:sz w:val="22"/>
          <w:szCs w:val="22"/>
        </w:rPr>
        <w:t>PSAU Thesis Repository: Population and Sampling Summary</w:t>
      </w:r>
    </w:p>
    <w:tbl>
      <w:tblPr>
        <w:tblStyle w:val="Table1"/>
        <w:tblW w:w="8304"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b w:val="1"/>
          <w:bCs w:val="1"/>
        </w:rPr>
        <w:t xml:space="preserve">Inclusion Criteria. </w:t>
      </w:r>
      <w:r>
        <w:rPr>
          <w:rFonts w:ascii="Georgia" w:hAnsi="Georgia" w:cs="Georgia" w:eastAsia="Georgia"/>
          <w:sz w:val="22"/>
          <w:b w:val="0"/>
          <w:bCs w:val="0"/>
        </w:rPr>
        <w:t>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b w:val="1"/>
          <w:bCs w:val="1"/>
        </w:rPr>
        <w:t xml:space="preserve">Exclusion Criteria. </w:t>
      </w:r>
      <w:r>
        <w:rPr>
          <w:rFonts w:ascii="Georgia" w:hAnsi="Georgia" w:cs="Georgia" w:eastAsia="Georgia"/>
          <w:sz w:val="22"/>
          <w:b w:val="0"/>
          <w:bCs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b w:val="1"/>
          <w:bCs w:val="1"/>
        </w:rPr>
        <w:t xml:space="preserve">Ethical Considerations. </w:t>
      </w:r>
      <w:r>
        <w:rPr>
          <w:rFonts w:ascii="Georgia" w:hAnsi="Georgia" w:cs="Georgia" w:eastAsia="Georgia"/>
          <w:sz w:val="22"/>
          <w:b w:val="0"/>
          <w:bCs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sz w:val="28"/>
          <w:szCs w:val="28"/>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sz w:val="24"/>
          <w:szCs w:val="24"/>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2"/>
          <w:szCs w:val="22"/>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2"/>
          <w:szCs w:val="22"/>
        </w:rPr>
        <w:t>Table 2</w:t>
      </w:r>
    </w:p>
    <w:p>
      <w:pPr>
        <w:keepNext w:val="1"/>
        <w:spacing w:before="0" w:after="60" w:line="480" w:lineRule="auto"/>
        <w:jc w:val="center"/>
      </w:pPr>
      <w:r>
        <w:rPr>
          <w:rFonts w:ascii="Georgia" w:hAnsi="Georgia" w:cs="Georgia" w:eastAsia="Georgia"/>
          <w:sz w:val="22"/>
          <w:szCs w:val="22"/>
        </w:rPr>
        <w:t>Hedge Type Distribution Across the Corpus</w:t>
      </w:r>
    </w:p>
    <w:tbl>
      <w:tblPr>
        <w:tblStyle w:val="Table2"/>
        <w:tblW w:w="8307"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spacing w:before="720" w:after="0" w:line="480" w:lineRule="auto"/>
        <w:jc w:val="center"/>
        <w:keepNext/>
        <w:pageBreakBefore/>
      </w:pPr>
      <w:r>
        <w:rPr>
          <w:rFonts w:ascii="Georgia" w:hAnsi="Georgia" w:cs="Georgia" w:eastAsia="Georgia"/>
          <w:b/>
          <w:sz w:val="22"/>
          <w:szCs w:val="22"/>
        </w:rPr>
        <w:t>Table 4</w:t>
      </w:r>
    </w:p>
    <w:p>
      <w:pPr>
        <w:spacing w:before="0" w:after="60" w:line="480" w:lineRule="auto"/>
        <w:jc w:val="center"/>
        <w:keepNext/>
      </w:pPr>
      <w:r>
        <w:rPr>
          <w:rFonts w:ascii="Georgia" w:hAnsi="Georgia" w:cs="Georgia" w:eastAsia="Georgia"/>
          <w:sz w:val="22"/>
          <w:szCs w:val="22"/>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hAnsi="Georgia" w:cs="Georgia" w:eastAsia="Georgia"/>
          <w:b w:val="0"/>
          <w:bCs w:val="0"/>
          <w:i w:val="0"/>
          <w:iCs w:val="0"/>
          <w:sz w:val="22"/>
          <w:szCs w:val="22"/>
          <w:rtl w:val="0"/>
        </w:rPr>
        <w:t>The corpus also yielded 58 false positive tokens, hedge-like words that were rejected under the codebook’s Step 2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Step 2’s force-reduction check as a secondary screen. Without that position-based rule, keyword matching alone would have counted many topic-naming uses of potential as hedges and inflated the total.</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sz w:val="24"/>
          <w:szCs w:val="24"/>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2"/>
          <w:szCs w:val="22"/>
        </w:rPr>
        <w:t>Table 5</w:t>
      </w:r>
    </w:p>
    <w:p>
      <w:pPr>
        <w:keepNext w:val="1"/>
        <w:spacing w:before="0" w:after="60" w:line="480" w:lineRule="auto"/>
        <w:jc w:val="center"/>
      </w:pPr>
      <w:r>
        <w:rPr>
          <w:rFonts w:ascii="Georgia" w:hAnsi="Georgia" w:cs="Georgia" w:eastAsia="Georgia"/>
          <w:sz w:val="22"/>
          <w:szCs w:val="22"/>
        </w:rPr>
        <w:t>Hedge Frequency by Discipline</w:t>
      </w:r>
    </w:p>
    <w:tbl>
      <w:tblPr>
        <w:tblStyle w:val="Table4"/>
        <w:tblW w:w="8355"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sz w:val="24"/>
          <w:szCs w:val="24"/>
        </w:rPr>
      </w:r>
    </w:p>
    <w:p w:rsidR="00000000" w:rsidDel="00000000" w:rsidP="00000000" w:rsidRDefault="00000000" w:rsidRPr="00000000" w14:paraId="00000147">
      <w:pPr>
        <w:spacing w:before="0" w:after="0" w:line="480" w:lineRule="auto"/>
        <w:ind w:firstLine="720"/>
        <w:jc w:val="both"/>
        <w:rPr/>
      </w:pPr>
      <w:r>
        <w:rPr>
          <w:rFonts w:ascii="Georgia" w:hAnsi="Georgia" w:cs="Georgia" w:eastAsia="Georgia"/>
          <w:b w:val="0"/>
          <w:i w:val="0"/>
          <w:sz w:val="22"/>
        </w:rPr>
        <w:t xml:space="preserve">All 65 tokens retained as hedges were coded Epistemic Caution (EC). None of those retained tokens were assigned Politeness/Deference (P) or Discourse Organization </w:t>
      </w:r>
      <w:r>
        <w:rPr>
          <w:rFonts w:ascii="Georgia" w:hAnsi="Georgia" w:cs="Georgia" w:eastAsia="Georgia"/>
          <w:b w:val="0"/>
          <w:i w:val="0"/>
          <w:sz w:val="22"/>
          <w:color w:val="000000"/>
        </w:rPr>
        <w:t>(DO)</w:t>
      </w:r>
      <w:r>
        <w:rPr>
          <w:rFonts w:ascii="Georgia" w:hAnsi="Georgia" w:cs="Georgia" w:eastAsia="Georgia"/>
          <w:b w:val="0"/>
          <w:i w:val="0"/>
          <w:sz w:val="22"/>
        </w:rPr>
        <w:t xml:space="preserve">. Discourse connectors such as Hence, Thus, Therefore, and In conclusion appear in the corpus and are tagged </w:t>
      </w:r>
      <w:r>
        <w:rPr>
          <w:rFonts w:ascii="Georgia" w:hAnsi="Georgia" w:cs="Georgia" w:eastAsia="Georgia"/>
          <w:b w:val="0"/>
          <w:i w:val="0"/>
          <w:sz w:val="22"/>
          <w:color w:val="000000"/>
        </w:rPr>
        <w:t>(DO)</w:t>
      </w:r>
      <w:r>
        <w:rPr>
          <w:rFonts w:ascii="Georgia" w:hAnsi="Georgia" w:cs="Georgia" w:eastAsia="Georgia"/>
          <w:b w:val="0"/>
          <w:i w:val="0"/>
          <w:sz w:val="22"/>
        </w:rPr>
        <w:t xml:space="preserve"> in Appendix C but are not counted as hedges when they do not change the epistemic weight of a claim. Table 6 presents the function distribution among retained hedges.</w:t>
      </w:r>
    </w:p>
    <w:p>
      <w:pPr>
        <w:keepNext w:val="1"/>
        <w:spacing w:before="720" w:after="0" w:line="480" w:lineRule="auto"/>
        <w:jc w:val="center"/>
      </w:pPr>
      <w:r>
        <w:rPr>
          <w:rFonts w:ascii="Georgia" w:hAnsi="Georgia" w:cs="Georgia" w:eastAsia="Georgia"/>
          <w:b/>
          <w:sz w:val="22"/>
          <w:szCs w:val="22"/>
        </w:rPr>
        <w:t>Table 6</w:t>
      </w:r>
    </w:p>
    <w:p>
      <w:pPr>
        <w:keepNext w:val="1"/>
        <w:spacing w:before="0" w:after="60" w:line="480" w:lineRule="auto"/>
        <w:jc w:val="center"/>
      </w:pPr>
      <w:r>
        <w:rPr>
          <w:rFonts w:ascii="Georgia" w:hAnsi="Georgia" w:cs="Georgia" w:eastAsia="Georgia"/>
          <w:sz w:val="22"/>
          <w:szCs w:val="22"/>
        </w:rPr>
        <w:t>Hedge Function Distribution (Among Coded Hedges)</w:t>
      </w:r>
    </w:p>
    <w:tbl>
      <w:tblPr>
        <w:tblStyle w:val="Table5"/>
        <w:tblW w:w="8307"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No retained hedge was independently labeled Politeness or Discourse Organization. Under the Step 2 rule, only claim mitigation enters the retained hedge set, so pure findings framing is logged as discourse organization and does not count in the 65. P-only mitigation could in principle have been retained if it softened how a knowledge claim was put forward without changing commitment. In this corpus no such P forms appeared in the retained set. Discourse connectors that only sequence moves were inspected in Step 1 and kept outside the retained count. Genre compression remains a plausible account of the P null, as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hAnsi="Georgia" w:cs="Georgia" w:eastAsia="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Step 3. In this sample no P candidates entered the retained set. Pure findings framing was logged as discourse organization outside that set.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sz w:val="24"/>
          <w:szCs w:val="24"/>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established frequency, function, and density differences in this corpus. Part IV asks what those differences amount to once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2"/>
          <w:szCs w:val="22"/>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i w:val="0"/>
          <w:iCs w:val="0"/>
          <w:rtl w:val="0"/>
          <w:sz w:val="22"/>
          <w:szCs w:val="22"/>
          <w:b w:val="0"/>
          <w:bCs w:val="0"/>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 That reading is an interpretation of the frequency pattern under the claim-responsibility lens, not a tested finding about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before="0" w:after="0" w:line="240" w:lineRule="auto"/>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sz w:val="28"/>
          <w:szCs w:val="28"/>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sz w:val="24"/>
          <w:szCs w:val="24"/>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 The data cannot name the cause. They can show the textual outcome.</w:t>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sz w:val="24"/>
          <w:szCs w:val="24"/>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 that assumes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t/>
      </w:r>
      <w:r>
        <w:rPr>
          <w:rFonts w:ascii="Georgia" w:cs="Georgia" w:eastAsia="Georgia" w:hAnsi="Georgia"/>
          <w:b w:val="0"/>
          <w:bCs w:val="0"/>
          <w:i w:val="0"/>
          <w:iCs w:val="0"/>
          <w:sz w:val="22"/>
          <w:szCs w:val="22"/>
          <w:rtl w:val="0"/>
        </w:rPr>
        <w:t/>
      </w:r>
      <w:r>
        <w:rPr>
          <w:rtl w:val="0"/>
        </w:rPr>
      </w:r>
    </w:p>
    <w:p>
      <w:pPr>
        <w:spacing w:before="0" w:after="0" w:line="240" w:lineRule="auto"/>
      </w:pPr>
      <w:r>
        <w:br w:type="page"/>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sz w:val="28"/>
          <w:szCs w:val="28"/>
        </w:rPr>
      </w:r>
    </w:p>
    <w:p w:rsidR="00000000" w:rsidDel="00000000" w:rsidP="00000000" w:rsidRDefault="00000000" w:rsidRPr="00000000" w14:paraId="00000186">
      <w:pPr>
        <w:spacing w:before="0" w:after="0" w:line="480" w:lineRule="auto"/>
        <w:ind w:left="720" w:hanging="720"/>
        <w:jc w:val="left"/>
        <w:rPr/>
      </w:pPr>
      <w:r>
        <w:rPr>
          <w:rFonts w:ascii="Georgia" w:hAnsi="Georgia" w:eastAsia="Georgia" w:cs="Georgia"/>
          <w:i w:val="0"/>
          <w:sz w:val="22"/>
          <w:szCs w:val="22"/>
        </w:rPr>
        <w:t xml:space="preserve">Afshar, H. S., Moradi, M., &amp; Hamzavi, R. (2014). Frequency and type of hedging devices used in the research articles of humanities, basic sciences and agriculture. </w:t>
      </w:r>
      <w:r>
        <w:rPr>
          <w:rFonts w:ascii="Georgia" w:hAnsi="Georgia" w:eastAsia="Georgia" w:cs="Georgia"/>
          <w:i/>
          <w:sz w:val="22"/>
          <w:szCs w:val="22"/>
        </w:rPr>
        <w:t>Procedia – Social and Behavioral Sciences, 136</w:t>
      </w:r>
      <w:r>
        <w:rPr>
          <w:rFonts w:ascii="Georgia" w:hAnsi="Georgia" w:eastAsia="Georgia" w:cs="Georgia"/>
          <w:i w:val="0"/>
          <w:sz w:val="22"/>
          <w:szCs w:val="22"/>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eastAsia="Georgia" w:cs="Georgia"/>
          <w:i w:val="0"/>
          <w:sz w:val="22"/>
          <w:szCs w:val="22"/>
        </w:rPr>
        <w:t xml:space="preserve">Biber, D., Conrad, S., &amp; Reppen, R. (1998). </w:t>
      </w:r>
      <w:r>
        <w:rPr>
          <w:rFonts w:ascii="Georgia" w:hAnsi="Georgia" w:eastAsia="Georgia" w:cs="Georgia"/>
          <w:i/>
          <w:sz w:val="22"/>
          <w:szCs w:val="22"/>
        </w:rPr>
        <w:t>Corpus linguistics: Investigating language structure and use</w:t>
      </w:r>
      <w:r>
        <w:rPr>
          <w:rFonts w:ascii="Georgia" w:hAnsi="Georgia" w:eastAsia="Georgia" w:cs="Georgia"/>
          <w:i w:val="0"/>
          <w:sz w:val="22"/>
          <w:szCs w:val="22"/>
        </w:rPr>
        <w:t>. Cambridge University Press.</w:t>
      </w:r>
    </w:p>
    <w:p>
      <w:pPr>
        <w:spacing w:before="0" w:after="0" w:line="480" w:lineRule="auto"/>
        <w:ind w:left="720" w:hanging="720"/>
        <w:jc w:val="left"/>
        <w:rPr/>
      </w:pPr>
      <w:r>
        <w:rPr>
          <w:rFonts w:ascii="Georgia" w:hAnsi="Georgia" w:eastAsia="Georgia" w:cs="Georgia"/>
          <w:i w:val="0"/>
          <w:sz w:val="22"/>
          <w:szCs w:val="22"/>
        </w:rPr>
        <w:t xml:space="preserve">Crompton, P. (1997). Hedging in academic writing: Some theoretical problems. </w:t>
      </w:r>
      <w:r>
        <w:rPr>
          <w:rFonts w:ascii="Georgia" w:hAnsi="Georgia" w:eastAsia="Georgia" w:cs="Georgia"/>
          <w:i/>
          <w:sz w:val="22"/>
          <w:szCs w:val="22"/>
        </w:rPr>
        <w:t>English for Specific Purposes, 16</w:t>
      </w:r>
      <w:r>
        <w:rPr>
          <w:rFonts w:ascii="Georgia" w:hAnsi="Georgia" w:eastAsia="Georgia" w:cs="Georgia"/>
          <w:i w:val="0"/>
          <w:sz w:val="22"/>
          <w:szCs w:val="22"/>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Georgia" w:hAnsi="Georgia" w:eastAsia="Georgia" w:cs="Georgia"/>
          <w:i w:val="0"/>
          <w:sz w:val="22"/>
          <w:szCs w:val="22"/>
        </w:rPr>
        <w:t xml:space="preserve">Demir, C. (2018). Hedging and academic writing: An analysis of lexical hedges. </w:t>
      </w:r>
      <w:r>
        <w:rPr>
          <w:rFonts w:ascii="Georgia" w:hAnsi="Georgia" w:eastAsia="Georgia" w:cs="Georgia"/>
          <w:i/>
          <w:sz w:val="22"/>
          <w:szCs w:val="22"/>
        </w:rPr>
        <w:t>Journal of Language and Linguistic Studies, 14</w:t>
      </w:r>
      <w:r>
        <w:rPr>
          <w:rFonts w:ascii="Georgia" w:hAnsi="Georgia" w:eastAsia="Georgia" w:cs="Georgia"/>
          <w:i w:val="0"/>
          <w:sz w:val="22"/>
          <w:szCs w:val="22"/>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eastAsia="Georgia" w:cs="Georgia"/>
          <w:i w:val="0"/>
          <w:sz w:val="22"/>
          <w:szCs w:val="22"/>
        </w:rPr>
        <w:t xml:space="preserve">Escalona, S. L. (2025). Hedges and boosters in college essays: A study of linguistic modulation in student writing. </w:t>
      </w:r>
      <w:r>
        <w:rPr>
          <w:rFonts w:ascii="Georgia" w:hAnsi="Georgia" w:eastAsia="Georgia" w:cs="Georgia"/>
          <w:i/>
          <w:sz w:val="22"/>
          <w:szCs w:val="22"/>
        </w:rPr>
        <w:t>International Journal of English Literature and Social Sciences, 10</w:t>
      </w:r>
      <w:r>
        <w:rPr>
          <w:rFonts w:ascii="Georgia" w:hAnsi="Georgia" w:eastAsia="Georgia" w:cs="Georgia"/>
          <w:i w:val="0"/>
          <w:sz w:val="22"/>
          <w:szCs w:val="22"/>
        </w:rPr>
        <w:t>(1), 7–17. https://doi.org/10.22161/ijels.101.2</w:t>
      </w:r>
    </w:p>
    <w:p>
      <w:pPr>
        <w:spacing w:before="0" w:after="0" w:line="480" w:lineRule="auto"/>
        <w:ind w:left="720" w:hanging="720"/>
        <w:jc w:val="left"/>
        <w:rPr/>
      </w:pPr>
      <w:r>
        <w:rPr>
          <w:rFonts w:ascii="Georgia" w:hAnsi="Georgia" w:eastAsia="Georgia" w:cs="Georgia"/>
          <w:i w:val="0"/>
          <w:sz w:val="22"/>
          <w:szCs w:val="22"/>
        </w:rPr>
        <w:t xml:space="preserve">Ghia, E., Petrocelli, E., &amp; Pizziconi, S. (2022). Data possibly suggest… Hedging in second language writing: A study on advanced Italian EFL learners. </w:t>
      </w:r>
      <w:r>
        <w:rPr>
          <w:rFonts w:ascii="Georgia" w:hAnsi="Georgia" w:eastAsia="Georgia" w:cs="Georgia"/>
          <w:i/>
          <w:sz w:val="22"/>
          <w:szCs w:val="22"/>
        </w:rPr>
        <w:t>Belgrade English Language and Literature Studies, 14</w:t>
      </w:r>
      <w:r>
        <w:rPr>
          <w:rFonts w:ascii="Georgia" w:hAnsi="Georgia" w:eastAsia="Georgia" w:cs="Georgia"/>
          <w:i w:val="0"/>
          <w:sz w:val="22"/>
          <w:szCs w:val="22"/>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Georgia" w:hAnsi="Georgia" w:eastAsia="Georgia" w:cs="Georgia"/>
          <w:i w:val="0"/>
          <w:sz w:val="22"/>
          <w:szCs w:val="22"/>
        </w:rPr>
        <w:t xml:space="preserve">Hamidi, H., Najafi Sarem, S., &amp; Lotfi, A. H. (2025). Exploring hedging devices in scientific research papers: A content analysis study of the Medical Journal of the Islamic Republic of Iran. </w:t>
      </w:r>
      <w:r>
        <w:rPr>
          <w:rFonts w:ascii="Georgia" w:hAnsi="Georgia" w:eastAsia="Georgia" w:cs="Georgia"/>
          <w:i/>
          <w:sz w:val="22"/>
          <w:szCs w:val="22"/>
        </w:rPr>
        <w:t>Medical Journal of the Islamic Republic of Iran, 39</w:t>
      </w:r>
      <w:r>
        <w:rPr>
          <w:rFonts w:ascii="Georgia" w:hAnsi="Georgia" w:eastAsia="Georgia" w:cs="Georgia"/>
          <w:i w:val="0"/>
          <w:sz w:val="22"/>
          <w:szCs w:val="22"/>
        </w:rPr>
        <w:t>, Article 125. https://pmc.ncbi.nlm.nih.gov/articles/PMC12584097/</w:t>
      </w:r>
    </w:p>
    <w:p>
      <w:pPr>
        <w:spacing w:before="0" w:after="0" w:line="480" w:lineRule="auto"/>
        <w:ind w:left="720" w:hanging="720"/>
        <w:jc w:val="left"/>
        <w:rPr/>
      </w:pPr>
      <w:r>
        <w:rPr>
          <w:rFonts w:ascii="Georgia" w:hAnsi="Georgia" w:eastAsia="Georgia" w:cs="Georgia"/>
          <w:i w:val="0"/>
          <w:sz w:val="22"/>
          <w:szCs w:val="22"/>
        </w:rPr>
        <w:t xml:space="preserve">Hu, G., &amp; Cao, F. (2011). Hedging and boosting in abstracts of applied linguistics articles: A comparative study of English- and Chinese-medium journals. </w:t>
      </w:r>
      <w:r>
        <w:rPr>
          <w:rFonts w:ascii="Georgia" w:hAnsi="Georgia" w:eastAsia="Georgia" w:cs="Georgia"/>
          <w:i/>
          <w:sz w:val="22"/>
          <w:szCs w:val="22"/>
        </w:rPr>
        <w:t>Journal of Pragmatics, 43</w:t>
      </w:r>
      <w:r>
        <w:rPr>
          <w:rFonts w:ascii="Georgia" w:hAnsi="Georgia" w:eastAsia="Georgia" w:cs="Georgia"/>
          <w:i w:val="0"/>
          <w:sz w:val="22"/>
          <w:szCs w:val="22"/>
        </w:rPr>
        <w:t>(11), 2795–2809. https://doi.org/10.1016/j.pragma.2011.04.007</w:t>
      </w:r>
    </w:p>
    <w:p>
      <w:pPr>
        <w:spacing w:before="0" w:after="0" w:line="480" w:lineRule="auto"/>
        <w:ind w:left="720" w:hanging="720"/>
        <w:jc w:val="left"/>
        <w:rPr/>
      </w:pPr>
      <w:r>
        <w:rPr>
          <w:rFonts w:ascii="Georgia" w:hAnsi="Georgia" w:eastAsia="Georgia" w:cs="Georgia"/>
          <w:i w:val="0"/>
          <w:sz w:val="22"/>
          <w:szCs w:val="22"/>
        </w:rPr>
        <w:t xml:space="preserve">Hyland, K. (1996). Writing without conviction? Hedging in science research articles. </w:t>
      </w:r>
      <w:r>
        <w:rPr>
          <w:rFonts w:ascii="Georgia" w:hAnsi="Georgia" w:eastAsia="Georgia" w:cs="Georgia"/>
          <w:i/>
          <w:sz w:val="22"/>
          <w:szCs w:val="22"/>
        </w:rPr>
        <w:t>Applied Linguistics, 17</w:t>
      </w:r>
      <w:r>
        <w:rPr>
          <w:rFonts w:ascii="Georgia" w:hAnsi="Georgia" w:eastAsia="Georgia" w:cs="Georgia"/>
          <w:i w:val="0"/>
          <w:sz w:val="22"/>
          <w:szCs w:val="22"/>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Georgia" w:hAnsi="Georgia" w:eastAsia="Georgia" w:cs="Georgia"/>
          <w:i w:val="0"/>
          <w:sz w:val="22"/>
          <w:szCs w:val="22"/>
        </w:rPr>
        <w:t xml:space="preserve">Hyland, K. (1998). </w:t>
      </w:r>
      <w:r>
        <w:rPr>
          <w:rFonts w:ascii="Georgia" w:hAnsi="Georgia" w:eastAsia="Georgia" w:cs="Georgia"/>
          <w:i/>
          <w:sz w:val="22"/>
          <w:szCs w:val="22"/>
        </w:rPr>
        <w:t>Hedging in scientific research articles</w:t>
      </w:r>
      <w:r>
        <w:rPr>
          <w:rFonts w:ascii="Georgia" w:hAnsi="Georgia" w:eastAsia="Georgia" w:cs="Georgia"/>
          <w:i w:val="0"/>
          <w:sz w:val="22"/>
          <w:szCs w:val="22"/>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eastAsia="Georgia" w:cs="Georgia"/>
          <w:i w:val="0"/>
          <w:sz w:val="22"/>
          <w:szCs w:val="22"/>
        </w:rPr>
        <w:t xml:space="preserve">Hyland, K. (2005). Stance and engagement: A model of interaction in academic discourse. </w:t>
      </w:r>
      <w:r>
        <w:rPr>
          <w:rFonts w:ascii="Georgia" w:hAnsi="Georgia" w:eastAsia="Georgia" w:cs="Georgia"/>
          <w:i/>
          <w:sz w:val="22"/>
          <w:szCs w:val="22"/>
        </w:rPr>
        <w:t>Discourse Studies, 7</w:t>
      </w:r>
      <w:r>
        <w:rPr>
          <w:rFonts w:ascii="Georgia" w:hAnsi="Georgia" w:eastAsia="Georgia" w:cs="Georgia"/>
          <w:i w:val="0"/>
          <w:sz w:val="22"/>
          <w:szCs w:val="22"/>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eastAsia="Georgia" w:cs="Georgia"/>
          <w:i w:val="0"/>
          <w:sz w:val="22"/>
          <w:szCs w:val="22"/>
        </w:rPr>
        <w:t xml:space="preserve">Hyland, K., &amp; Milton, J. (1997). Qualification and certainty in L1 and L2 students’ writing. </w:t>
      </w:r>
      <w:r>
        <w:rPr>
          <w:rFonts w:ascii="Georgia" w:hAnsi="Georgia" w:eastAsia="Georgia" w:cs="Georgia"/>
          <w:i/>
          <w:sz w:val="22"/>
          <w:szCs w:val="22"/>
        </w:rPr>
        <w:t>Journal of Second Language Writing, 6</w:t>
      </w:r>
      <w:r>
        <w:rPr>
          <w:rFonts w:ascii="Georgia" w:hAnsi="Georgia" w:eastAsia="Georgia" w:cs="Georgia"/>
          <w:i w:val="0"/>
          <w:sz w:val="22"/>
          <w:szCs w:val="22"/>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eastAsia="Georgia" w:cs="Georgia"/>
          <w:i w:val="0"/>
          <w:sz w:val="22"/>
          <w:szCs w:val="22"/>
        </w:rPr>
        <w:t xml:space="preserve">Imataki, N., &amp; Kobayashi, Y. (2024). Analyzing disciplinary variation in abstracts: Linguistic features across scientific and technical fields. </w:t>
      </w:r>
      <w:r>
        <w:rPr>
          <w:rFonts w:ascii="Georgia" w:hAnsi="Georgia" w:eastAsia="Georgia" w:cs="Georgia"/>
          <w:i/>
          <w:sz w:val="22"/>
          <w:szCs w:val="22"/>
        </w:rPr>
        <w:t>Linguistics and Literature Studies, 12</w:t>
      </w:r>
      <w:r>
        <w:rPr>
          <w:rFonts w:ascii="Georgia" w:hAnsi="Georgia" w:eastAsia="Georgia" w:cs="Georgia"/>
          <w:i w:val="0"/>
          <w:sz w:val="22"/>
          <w:szCs w:val="22"/>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eastAsia="Georgia" w:cs="Georgia"/>
          <w:i w:val="0"/>
          <w:sz w:val="22"/>
          <w:szCs w:val="22"/>
        </w:rPr>
        <w:t xml:space="preserve">Khunasathitchai, K., Sittironnarit, S., Sinturat, T., &amp; Kumdee, S. (2025). Move analysis and hedge use in the research paper abstracts of Thai EFL English-majored undergraduates. </w:t>
      </w:r>
      <w:r>
        <w:rPr>
          <w:rFonts w:ascii="Georgia" w:hAnsi="Georgia" w:eastAsia="Georgia" w:cs="Georgia"/>
          <w:i/>
          <w:sz w:val="22"/>
          <w:szCs w:val="22"/>
        </w:rPr>
        <w:t>rEFLections, 32</w:t>
      </w:r>
      <w:r>
        <w:rPr>
          <w:rFonts w:ascii="Georgia" w:hAnsi="Georgia" w:eastAsia="Georgia" w:cs="Georgia"/>
          <w:i w:val="0"/>
          <w:sz w:val="22"/>
          <w:szCs w:val="22"/>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eastAsia="Georgia" w:cs="Georgia"/>
          <w:i w:val="0"/>
          <w:sz w:val="22"/>
          <w:szCs w:val="22"/>
        </w:rPr>
        <w:t xml:space="preserve">Landis, J. R., &amp; Koch, G. G. (1977). The measurement of observer agreement for categorical data. </w:t>
      </w:r>
      <w:r>
        <w:rPr>
          <w:rFonts w:ascii="Georgia" w:hAnsi="Georgia" w:eastAsia="Georgia" w:cs="Georgia"/>
          <w:i/>
          <w:sz w:val="22"/>
          <w:szCs w:val="22"/>
        </w:rPr>
        <w:t>Biometrics, 33</w:t>
      </w:r>
      <w:r>
        <w:rPr>
          <w:rFonts w:ascii="Georgia" w:hAnsi="Georgia" w:eastAsia="Georgia" w:cs="Georgia"/>
          <w:i w:val="0"/>
          <w:sz w:val="22"/>
          <w:szCs w:val="22"/>
        </w:rPr>
        <w:t>(1), 159–174. https://doi.org/10.2307/2529310</w:t>
      </w:r>
    </w:p>
    <w:p>
      <w:pPr>
        <w:spacing w:before="0" w:after="0" w:line="480" w:lineRule="auto"/>
        <w:ind w:left="720" w:hanging="720"/>
        <w:jc w:val="left"/>
        <w:rPr/>
      </w:pPr>
      <w:r>
        <w:rPr>
          <w:rFonts w:ascii="Georgia" w:hAnsi="Georgia" w:eastAsia="Georgia" w:cs="Georgia"/>
          <w:i w:val="0"/>
          <w:sz w:val="22"/>
          <w:szCs w:val="22"/>
        </w:rPr>
        <w:t xml:space="preserve">Lopez, R. M. C., Pedida, J. A., Alzate, L. J. A., &amp; Eustaquio, M. T. L. (2025). Language of caution and certainty: Writing proficiency in hedges and boosters in student essays. </w:t>
      </w:r>
      <w:r>
        <w:rPr>
          <w:rFonts w:ascii="Georgia" w:hAnsi="Georgia" w:eastAsia="Georgia" w:cs="Georgia"/>
          <w:i/>
          <w:sz w:val="22"/>
          <w:szCs w:val="22"/>
        </w:rPr>
        <w:t>International Journal of Research and Innovation in Social Science, 9</w:t>
      </w:r>
      <w:r>
        <w:rPr>
          <w:rFonts w:ascii="Georgia" w:hAnsi="Georgia" w:eastAsia="Georgia" w:cs="Georgia"/>
          <w:i w:val="0"/>
          <w:sz w:val="22"/>
          <w:szCs w:val="22"/>
        </w:rPr>
        <w:t>(11), 6176–6196. https://doi.org/10.47772/IJRISS.2025.91100485</w:t>
      </w:r>
    </w:p>
    <w:p>
      <w:pPr>
        <w:spacing w:before="0" w:after="0" w:line="480" w:lineRule="auto"/>
        <w:ind w:left="720" w:hanging="720"/>
        <w:jc w:val="left"/>
        <w:rPr/>
      </w:pPr>
      <w:r>
        <w:rPr>
          <w:rFonts w:ascii="Georgia" w:hAnsi="Georgia" w:eastAsia="Georgia" w:cs="Georgia"/>
          <w:i w:val="0"/>
          <w:sz w:val="22"/>
          <w:szCs w:val="22"/>
        </w:rPr>
        <w:t xml:space="preserve">Mazidah, E. N., Cahyani, W. I., &amp; Masruroh, L. (2022). Hedges and boosters in undergraduate thesis abstracts of Qomaruddin University students. </w:t>
      </w:r>
      <w:r>
        <w:rPr>
          <w:rFonts w:ascii="Georgia" w:hAnsi="Georgia" w:eastAsia="Georgia" w:cs="Georgia"/>
          <w:i/>
          <w:sz w:val="22"/>
          <w:szCs w:val="22"/>
        </w:rPr>
        <w:t>Journal of Education, Humaniora and Social Sciences (JEHSS), 4</w:t>
      </w:r>
      <w:r>
        <w:rPr>
          <w:rFonts w:ascii="Georgia" w:hAnsi="Georgia" w:eastAsia="Georgia" w:cs="Georgia"/>
          <w:i w:val="0"/>
          <w:sz w:val="22"/>
          <w:szCs w:val="22"/>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Georgia" w:hAnsi="Georgia" w:eastAsia="Georgia" w:cs="Georgia"/>
          <w:i w:val="0"/>
          <w:sz w:val="22"/>
          <w:szCs w:val="22"/>
        </w:rPr>
        <w:t xml:space="preserve">Mohammed, S. J. (2011). </w:t>
      </w:r>
      <w:r>
        <w:rPr>
          <w:rFonts w:ascii="Georgia" w:hAnsi="Georgia" w:eastAsia="Georgia" w:cs="Georgia"/>
          <w:i/>
          <w:sz w:val="22"/>
          <w:szCs w:val="22"/>
        </w:rPr>
        <w:t>Lexical hedges: A study of cultural and disciplinary variation in academic research articles</w:t>
      </w:r>
      <w:r>
        <w:rPr>
          <w:rFonts w:ascii="Georgia" w:hAnsi="Georgia" w:eastAsia="Georgia" w:cs="Georgia"/>
          <w:i w:val="0"/>
          <w:sz w:val="22"/>
          <w:szCs w:val="22"/>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eastAsia="Georgia" w:cs="Georgia"/>
          <w:i w:val="0"/>
          <w:sz w:val="22"/>
          <w:szCs w:val="22"/>
        </w:rPr>
        <w:t xml:space="preserve">Ningrum, S., Puspita, H., &amp; Mulyadi, A. I. (2024). Hedges and boosters in academic writing of ASEAN EFL learners. </w:t>
      </w:r>
      <w:r>
        <w:rPr>
          <w:rFonts w:ascii="Georgia" w:hAnsi="Georgia" w:eastAsia="Georgia" w:cs="Georgia"/>
          <w:i/>
          <w:sz w:val="22"/>
          <w:szCs w:val="22"/>
        </w:rPr>
        <w:t>Journal of English Education and Teaching, 8</w:t>
      </w:r>
      <w:r>
        <w:rPr>
          <w:rFonts w:ascii="Georgia" w:hAnsi="Georgia" w:eastAsia="Georgia" w:cs="Georgia"/>
          <w:i w:val="0"/>
          <w:sz w:val="22"/>
          <w:szCs w:val="22"/>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eastAsia="Georgia" w:cs="Georgia"/>
          <w:i w:val="0"/>
          <w:sz w:val="22"/>
          <w:szCs w:val="22"/>
        </w:rPr>
        <w:t xml:space="preserve">Petchkij, W. (2019). Explicit teaching of hedges: Bringing hedging in academic writing into the Thai EFL classroom. </w:t>
      </w:r>
      <w:r>
        <w:rPr>
          <w:rFonts w:ascii="Georgia" w:hAnsi="Georgia" w:eastAsia="Georgia" w:cs="Georgia"/>
          <w:i/>
          <w:sz w:val="22"/>
          <w:szCs w:val="22"/>
        </w:rPr>
        <w:t>Electronic Journal of Foreign Language Teaching, 16</w:t>
      </w:r>
      <w:r>
        <w:rPr>
          <w:rFonts w:ascii="Georgia" w:hAnsi="Georgia" w:eastAsia="Georgia" w:cs="Georgia"/>
          <w:i w:val="0"/>
          <w:sz w:val="22"/>
          <w:szCs w:val="22"/>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eastAsia="Georgia" w:cs="Georgia"/>
          <w:i w:val="0"/>
          <w:sz w:val="22"/>
          <w:szCs w:val="22"/>
        </w:rPr>
        <w:t xml:space="preserve">Salager-Meyer, F. (1994). Hedges and textual communicative function in medical English written discourse. </w:t>
      </w:r>
      <w:r>
        <w:rPr>
          <w:rFonts w:ascii="Georgia" w:hAnsi="Georgia" w:eastAsia="Georgia" w:cs="Georgia"/>
          <w:i/>
          <w:sz w:val="22"/>
          <w:szCs w:val="22"/>
        </w:rPr>
        <w:t>English for Specific Purposes, 13</w:t>
      </w:r>
      <w:r>
        <w:rPr>
          <w:rFonts w:ascii="Georgia" w:hAnsi="Georgia" w:eastAsia="Georgia" w:cs="Georgia"/>
          <w:i w:val="0"/>
          <w:sz w:val="22"/>
          <w:szCs w:val="22"/>
        </w:rPr>
        <w:t>(2), 149–170. https://doi.org/10.1016/0889-4906(94)90013-2</w:t>
      </w:r>
    </w:p>
    <w:p>
      <w:pPr>
        <w:spacing w:before="0" w:after="0" w:line="480" w:lineRule="auto"/>
        <w:ind w:left="720" w:hanging="720"/>
        <w:jc w:val="left"/>
        <w:rPr/>
      </w:pPr>
      <w:r>
        <w:rPr>
          <w:rFonts w:ascii="Georgia" w:hAnsi="Georgia" w:eastAsia="Georgia" w:cs="Georgia"/>
          <w:i w:val="0"/>
          <w:sz w:val="22"/>
          <w:szCs w:val="22"/>
        </w:rPr>
        <w:t xml:space="preserve">Souici, F., &amp; Slougui, D. (2022). Hedges in biology research articles: What types and frequency do Algerian authors use? </w:t>
      </w:r>
      <w:r>
        <w:rPr>
          <w:rFonts w:ascii="Georgia" w:hAnsi="Georgia" w:eastAsia="Georgia" w:cs="Georgia"/>
          <w:i/>
          <w:sz w:val="22"/>
          <w:szCs w:val="22"/>
        </w:rPr>
        <w:t>Journal of Human Sciences, 33</w:t>
      </w:r>
      <w:r>
        <w:rPr>
          <w:rFonts w:ascii="Georgia" w:hAnsi="Georgia" w:eastAsia="Georgia" w:cs="Georgia"/>
          <w:i w:val="0"/>
          <w:sz w:val="22"/>
          <w:szCs w:val="22"/>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Georgia" w:hAnsi="Georgia" w:eastAsia="Georgia" w:cs="Georgia"/>
          <w:i w:val="0"/>
          <w:sz w:val="22"/>
          <w:szCs w:val="22"/>
        </w:rPr>
        <w:t xml:space="preserve">Suratno, A., &amp; Aydawati, E. N. (2025). Hedging strategies in non-science theses: A corpus-based analysis of discussion sections. </w:t>
      </w:r>
      <w:r>
        <w:rPr>
          <w:rFonts w:ascii="Georgia" w:hAnsi="Georgia" w:eastAsia="Georgia" w:cs="Georgia"/>
          <w:i/>
          <w:sz w:val="22"/>
          <w:szCs w:val="22"/>
        </w:rPr>
        <w:t>ETERNAL (English Teaching Journal), 16</w:t>
      </w:r>
      <w:r>
        <w:rPr>
          <w:rFonts w:ascii="Georgia" w:hAnsi="Georgia" w:eastAsia="Georgia" w:cs="Georgia"/>
          <w:i w:val="0"/>
          <w:sz w:val="22"/>
          <w:szCs w:val="22"/>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eastAsia="Georgia" w:cs="Georgia"/>
          <w:i w:val="0"/>
          <w:sz w:val="22"/>
          <w:szCs w:val="22"/>
        </w:rPr>
        <w:t xml:space="preserve">Villanueva, V. S. (2014). Hedging devices in Philippine newspaper editorials. </w:t>
      </w:r>
      <w:r>
        <w:rPr>
          <w:rFonts w:ascii="Georgia" w:hAnsi="Georgia" w:eastAsia="Georgia" w:cs="Georgia"/>
          <w:i/>
          <w:sz w:val="22"/>
          <w:szCs w:val="22"/>
        </w:rPr>
        <w:t>Asian Journal of English Language Studies, 2</w:t>
      </w:r>
      <w:r>
        <w:rPr>
          <w:rFonts w:ascii="Georgia" w:hAnsi="Georgia" w:eastAsia="Georgia" w:cs="Georgia"/>
          <w:i w:val="0"/>
          <w:sz w:val="22"/>
          <w:szCs w:val="22"/>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Georgia" w:hAnsi="Georgia" w:eastAsia="Georgia" w:cs="Georgia"/>
          <w:i w:val="0"/>
          <w:sz w:val="22"/>
          <w:szCs w:val="22"/>
        </w:rPr>
        <w:t xml:space="preserve">Wang, X. (2022). </w:t>
      </w:r>
      <w:r>
        <w:rPr>
          <w:rFonts w:ascii="Georgia" w:hAnsi="Georgia" w:eastAsia="Georgia" w:cs="Georgia"/>
          <w:i/>
          <w:sz w:val="22"/>
          <w:szCs w:val="22"/>
        </w:rPr>
        <w:t>Hedging in academic writing: Cross-disciplinary comparisons in the Michigan Corpus of Upper-Level Student Papers (MICUSP)</w:t>
      </w:r>
      <w:r>
        <w:rPr>
          <w:rFonts w:ascii="Georgia" w:hAnsi="Georgia" w:eastAsia="Georgia" w:cs="Georgia"/>
          <w:i w:val="0"/>
          <w:sz w:val="22"/>
          <w:szCs w:val="22"/>
        </w:rPr>
        <w:t xml:space="preserve"> [Preprint]. OSF Preprints. https://osf.io/preprints/edarxiv/5xj27</w:t>
      </w:r>
    </w:p>
    <w:p>
      <w:pPr>
        <w:spacing w:before="0" w:after="0" w:line="480" w:lineRule="auto"/>
        <w:ind w:left="720" w:hanging="720"/>
        <w:jc w:val="left"/>
        <w:rPr/>
        <w:keepLines w:val="1"/>
        <w:widowControl w:val="1"/>
      </w:pPr>
      <w:r>
        <w:rPr>
          <w:rFonts w:ascii="Georgia" w:hAnsi="Georgia" w:eastAsia="Georgia" w:cs="Georgia"/>
          <w:i w:val="0"/>
          <w:sz w:val="22"/>
          <w:szCs w:val="22"/>
        </w:rPr>
        <w:t xml:space="preserve">Xie, S., &amp; Mi, C. (2023). Promotion and caution in research article abstracts: The use of positive, negative and hedge words across disciplines and rankings. </w:t>
      </w:r>
      <w:r>
        <w:rPr>
          <w:rFonts w:ascii="Georgia" w:hAnsi="Georgia" w:eastAsia="Georgia" w:cs="Georgia"/>
          <w:i/>
          <w:sz w:val="22"/>
          <w:szCs w:val="22"/>
        </w:rPr>
        <w:t>Learned Publishing, 36</w:t>
      </w:r>
      <w:r>
        <w:rPr>
          <w:rFonts w:ascii="Georgia" w:hAnsi="Georgia" w:eastAsia="Georgia" w:cs="Georgia"/>
          <w:i w:val="0"/>
          <w:sz w:val="22"/>
          <w:szCs w:val="22"/>
        </w:rPr>
        <w:t>(2), 249–265. https://doi.org/10.1002/leap.1515</w:t>
      </w:r>
    </w:p>
    <w:p w:rsidR="00000000" w:rsidDel="00000000" w:rsidP="00000000" w:rsidRDefault="00000000" w:rsidRPr="00000000" w14:paraId="0000019B">
      <w:pPr>
        <w:keepNext w:val="1"/>
        <w:spacing w:before="240" w:after="240" w:line="240" w:lineRule="auto"/>
        <w:jc w:val="center"/>
        <w:rPr/>
        <w:pageBreakBefore w:val="1"/>
      </w:pPr>
      <w:r>
        <w:rPr>
          <w:rFonts w:ascii="Georgia" w:cs="Georgia" w:eastAsia="Georgia" w:hAnsi="Georgia"/>
          <w:b w:val="1"/>
          <w:bCs w:val="1"/>
          <w:i w:val="0"/>
          <w:iCs w:val="0"/>
          <w:sz w:val="28"/>
          <w:szCs w:val="28"/>
          <w:rtl w:val="0"/>
        </w:rPr>
        <w:t xml:space="preserve">APPENDICES</w:t>
      </w:r>
      <w:r>
        <w:rPr>
          <w:rtl w:val="0"/>
          <w:sz w:val="28"/>
          <w:szCs w:val="28"/>
        </w:rPr>
      </w:r>
    </w:p>
    <w:p w:rsidR="00000000" w:rsidDel="00000000" w:rsidP="00000000" w:rsidRDefault="00000000" w:rsidRPr="00000000" w14:paraId="0000019F">
      <w:pPr>
        <w:spacing w:before="40" w:after="20" w:line="264" w:lineRule="auto"/>
        <w:jc w:val="left"/>
        <w:rPr/>
      </w:pPr>
      <w:r>
        <w:rPr>
          <w:rFonts w:ascii="Georgia" w:cs="Georgia" w:eastAsia="Georgia" w:hAnsi="Georgia"/>
          <w:sz w:val="22"/>
          <w:szCs w:val="22"/>
          <w:rtl w:val="0"/>
          <w:b/>
          <w:bCs/>
        </w:rPr>
        <w:t xml:space="preserve">APPENDIX A: HEDGING CODEBOOK</w:t>
      </w:r>
      <w:r>
        <w:rPr>
          <w:rtl w:val="0"/>
          <w:sz w:val="22"/>
          <w:szCs w:val="22"/>
        </w:rPr>
      </w:r>
    </w:p>
    <w:p w:rsidR="00000000" w:rsidDel="00000000" w:rsidP="00000000" w:rsidRDefault="00000000" w:rsidRPr="00000000" w14:paraId="000001A0">
      <w:pPr>
        <w:spacing w:before="0" w:after="40" w:line="276" w:lineRule="auto"/>
        <w:jc w:val="both"/>
        <w:rPr/>
      </w:pPr>
      <w:r>
        <w:rPr>
          <w:rFonts w:ascii="Georgia" w:hAnsi="Georgia" w:cs="Georgia" w:eastAsia="Georgia"/>
          <w:sz w:val="22"/>
          <w:szCs w:val="22"/>
        </w:rPr>
        <w:t>• Lookup: Quick-Reference + Legend (p. 1). Full Codebook from p. 2. Coding sheet columns at end.</w:t>
      </w:r>
    </w:p>
    <w:p w:rsidR="00000000" w:rsidDel="00000000" w:rsidP="00000000" w:rsidRDefault="00000000" w:rsidRPr="00000000" w14:paraId="000001A2">
      <w:pPr>
        <w:spacing w:before="40" w:after="20" w:line="264" w:lineRule="auto"/>
        <w:jc w:val="left"/>
        <w:rPr/>
      </w:pPr>
      <w:r>
        <w:rPr>
          <w:rFonts w:ascii="Georgia" w:hAnsi="Georgia" w:cs="Georgia" w:eastAsia="Georgia"/>
          <w:sz w:val="22"/>
          <w:szCs w:val="22"/>
          <w:rtl w:val="0"/>
          <w:b/>
          <w:bCs/>
        </w:rPr>
        <w:t>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hAnsi="Georgia" w:cs="Georgia" w:eastAsia="Georgia"/>
          <w:sz w:val="22"/>
          <w:szCs w:val="22"/>
          <w:rtl w:val="0"/>
        </w:rPr>
        <w:t>• Context decides. A listed word is a hedge only when it works as one in the sentence.</w:t>
      </w:r>
      <w:r>
        <w:rPr>
          <w:rtl w:val="0"/>
          <w:sz w:val="22"/>
          <w:szCs w:val="22"/>
        </w:rPr>
      </w:r>
    </w:p>
    <w:p w:rsidR="00000000" w:rsidDel="00000000" w:rsidP="00000000" w:rsidRDefault="00000000" w:rsidRPr="00000000" w14:paraId="000001A4">
      <w:pPr>
        <w:spacing w:before="0" w:after="0" w:line="264" w:lineRule="auto"/>
        <w:jc w:val="left"/>
        <w:rPr/>
      </w:pPr>
      <w:r>
        <w:rPr>
          <w:rFonts w:ascii="Georgia" w:hAnsi="Georgia" w:cs="Georgia" w:eastAsia="Georgia"/>
          <w:sz w:val="22"/>
          <w:szCs w:val="22"/>
          <w:rtl w:val="0"/>
          <w:b/>
          <w:bCs/>
        </w:rPr>
        <w:t>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hAnsi="Georgia" w:cs="Georgia" w:eastAsia="Georgia"/>
          <w:sz w:val="22"/>
          <w:szCs w:val="22"/>
          <w:rtl w:val="0"/>
        </w:rPr>
        <w:t>• Modal: may, might, could, would, should, can (possibility only,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hAnsi="Georgia" w:cs="Georgia" w:eastAsia="Georgia"/>
          <w:i w:val="0"/>
          <w:sz w:val="22"/>
          <w:szCs w:val="22"/>
          <w:rtl w:val="0"/>
        </w:rPr>
        <w:t>• Lexical: suggest, indicate, appear, seem, possible, likely, potential (when they qualify a claim and pass Step 2).</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hAnsi="Georgia" w:cs="Georgia" w:eastAsia="Georgia"/>
          <w:sz w:val="22"/>
          <w:szCs w:val="22"/>
          <w:rtl w:val="0"/>
        </w:rPr>
        <w:t>• Adverbial: generally, typically, possibly, probably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hAnsi="Georgia" w:cs="Georgia" w:eastAsia="Georgia"/>
          <w:sz w:val="22"/>
          <w:szCs w:val="22"/>
          <w:rtl w:val="0"/>
        </w:rPr>
        <w:t>• Clause-level: it seems that, it is possible that, to some extent.</w:t>
      </w:r>
      <w:r>
        <w:rPr>
          <w:rtl w:val="0"/>
          <w:sz w:val="22"/>
          <w:szCs w:val="22"/>
        </w:rPr>
      </w:r>
    </w:p>
    <w:p w:rsidR="00000000" w:rsidDel="00000000" w:rsidP="00000000" w:rsidRDefault="00000000" w:rsidRPr="00000000" w14:paraId="000001A9">
      <w:pPr>
        <w:spacing w:before="0" w:after="0" w:line="264" w:lineRule="auto"/>
        <w:jc w:val="left"/>
        <w:rPr/>
      </w:pPr>
      <w:r>
        <w:rPr>
          <w:rFonts w:ascii="Georgia" w:hAnsi="Georgia" w:cs="Georgia" w:eastAsia="Georgia"/>
          <w:sz w:val="22"/>
          <w:szCs w:val="22"/>
          <w:rtl w:val="0"/>
          <w:b/>
          <w:bCs/>
        </w:rPr>
        <w:t xml:space="preserve">Functions:</w:t>
      </w:r>
      <w:r>
        <w:rPr>
          <w:rFonts w:ascii="Georgia" w:hAnsi="Georgia" w:cs="Georgia" w:eastAsia="Georgia"/>
          <w:sz w:val="22"/>
          <w:szCs w:val="22"/>
          <w:rtl w:val="0"/>
        </w:rPr>
        <w:t xml:space="preserve"> EC = uncertainty about a claim’s truth. P = interpersonal softening/deference. DO = framing/reader guidance (pure framing logged only, not retained).</w:t>
      </w:r>
    </w:p>
    <w:p w:rsidR="00000000" w:rsidDel="00000000" w:rsidP="00000000" w:rsidRDefault="00000000" w:rsidRPr="00000000" w14:paraId="000001AD">
      <w:pPr>
        <w:spacing w:before="0" w:after="0" w:line="264" w:lineRule="auto"/>
        <w:jc w:val="left"/>
        <w:rPr/>
      </w:pPr>
      <w:r>
        <w:rPr>
          <w:rFonts w:ascii="Georgia" w:hAnsi="Georgia" w:cs="Georgia" w:eastAsia="Georgia"/>
          <w:sz w:val="22"/>
          <w:szCs w:val="22"/>
          <w:rtl w:val="0"/>
          <w:b/>
          <w:bCs/>
        </w:rPr>
        <w:t xml:space="preserve">Core rules:</w:t>
      </w:r>
      <w:r>
        <w:rPr>
          <w:rFonts w:ascii="Georgia" w:hAnsi="Georgia" w:cs="Georgia" w:eastAsia="Georgia"/>
          <w:sz w:val="22"/>
          <w:szCs w:val="22"/>
          <w:rtl w:val="0"/>
        </w:rPr>
        <w:t xml:space="preserve"> suggest/indicate finding→hedge, recommendation→FP-Rec; can/may possibility→hedge, capability→FP-Cap; generally/typically claim-limit→hedge, procedural→FP-Proc; appear/seem result-uncertainty→hedge, location→FP-Gen.</w:t>
      </w:r>
    </w:p>
    <w:p>
      <w:pPr>
        <w:spacing w:after="0" w:before="0" w:line="264" w:lineRule="auto"/>
      </w:pPr>
      <w:r>
        <w:rPr>
          <w:rFonts w:ascii="Georgia" w:hAnsi="Georgia" w:cs="Georgia" w:eastAsia="Georgia"/>
          <w:sz w:val="22"/>
          <w:szCs w:val="22"/>
          <w:b/>
          <w:bCs/>
        </w:rPr>
        <w:t xml:space="preserve">Steps 1–3:</w:t>
      </w:r>
      <w:r>
        <w:rPr>
          <w:rFonts w:ascii="Georgia" w:hAnsi="Georgia" w:cs="Georgia" w:eastAsia="Georgia"/>
          <w:sz w:val="22"/>
          <w:szCs w:val="22"/>
        </w:rPr>
        <w:t xml:space="preserve"> Step 1 wide-net candidates. Step 2 retain claim mitigation only (pure framing → DO log; FP = capability/recommendation/procedure/topic-naming). Step 3 label EC/P/DO. Working Test = EC only.</w:t>
      </w:r>
    </w:p>
    <w:p w:rsidR="00000000" w:rsidDel="00000000" w:rsidP="00000000" w:rsidRDefault="00000000" w:rsidRPr="00000000" w14:paraId="00000233">
      <w:pPr>
        <w:spacing w:before="60" w:after="0" w:line="288" w:lineRule="auto"/>
        <w:jc w:val="left"/>
        <w:rPr/>
      </w:pPr>
      <w:r>
        <w:rPr>
          <w:rFonts w:ascii="Georgia" w:hAnsi="Georgia" w:cs="Georgia" w:eastAsia="Georgia"/>
          <w:i w:val="0"/>
          <w:iCs w:val="0"/>
          <w:sz w:val="24"/>
          <w:szCs w:val="24"/>
          <w:rtl w:val="0"/>
          <w:b/>
          <w:bCs/>
        </w:rPr>
        <w:t>QUICK-REFERENCE LEGEND</w:t>
      </w:r>
      <w:r>
        <w:rPr>
          <w:rtl w:val="0"/>
          <w:sz w:val="24"/>
          <w:szCs w:val="24"/>
        </w:rPr>
      </w:r>
    </w:p>
    <w:p w:rsidR="00000000" w:rsidDel="00000000" w:rsidP="00000000" w:rsidRDefault="00000000" w:rsidRPr="00000000" w14:paraId="00000234">
      <w:pPr>
        <w:spacing w:before="0" w:after="0" w:line="288" w:lineRule="auto"/>
        <w:ind w:firstLine="720"/>
        <w:jc w:val="both"/>
        <w:rPr/>
      </w:pPr>
      <w:r>
        <w:rPr>
          <w:rFonts w:ascii="Georgia" w:hAnsi="Georgia" w:cs="Georgia" w:eastAsia="Georgia"/>
          <w:i w:val="0"/>
          <w:iCs w:val="0"/>
          <w:sz w:val="22"/>
          <w:szCs w:val="22"/>
          <w:rtl w:val="0"/>
        </w:rPr>
        <w:t>• Highlights = type background on the token. Colored text labels = function. Grey = unhedged verb. Strike + grey code = FP.</w:t>
      </w:r>
      <w:r>
        <w:rPr>
          <w:rtl w:val="0"/>
          <w:sz w:val="22"/>
          <w:szCs w:val="22"/>
        </w:rPr>
      </w:r>
    </w:p>
    <w:tbl>
      <w:tblPr>
        <w:tblStyle w:val="Table11"/>
        <w:tblW w:w="8306"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sz w:val="18"/>
                <w:szCs w:val="18"/>
                <w:rtl w:val="0"/>
                <w:b/>
                <w:bCs/>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sz w:val="18"/>
                <w:szCs w:val="18"/>
                <w:rtl w:val="0"/>
                <w:b/>
                <w:bCs/>
              </w:rPr>
              <w:t xml:space="preserve">FUNCTION (Text)</w:t>
            </w:r>
            <w:r>
              <w:rPr>
                <w:rtl w:val="0"/>
                <w:sz w:val="18"/>
                <w:szCs w:val="18"/>
                <w:rFonts w:ascii="Georgia" w:hAnsi="Georgia"/>
              </w:rPr>
            </w:r>
          </w:p>
        </w:tc>
      </w:tr>
      <w:tr>
        <w:trPr>
          <w:cantSplit/>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i w:val="0"/>
                <w:iCs w:val="0"/>
                <w:color w:val="ed7d31"/>
                <w:sz w:val="18"/>
                <w:szCs w:val="18"/>
                <w:rtl w:val="0"/>
              </w:rPr>
              <w:t xml:space="preserve">EC</w:t>
            </w:r>
            <w:r>
              <w:rPr>
                <w:rFonts w:ascii="Georgia" w:cs="Georgia" w:eastAsia="Georgia" w:hAnsi="Georgia"/>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i w:val="0"/>
                <w:iCs w:val="0"/>
                <w:color w:val="7030a0"/>
                <w:sz w:val="18"/>
                <w:szCs w:val="18"/>
                <w:rtl w:val="0"/>
              </w:rPr>
              <w:t xml:space="preserve">P</w:t>
            </w:r>
            <w:r>
              <w:rPr>
                <w:rFonts w:ascii="Georgia" w:cs="Georgia" w:eastAsia="Georgia" w:hAnsi="Georgia"/>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i w:val="0"/>
                <w:iCs w:val="0"/>
                <w:color w:val="8B4513"/>
                <w:sz w:val="18"/>
                <w:szCs w:val="18"/>
                <w:rtl w:val="0"/>
              </w:rPr>
              <w:t xml:space="preserve">DO</w:t>
            </w:r>
            <w:r>
              <w:rPr>
                <w:rFonts w:ascii="Georgia" w:cs="Georgia" w:eastAsia="Georgia" w:hAnsi="Georgia"/>
                <w:i w:val="0"/>
                <w:iCs w:val="0"/>
                <w:color w:val="000000"/>
                <w:sz w:val="18"/>
                <w:szCs w:val="18"/>
                <w:rtl w:val="0"/>
              </w:rPr>
              <w:t xml:space="preserve">  Discourse Organization</w:t>
            </w:r>
            <w:r>
              <w:rPr>
                <w:rtl w:val="0"/>
                <w:sz w:val="18"/>
                <w:szCs w:val="18"/>
                <w:rFonts w:ascii="Georgia" w:hAnsi="Georgia"/>
              </w:rPr>
            </w:r>
          </w:p>
        </w:tc>
      </w:tr>
      <w:tr>
        <w:trPr>
          <w:cantSplit/>
        </w:trPr>
        <w:tc>
          <w:tcPr/>
          <w:p w:rsidR="00000000" w:rsidDel="00000000" w:rsidP="00000000" w:rsidRDefault="00000000" w:rsidRPr="00000000" w14:paraId="0000023E">
            <w:pPr>
              <w:spacing w:before="0" w:after="0" w:line="240" w:lineRule="auto"/>
              <w:jc w:val="left"/>
              <w:rPr/>
            </w:pPr>
            <w:r>
              <w:rPr>
                <w:rFonts w:ascii="Georgia" w:cs="Georgia" w:eastAsia="Georgia" w:hAnsi="Georgia"/>
                <w:i w:val="0"/>
                <w:iCs w:val="0"/>
                <w:color w:val="000000"/>
                <w:sz w:val="18"/>
                <w:szCs w:val="18"/>
                <w:rtl w:val="0"/>
                <w:b/>
                <w:bCs/>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rtl w:val="0"/>
              </w:rPr>
              <w:t xml:space="preserve">      </w:t>
            </w:r>
            <w:r>
              <w:rPr>
                <w:rFonts w:ascii="Georgia" w:cs="Georgia" w:eastAsia="Georgia" w:hAnsi="Georgia"/>
                <w:i w:val="0"/>
                <w:iCs w:val="0"/>
                <w:color w:val="000000"/>
                <w:sz w:val="18"/>
                <w:szCs w:val="18"/>
                <w:rtl w:val="0"/>
                <w:b/>
                <w:bCs/>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left"/>
              <w:rPr/>
            </w:pPr>
            <w:r>
              <w:rPr>
                <w:rFonts w:ascii="Georgia" w:cs="Georgia" w:eastAsia="Georgia" w:hAnsi="Georgia"/>
                <w:i w:val="0"/>
                <w:iCs w:val="0"/>
                <w:color w:val="000000"/>
                <w:sz w:val="18"/>
                <w:szCs w:val="18"/>
                <w:rtl w:val="0"/>
                <w:b/>
                <w:bCs/>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i w:val="0"/>
                <w:iCs w:val="0"/>
                <w:color w:val="000000"/>
                <w:sz w:val="18"/>
                <w:szCs w:val="18"/>
                <w:rtl w:val="0"/>
                <w:b/>
                <w:bCs/>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spacing w:before="40" w:after="0" w:line="288" w:lineRule="auto"/>
        <w:jc w:val="left"/>
        <w:rPr/>
      </w:pPr>
      <w:r>
        <w:rPr>
          <w:rFonts w:ascii="Georgia" w:hAnsi="Georgia" w:cs="Georgia" w:eastAsia="Georgia"/>
          <w:i w:val="0"/>
          <w:iCs w:val="0"/>
          <w:sz w:val="24"/>
          <w:szCs w:val="24"/>
          <w:rtl w:val="0"/>
          <w:b/>
          <w:bCs/>
        </w:rPr>
        <w:t>COMBINED EXAMPLE</w:t>
      </w:r>
      <w:r>
        <w:rPr>
          <w:rtl w:val="0"/>
          <w:sz w:val="24"/>
          <w:szCs w:val="24"/>
        </w:rPr>
      </w:r>
    </w:p>
    <w:p w:rsidR="00000000" w:rsidDel="00000000" w:rsidP="00000000" w:rsidRDefault="00000000" w:rsidRPr="00000000" w14:paraId="00000244">
      <w:pPr>
        <w:spacing w:before="0" w:after="0" w:line="288" w:lineRule="auto"/>
        <w:ind w:firstLine="720"/>
        <w:jc w:val="both"/>
        <w:rPr/>
      </w:pPr>
      <w:r>
        <w:rPr>
          <w:rFonts w:ascii="Georgia" w:hAnsi="Georgia" w:cs="Georgia" w:eastAsia="Georgia"/>
          <w:i w:val="1"/>
          <w:iCs w:val="1"/>
          <w:color w:val="000000"/>
          <w:sz w:val="22"/>
          <w:szCs w:val="22"/>
          <w:rtl w:val="0"/>
        </w:rPr>
        <w:t xml:space="preserve">“The results suggested (EC) that extracts are potential (EC) alternative stains. PCR can (FP-Cap) also detect low concentrations.” Type color = type; (EC) orange; FP struck.</w:t>
      </w:r>
    </w:p>
    <w:p w:rsidR="00000000" w:rsidDel="00000000" w:rsidP="00000000" w:rsidRDefault="00000000" w:rsidRPr="00000000" w14:paraId="00000245">
      <w:pPr>
        <w:spacing w:before="0" w:after="0" w:line="288" w:lineRule="auto"/>
        <w:ind w:firstLine="720"/>
        <w:jc w:val="both"/>
        <w:rPr/>
      </w:pPr>
      <w:r>
        <w:rPr>
          <w:rFonts w:ascii="Georgia" w:hAnsi="Georgia" w:cs="Georgia" w:eastAsia="Georgia"/>
          <w:i w:val="1"/>
          <w:iCs w:val="1"/>
          <w:color w:val="404040"/>
          <w:sz w:val="22"/>
          <w:rtl w:val="0"/>
          <w:szCs w:val="22"/>
        </w:rPr>
        <w:t>• Full rules in Full Codebook (from next page).</w:t>
      </w:r>
      <w:r>
        <w:rPr>
          <w:rFonts w:ascii="Georgia" w:cs="Georgia" w:eastAsia="Georgia" w:hAnsi="Georgia"/>
          <w:i w:val="1"/>
          <w:iCs w:val="1"/>
          <w:color w:val="404040"/>
          <w:sz w:val="22"/>
          <w:szCs w:val="22"/>
          <w:rtl w:val="0"/>
        </w:rPr>
      </w:r>
      <w:r>
        <w:rPr>
          <w:rtl w:val="0"/>
          <w:sz w:val="22"/>
          <w:szCs w:val="22"/>
        </w:rPr>
      </w:r>
    </w:p>
    <w:p w:rsidR="00000000" w:rsidDel="00000000" w:rsidP="00000000" w:rsidRDefault="00000000" w:rsidRPr="00000000" w14:paraId="000001B4">
      <w:pPr>
        <w:spacing w:before="40" w:after="14" w:line="360" w:lineRule="auto"/>
        <w:jc w:val="left"/>
        <w:rPr/>
      </w:pPr>
      <w:r>
        <w:rPr>
          <w:sz w:val="22"/>
          <w:szCs w:val="22"/>
        </w:rPr>
        <w:br w:type="page"/>
      </w:r>
      <w:r>
        <w:rPr>
          <w:rFonts w:ascii="Georgia" w:hAnsi="Georgia" w:cs="Georgia" w:eastAsia="Georgia"/>
          <w:b/>
          <w:bCs w:val="1"/>
          <w:sz w:val="22"/>
          <w:szCs w:val="22"/>
          <w:rtl w:val="0"/>
        </w:rPr>
        <w:t>FULL CODEBOOK</w:t>
      </w:r>
      <w:r>
        <w:rPr>
          <w:rtl w:val="0"/>
          <w:sz w:val="22"/>
          <w:szCs w:val="22"/>
        </w:rPr>
      </w:r>
    </w:p>
    <w:p w:rsidR="00000000" w:rsidDel="00000000" w:rsidP="00000000" w:rsidRDefault="00000000" w:rsidRPr="00000000" w14:paraId="000001B5">
      <w:pPr>
        <w:spacing w:before="40" w:after="14" w:line="360" w:lineRule="auto"/>
        <w:jc w:val="left"/>
        <w:rPr/>
      </w:pPr>
      <w:r>
        <w:rPr>
          <w:rFonts w:ascii="Georgia" w:hAnsi="Georgia" w:cs="Georgia" w:eastAsia="Georgia"/>
          <w:b/>
          <w:bCs w:val="1"/>
          <w:i w:val="0"/>
          <w:iCs w:val="0"/>
          <w:sz w:val="22"/>
          <w:szCs w:val="22"/>
          <w:rtl w:val="0"/>
        </w:rPr>
        <w:t>PURPOSE</w:t>
      </w:r>
      <w:r>
        <w:rPr>
          <w:rtl w:val="0"/>
          <w:sz w:val="22"/>
          <w:szCs w:val="22"/>
        </w:rPr>
      </w:r>
    </w:p>
    <w:p w:rsidR="00000000" w:rsidDel="00000000" w:rsidP="00000000" w:rsidRDefault="00000000" w:rsidRPr="00000000" w14:paraId="000001B6">
      <w:pPr>
        <w:spacing w:before="0" w:after="8" w:line="360" w:lineRule="auto"/>
        <w:ind w:left="360" w:hanging="360"/>
        <w:jc w:val="both"/>
        <w:rPr/>
      </w:pPr>
      <w:r>
        <w:rPr>
          <w:rFonts w:ascii="Georgia" w:hAnsi="Georgia" w:cs="Georgia" w:eastAsia="Georgia"/>
          <w:b w:val="0"/>
          <w:bCs w:val="0"/>
          <w:sz w:val="20"/>
          <w:szCs w:val="20"/>
          <w:rtl w:val="0"/>
        </w:rPr>
        <w:t>• Coding scheme for the PSAU undergraduate thesis abstract corpus, adapted from Hyland (1998) as type instrument.</w:t>
      </w:r>
      <w:r>
        <w:rPr>
          <w:rtl w:val="0"/>
          <w:sz w:val="20"/>
          <w:szCs w:val="20"/>
        </w:rPr>
      </w:r>
    </w:p>
    <w:p w:rsidR="00000000" w:rsidDel="00000000" w:rsidP="00000000" w:rsidRDefault="00000000" w:rsidRPr="00000000" w14:paraId="000001B8">
      <w:pPr>
        <w:spacing w:before="40" w:after="14" w:line="360" w:lineRule="auto"/>
        <w:jc w:val="left"/>
        <w:rPr/>
      </w:pPr>
      <w:r>
        <w:rPr>
          <w:rFonts w:ascii="Georgia" w:hAnsi="Georgia" w:cs="Georgia" w:eastAsia="Georgia"/>
          <w:i w:val="0"/>
          <w:iCs w:val="0"/>
          <w:sz w:val="22"/>
          <w:szCs w:val="22"/>
          <w:rtl w:val="0"/>
          <w:b/>
          <w:bCs w:val="0"/>
        </w:rPr>
        <w:t>STEP 1, STEP 2, STEP 3, AND WORKING TEST</w:t>
      </w:r>
      <w:r>
        <w:rPr>
          <w:rtl w:val="0"/>
          <w:sz w:val="22"/>
          <w:szCs w:val="22"/>
        </w:rPr>
      </w:r>
    </w:p>
    <w:p w:rsidR="00000000" w:rsidDel="00000000" w:rsidP="00000000" w:rsidRDefault="00000000" w:rsidRPr="00000000" w14:paraId="000001B9">
      <w:pPr>
        <w:spacing w:before="0" w:after="8" w:line="360" w:lineRule="auto"/>
        <w:ind w:left="360" w:hanging="360"/>
        <w:jc w:val="both"/>
        <w:rPr/>
      </w:pPr>
      <w:r>
        <w:rPr>
          <w:rFonts w:ascii="Georgia" w:hAnsi="Georgia" w:cs="Georgia" w:eastAsia="Georgia"/>
          <w:i w:val="0"/>
          <w:iCs w:val="0"/>
          <w:color w:val="000000"/>
          <w:sz w:val="20"/>
          <w:szCs w:val="20"/>
          <w:rtl w:val="0"/>
          <w:b w:val="0"/>
          <w:bCs w:val="0"/>
        </w:rPr>
        <w:t>• Step 1 (candidate tagging, wide net). After the holistic read, mark hedge-like forms, findings framing or sequencing, and forms that may later be false positives. This step does not count retained hedges.</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Step 2 (retained hedge). Keep as a retained hedge only if removing the expression makes a knowledge claim more categorical or more direct, or softens how that claim is put forward.</w:t>
      </w:r>
      <w:r>
        <w:rPr>
          <w:rtl w:val="0"/>
          <w:sz w:val="20"/>
          <w:szCs w:val="20"/>
        </w:rPr>
      </w:r>
    </w:p>
    <w:p w:rsidR="00000000" w:rsidDel="00000000" w:rsidP="00000000" w:rsidRDefault="00000000" w:rsidRPr="00000000" w14:paraId="000001BA">
      <w:pPr>
        <w:spacing w:before="0" w:after="8" w:line="360" w:lineRule="auto"/>
        <w:ind w:left="360" w:hanging="360"/>
        <w:jc w:val="both"/>
        <w:rPr/>
      </w:pPr>
      <w:r>
        <w:rPr>
          <w:rFonts w:ascii="Georgia" w:hAnsi="Georgia" w:cs="Georgia" w:eastAsia="Georgia"/>
          <w:i w:val="0"/>
          <w:iCs w:val="0"/>
          <w:sz w:val="20"/>
          <w:szCs w:val="20"/>
          <w:rtl w:val="0"/>
          <w:b w:val="0"/>
          <w:bCs w:val="0"/>
        </w:rPr>
        <w:t>• Step 2 (pure DO log / FP). Pure findings framing or sequencing with no commitment change and no interpersonal softening is logged as discourse organization only (not a retained hedge). Capability, recommendation, pure procedure, topic-naming, and non-claim sequencing are false positives.</w:t>
      </w:r>
      <w:r>
        <w:rPr>
          <w:rtl w:val="0"/>
          <w:sz w:val="20"/>
          <w:szCs w:val="20"/>
        </w:rPr>
      </w:r>
    </w:p>
    <w:p w:rsidR="00000000" w:rsidDel="00000000" w:rsidP="00000000" w:rsidRDefault="00000000" w:rsidRPr="00000000" w14:paraId="000001BB">
      <w:pPr>
        <w:spacing w:before="0" w:after="8" w:line="360" w:lineRule="auto"/>
        <w:ind w:left="360" w:hanging="360"/>
        <w:jc w:val="both"/>
        <w:rPr/>
      </w:pPr>
      <w:r>
        <w:rPr>
          <w:rFonts w:ascii="Georgia" w:hAnsi="Georgia" w:cs="Georgia" w:eastAsia="Georgia"/>
          <w:i w:val="0"/>
          <w:iCs w:val="0"/>
          <w:color w:val="000000"/>
          <w:sz w:val="20"/>
          <w:szCs w:val="20"/>
          <w:rtl w:val="0"/>
          <w:b w:val="0"/>
          <w:bCs w:val="0"/>
        </w:rPr>
        <w:t>• Step 3 (function). Label retained hedges only: EC, P, and/or DO. Co-occurrence allowed. Pure DO does not reach Step 3 as a retained hedge.</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1BC">
      <w:pPr>
        <w:spacing w:before="0" w:after="8" w:line="360" w:lineRule="auto"/>
        <w:ind w:left="360" w:hanging="360"/>
        <w:jc w:val="both"/>
        <w:rPr/>
      </w:pPr>
      <w:r>
        <w:rPr>
          <w:rFonts w:ascii="Georgia" w:hAnsi="Georgia" w:cs="Georgia" w:eastAsia="Georgia"/>
          <w:i w:val="0"/>
          <w:iCs w:val="0"/>
          <w:sz w:val="20"/>
          <w:szCs w:val="20"/>
          <w:rtl w:val="0"/>
          <w:b w:val="0"/>
          <w:bCs w:val="0"/>
        </w:rPr>
        <w:t>• Working Test and order. Working Test supports EC only (commitment change). Deontic advice is never retained (FP-Rec). Coding order: full abstract → Step 1 → Step 2 → Decision Rules → Step 3 on retained hedges → Working Test for EC → Coder Notes.</w:t>
      </w:r>
      <w:r>
        <w:rPr>
          <w:rtl w:val="0"/>
          <w:sz w:val="20"/>
          <w:szCs w:val="20"/>
        </w:rPr>
      </w:r>
    </w:p>
    <w:p w:rsidR="00000000" w:rsidDel="00000000" w:rsidP="00000000" w:rsidRDefault="00000000" w:rsidRPr="00000000" w14:paraId="00000083">
      <w:pPr>
        <w:spacing w:before="40" w:after="14" w:line="360" w:lineRule="auto"/>
        <w:jc w:val="left"/>
        <w:rPr/>
      </w:pPr>
      <w:r>
        <w:rPr>
          <w:rFonts w:ascii="Georgia" w:hAnsi="Georgia" w:cs="Georgia" w:eastAsia="Georgia"/>
          <w:i w:val="0"/>
          <w:iCs w:val="0"/>
          <w:sz w:val="22"/>
          <w:szCs w:val="22"/>
          <w:rtl w:val="0"/>
          <w:b/>
          <w:bCs w:val="0"/>
        </w:rPr>
        <w:t>WORKING EXAMPLES: STEP 2 SORT AND STEP 3 FUNCTION (EC, P, DO)</w:t>
      </w:r>
      <w:r>
        <w:rPr>
          <w:rtl w:val="0"/>
          <w:b w:val="1"/>
          <w:sz w:val="22"/>
          <w:szCs w:val="22"/>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Function labels apply to retained hedges after Step 2. Step 2 = claim mitigation for findings, not advice. Working Test supports EC when certainty changes.</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EC: “The treatment may reduce infection rates.” Removing may raises certainty → hedge, EC.</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FP-Cap: “PCR can detect low concentrations.” can = capability, not uncertainty about a finding.</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P: “As suggested by previous researchers, the treatment is effective.” Step 2 may retain if interpersonal softening of a claim is present. EC Working Test fails if certainty is unchanged → function P.</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P + EC: Step 2 retains as a hedge and Working Test also passes → dominant function from context (or dual note in Coder Notes).</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Pure DO: “In conclusion, T3 produced the highest yield.” Candidate may be tagged. Step 2 = pure DO log (findings framing only). Not a retained hedge. Appendix C may still show (DO) for visibility.</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DO frame + separate hedge: “It should be noted that the results may indicate growth.” Code may as retained hedge (EC). The frame alone is not a second hedge count.</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Summary: Step 1 is wide. Only claim mitigation enters the retained hedge set. Pure findings framing is logged as DO and fails as a hedge. Step 3 labels retained hedges EC / P / DO. Working Test supports EC only. In this corpus all 65 retained tokens were EC. No P forms appeared in the retained set. Pure DO was logged outside that set.</w:t>
      </w:r>
      <w:r>
        <w:rPr>
          <w:rtl w:val="0"/>
          <w:sz w:val="20"/>
          <w:szCs w:val="20"/>
        </w:rPr>
      </w:r>
    </w:p>
    <w:p w:rsidR="00000000" w:rsidDel="00000000" w:rsidP="00000000" w:rsidRDefault="00000000" w:rsidRPr="00000000" w14:paraId="000001BE">
      <w:pPr>
        <w:spacing w:before="40" w:after="14" w:line="360" w:lineRule="auto"/>
        <w:jc w:val="left"/>
        <w:rPr/>
      </w:pPr>
      <w:r>
        <w:rPr>
          <w:rFonts w:ascii="Georgia" w:hAnsi="Georgia" w:cs="Georgia" w:eastAsia="Georgia"/>
          <w:b/>
          <w:bCs w:val="1"/>
          <w:i w:val="0"/>
          <w:iCs w:val="0"/>
          <w:sz w:val="22"/>
          <w:szCs w:val="22"/>
          <w:rtl w:val="0"/>
        </w:rPr>
        <w:t>HEDGE TYPE (PRIMARY COLORS)</w:t>
      </w:r>
      <w:r>
        <w:rPr>
          <w:rtl w:val="0"/>
          <w:sz w:val="22"/>
          <w:szCs w:val="22"/>
        </w:rPr>
      </w:r>
    </w:p>
    <w:p w:rsidR="00000000" w:rsidDel="00000000" w:rsidP="00000000" w:rsidRDefault="00000000" w:rsidRPr="00000000" w14:paraId="000001BF">
      <w:pPr>
        <w:spacing w:before="0" w:after="8" w:line="360" w:lineRule="auto"/>
        <w:ind w:firstLine="720"/>
        <w:jc w:val="both"/>
        <w:rPr/>
      </w:pPr>
      <w:r>
        <w:rPr>
          <w:rFonts w:ascii="Georgia" w:cs="Georgia" w:eastAsia="Georgia" w:hAnsi="Georgia"/>
          <w:b w:val="0"/>
          <w:bCs w:val="0"/>
          <w:i w:val="0"/>
          <w:iCs w:val="0"/>
          <w:sz w:val="20"/>
          <w:szCs w:val="20"/>
          <w:rtl w:val="0"/>
        </w:rPr>
        <w:t xml:space="preserve">Highlight each hedge token in the color matching its grammatical form.</w:t>
      </w:r>
      <w:r>
        <w:rPr>
          <w:rtl w:val="0"/>
          <w:sz w:val="20"/>
          <w:szCs w:val="20"/>
        </w:rPr>
      </w:r>
    </w:p>
    <w:tbl>
      <w:tblPr>
        <w:tblStyle w:val="Table6"/>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6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6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6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6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6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6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6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6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6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6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6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6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6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6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6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spacing w:before="0" w:after="8" w:line="360" w:lineRule="auto"/>
        <w:ind/>
        <w:jc w:val="both"/>
        <w:rPr/>
      </w:pPr>
      <w:r>
        <w:rPr>
          <w:rFonts w:ascii="Georgia" w:hAnsi="Georgia" w:cs="Georgia" w:eastAsia="Georgia"/>
          <w:b w:val="0"/>
          <w:bCs w:val="0"/>
          <w:i w:val="1"/>
          <w:iCs w:val="1"/>
          <w:color w:val="000000"/>
          <w:sz w:val="20"/>
          <w:szCs w:val="20"/>
          <w:rtl w:val="0"/>
        </w:rPr>
        <w:t>Exclusions (capability, recommendation, procedural norm, location) are in the Decision Rules table.</w:t>
      </w:r>
      <w:r>
        <w:rPr>
          <w:rFonts w:ascii="Georgia" w:cs="Georgia" w:eastAsia="Georgia" w:hAnsi="Georgia"/>
          <w:b w:val="1"/>
          <w:bCs w:val="1"/>
          <w:i w:val="1"/>
          <w:iCs w:val="1"/>
          <w:color w:val="000000"/>
          <w:sz w:val="20"/>
          <w:szCs w:val="20"/>
          <w:rtl w:val="0"/>
        </w:rPr>
      </w:r>
      <w:r>
        <w:rPr>
          <w:rFonts w:ascii="Georgia" w:cs="Georgia" w:eastAsia="Georgia" w:hAnsi="Georgia"/>
          <w:b w:val="0"/>
          <w:bCs w:val="0"/>
          <w:i w:val="1"/>
          <w:iCs w:val="1"/>
          <w:color w:val="000000"/>
          <w:sz w:val="20"/>
          <w:szCs w:val="20"/>
          <w:rtl w:val="0"/>
        </w:rPr>
      </w:r>
      <w:r>
        <w:rPr>
          <w:rtl w:val="0"/>
          <w:sz w:val="20"/>
          <w:szCs w:val="20"/>
        </w:rPr>
      </w:r>
    </w:p>
    <w:p w:rsidR="00000000" w:rsidDel="00000000" w:rsidP="00000000" w:rsidRDefault="00000000" w:rsidRPr="00000000" w14:paraId="000001D6">
      <w:pPr>
        <w:spacing w:before="0" w:after="8" w:line="360" w:lineRule="auto"/>
        <w:ind w:left="360" w:hanging="360"/>
        <w:jc w:val="both"/>
        <w:rPr/>
      </w:pPr>
      <w:r>
        <w:rPr>
          <w:rFonts w:ascii="Georgia" w:hAnsi="Georgia" w:cs="Georgia" w:eastAsia="Georgia"/>
          <w:b w:val="0"/>
          <w:i w:val="0"/>
          <w:iCs w:val="0"/>
          <w:sz w:val="20"/>
          <w:szCs w:val="20"/>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tl w:val="0"/>
          <w:sz w:val="20"/>
          <w:szCs w:val="20"/>
        </w:rPr>
      </w:r>
    </w:p>
    <w:p w:rsidR="00000000" w:rsidDel="00000000" w:rsidP="00000000" w:rsidRDefault="00000000" w:rsidRPr="00000000" w14:paraId="000001D8">
      <w:pPr>
        <w:spacing w:before="40" w:after="14" w:line="360" w:lineRule="auto"/>
        <w:jc w:val="left"/>
        <w:rPr/>
      </w:pPr>
      <w:r>
        <w:rPr>
          <w:rFonts w:ascii="Georgia" w:hAnsi="Georgia" w:cs="Georgia" w:eastAsia="Georgia"/>
          <w:b/>
          <w:bCs w:val="1"/>
          <w:i w:val="0"/>
          <w:iCs w:val="0"/>
          <w:sz w:val="22"/>
          <w:szCs w:val="22"/>
          <w:rtl w:val="0"/>
        </w:rPr>
        <w:t>HEDGE FUNCTION (COLORED TEXT LABELS)</w:t>
      </w:r>
      <w:r>
        <w:rPr>
          <w:rtl w:val="0"/>
          <w:sz w:val="22"/>
          <w:szCs w:val="22"/>
        </w:rPr>
      </w:r>
    </w:p>
    <w:tbl>
      <w:tblPr>
        <w:tblStyle w:val="Table7"/>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6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1DD">
            <w:pPr>
              <w:spacing w:before="0" w:after="0" w:line="26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6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6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6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1">
            <w:pPr>
              <w:spacing w:before="0" w:after="0" w:line="26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6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6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6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5">
            <w:pPr>
              <w:spacing w:before="0" w:after="0" w:line="260" w:lineRule="auto"/>
              <w:jc w:val="left"/>
              <w:rPr/>
            </w:pPr>
            <w:r>
              <w:rPr>
                <w:rFonts w:ascii="Georgia" w:cs="Georgia" w:eastAsia="Georgia" w:hAnsi="Georgia"/>
                <w:b w:val="1"/>
                <w:bCs w:val="1"/>
                <w:i w:val="0"/>
                <w:iCs w:val="0"/>
                <w:color w:val="8B4513"/>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6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6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sz w:val="18"/>
                <w:szCs w:val="18"/>
                <w:rtl w:val="0"/>
                <w:color w:val="8B4513"/>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spacing w:before="40" w:after="14" w:line="360" w:lineRule="auto"/>
        <w:jc w:val="left"/>
        <w:rPr/>
      </w:pPr>
      <w:r>
        <w:rPr>
          <w:rFonts w:ascii="Georgia" w:cs="Georgia" w:eastAsia="Georgia" w:hAnsi="Georgia"/>
          <w:b w:val="1"/>
          <w:bCs w:val="1"/>
          <w:i w:val="0"/>
          <w:iCs w:val="0"/>
          <w:sz w:val="22"/>
          <w:szCs w:val="22"/>
          <w:rtl w:val="0"/>
        </w:rPr>
        <w:t xml:space="preserve">DECISION RULES FOR AMBIGUOUS CASES</w:t>
      </w:r>
      <w:r>
        <w:rPr>
          <w:rtl w:val="0"/>
          <w:sz w:val="22"/>
          <w:szCs w:val="22"/>
        </w:rPr>
      </w:r>
    </w:p>
    <w:p w:rsidR="00000000" w:rsidDel="00000000" w:rsidP="00000000" w:rsidRDefault="00000000" w:rsidRPr="00000000" w14:paraId="000001EB">
      <w:pPr>
        <w:spacing w:before="0" w:after="8" w:line="360" w:lineRule="auto"/>
        <w:ind w:firstLine="720"/>
        <w:jc w:val="both"/>
        <w:rPr/>
      </w:pPr>
      <w:r>
        <w:rPr>
          <w:rFonts w:ascii="Georgia" w:cs="Georgia" w:eastAsia="Georgia" w:hAnsi="Georgia"/>
          <w:b w:val="0"/>
          <w:bCs w:val="0"/>
          <w:i w:val="0"/>
          <w:iCs w:val="0"/>
          <w:sz w:val="20"/>
          <w:szCs w:val="20"/>
          <w:rtl w:val="0"/>
        </w:rPr>
        <w:t xml:space="preserve">Apply before defaulting to the Working Test.</w:t>
      </w:r>
      <w:r>
        <w:rPr>
          <w:rtl w:val="0"/>
          <w:sz w:val="20"/>
          <w:szCs w:val="20"/>
        </w:rPr>
      </w:r>
    </w:p>
    <w:tbl>
      <w:tblPr>
        <w:tblStyle w:val="Table8"/>
        <w:tblW w:w="8307"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6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6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trPr>
        <w:tc>
          <w:tcPr/>
          <w:p w:rsidR="00000000" w:rsidDel="00000000" w:rsidP="00000000" w:rsidRDefault="00000000" w:rsidRPr="00000000" w14:paraId="000001EF">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6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6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trPr>
        <w:tc>
          <w:tcPr/>
          <w:p w:rsidR="00000000" w:rsidDel="00000000" w:rsidP="00000000" w:rsidRDefault="00000000" w:rsidRPr="00000000" w14:paraId="000001F2">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6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6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trPr>
        <w:tc>
          <w:tcPr/>
          <w:p w:rsidR="00000000" w:rsidDel="00000000" w:rsidP="00000000" w:rsidRDefault="00000000" w:rsidRPr="00000000" w14:paraId="000001F5">
            <w:pPr>
              <w:spacing w:before="0" w:after="0" w:line="26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6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6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trPr>
        <w:tc>
          <w:tcPr/>
          <w:p w:rsidR="00000000" w:rsidDel="00000000" w:rsidP="00000000" w:rsidRDefault="00000000" w:rsidRPr="00000000" w14:paraId="000001F8">
            <w:pPr>
              <w:spacing w:before="0" w:after="0" w:line="26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6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6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trPr>
        <w:tc>
          <w:tcPr/>
          <w:p w:rsidR="00000000" w:rsidDel="00000000" w:rsidP="00000000" w:rsidRDefault="00000000" w:rsidRPr="00000000" w14:paraId="000001FB">
            <w:pPr>
              <w:spacing w:before="0" w:after="0" w:line="26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6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6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trPr>
        <w:tc>
          <w:tcPr/>
          <w:p w:rsidR="00000000" w:rsidDel="00000000" w:rsidP="00000000" w:rsidRDefault="00000000" w:rsidRPr="00000000" w14:paraId="000001FE">
            <w:pPr>
              <w:spacing w:before="0" w:after="0" w:line="26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6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6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trPr>
        <w:tc>
          <w:tcPr/>
          <w:p w:rsidR="00000000" w:rsidDel="00000000" w:rsidP="00000000" w:rsidRDefault="00000000" w:rsidRPr="00000000" w14:paraId="00000201">
            <w:pPr>
              <w:spacing w:before="0" w:after="0" w:line="26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6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6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trPr>
        <w:tc>
          <w:tcPr/>
          <w:p w:rsidR="00000000" w:rsidDel="00000000" w:rsidP="00000000" w:rsidRDefault="00000000" w:rsidRPr="00000000" w14:paraId="00000204">
            <w:pPr>
              <w:spacing w:before="0" w:after="0" w:line="26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6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6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0" w:after="8" w:line="360" w:lineRule="auto"/>
        <w:ind w:firstLine="720"/>
        <w:jc w:val="both"/>
        <w:rPr/>
      </w:pPr>
      <w:r>
        <w:rPr>
          <w:rFonts w:ascii="Georgia" w:cs="Georgia" w:eastAsia="Georgia" w:hAnsi="Georgia"/>
          <w:b w:val="1"/>
          <w:bCs w:val="1"/>
          <w:i w:val="1"/>
          <w:iCs w:val="1"/>
          <w:color w:val="000000"/>
          <w:sz w:val="20"/>
          <w:szCs w:val="20"/>
          <w:rtl w:val="0"/>
        </w:rPr>
        <w:t xml:space="preserve">General exclusions: </w:t>
      </w:r>
      <w:r>
        <w:rPr>
          <w:rFonts w:ascii="Georgia" w:cs="Georgia" w:eastAsia="Georgia" w:hAnsi="Georgia"/>
          <w:b w:val="0"/>
          <w:bCs w:val="0"/>
          <w:i w:val="1"/>
          <w:iCs w:val="1"/>
          <w:color w:val="000000"/>
          <w:sz w:val="20"/>
          <w:szCs w:val="20"/>
          <w:rtl w:val="0"/>
        </w:rPr>
        <w:t xml:space="preserve">ability, future procedure, and procedural necessity (a step required by the procedure itself) are never coded as hedges.</w:t>
      </w:r>
      <w:r>
        <w:rPr>
          <w:rtl w:val="0"/>
          <w:sz w:val="20"/>
          <w:szCs w:val="20"/>
        </w:rPr>
      </w:r>
    </w:p>
    <w:p w:rsidR="00000000" w:rsidDel="00000000" w:rsidP="00000000" w:rsidRDefault="00000000" w:rsidRPr="00000000" w14:paraId="00000209">
      <w:pPr>
        <w:spacing w:before="0" w:after="8" w:line="360" w:lineRule="auto"/>
        <w:ind w:firstLine="720"/>
        <w:jc w:val="both"/>
        <w:rPr/>
      </w:pPr>
      <w:r>
        <w:rPr>
          <w:rFonts w:ascii="Georgia" w:cs="Georgia" w:eastAsia="Georgia" w:hAnsi="Georgia"/>
          <w:b w:val="0"/>
          <w:bCs w:val="0"/>
          <w:i w:val="1"/>
          <w:iCs w:val="1"/>
          <w:color w:val="000000"/>
          <w:sz w:val="20"/>
          <w:szCs w:val="20"/>
          <w:rtl w:val="0"/>
        </w:rPr>
        <w:t xml:space="preserve">Quick test for </w:t>
      </w:r>
      <w:r>
        <w:rPr>
          <w:rFonts w:ascii="Georgia" w:cs="Georgia" w:eastAsia="Georgia" w:hAnsi="Georgia"/>
          <w:b w:val="1"/>
          <w:bCs w:val="1"/>
          <w:i w:val="1"/>
          <w:iCs w:val="1"/>
          <w:color w:val="000000"/>
          <w:sz w:val="20"/>
          <w:szCs w:val="20"/>
          <w:rtl w:val="0"/>
        </w:rPr>
        <w:t xml:space="preserve">suggest/indicate</w:t>
      </w:r>
      <w:r>
        <w:rPr>
          <w:rFonts w:ascii="Georgia" w:cs="Georgia" w:eastAsia="Georgia" w:hAnsi="Georgia"/>
          <w:b w:val="0"/>
          <w:bCs w:val="0"/>
          <w:i w:val="1"/>
          <w:iCs w:val="1"/>
          <w:color w:val="000000"/>
          <w:sz w:val="20"/>
          <w:szCs w:val="20"/>
          <w:rtl w:val="0"/>
        </w:rPr>
        <w:t xml:space="preserve">: “Might this be true?” = hedge. “Should this be done?” = FP-Rec.</w:t>
      </w:r>
      <w:r>
        <w:rPr>
          <w:rtl w:val="0"/>
          <w:sz w:val="20"/>
          <w:szCs w:val="20"/>
        </w:rPr>
      </w:r>
    </w:p>
    <w:p w:rsidR="00000000" w:rsidDel="00000000" w:rsidP="00000000" w:rsidRDefault="00000000" w:rsidRPr="00000000" w14:paraId="0000020B">
      <w:pPr>
        <w:spacing w:before="40" w:after="14" w:line="360" w:lineRule="auto"/>
        <w:jc w:val="left"/>
        <w:rPr/>
      </w:pPr>
      <w:r>
        <w:rPr>
          <w:rFonts w:ascii="Georgia" w:cs="Georgia" w:eastAsia="Georgia" w:hAnsi="Georgia"/>
          <w:b w:val="1"/>
          <w:bCs w:val="1"/>
          <w:i w:val="0"/>
          <w:iCs w:val="0"/>
          <w:sz w:val="22"/>
          <w:szCs w:val="22"/>
          <w:rtl w:val="0"/>
        </w:rPr>
        <w:t xml:space="preserve">MARKING FALSE POSITIVES</w:t>
      </w:r>
      <w:r>
        <w:rPr>
          <w:rtl w:val="0"/>
          <w:sz w:val="22"/>
          <w:szCs w:val="22"/>
        </w:rPr>
      </w:r>
    </w:p>
    <w:p w:rsidR="00000000" w:rsidDel="00000000" w:rsidP="00000000" w:rsidRDefault="00000000" w:rsidRPr="00000000" w14:paraId="0000020C">
      <w:pPr>
        <w:spacing w:before="0" w:after="8" w:line="360" w:lineRule="auto"/>
        <w:ind w:firstLine="720"/>
        <w:jc w:val="both"/>
        <w:rPr/>
      </w:pPr>
      <w:r>
        <w:rPr>
          <w:rFonts w:ascii="Georgia" w:cs="Georgia" w:eastAsia="Georgia" w:hAnsi="Georgia"/>
          <w:b w:val="0"/>
          <w:bCs w:val="0"/>
          <w:i w:val="0"/>
          <w:iCs w:val="0"/>
          <w:sz w:val="20"/>
          <w:szCs w:val="20"/>
          <w:rtl w:val="0"/>
        </w:rPr>
        <w:t xml:space="preserve">Strike through a hedge-like token that fails the Working Test. Write the reason code beside it in grey text.</w:t>
      </w:r>
      <w:r>
        <w:rPr>
          <w:rtl w:val="0"/>
          <w:sz w:val="20"/>
          <w:szCs w:val="20"/>
        </w:rPr>
      </w:r>
    </w:p>
    <w:tbl>
      <w:tblPr>
        <w:tblStyle w:val="Table9"/>
        <w:tblW w:w="8307"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6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6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210">
            <w:pPr>
              <w:spacing w:before="0" w:after="0" w:line="26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6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6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trPr>
        <w:tc>
          <w:tcPr/>
          <w:p w:rsidR="00000000" w:rsidDel="00000000" w:rsidP="00000000" w:rsidRDefault="00000000" w:rsidRPr="00000000" w14:paraId="00000213">
            <w:pPr>
              <w:spacing w:before="0" w:after="0" w:line="26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6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6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trPr>
        <w:tc>
          <w:tcPr/>
          <w:p w:rsidR="00000000" w:rsidDel="00000000" w:rsidP="00000000" w:rsidRDefault="00000000" w:rsidRPr="00000000" w14:paraId="00000216">
            <w:pPr>
              <w:spacing w:before="0" w:after="0" w:line="26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6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6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trPr>
        <w:tc>
          <w:tcPr/>
          <w:p w:rsidR="00000000" w:rsidDel="00000000" w:rsidP="00000000" w:rsidRDefault="00000000" w:rsidRPr="00000000" w14:paraId="00000219">
            <w:pPr>
              <w:spacing w:before="0" w:after="0" w:line="26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6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6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trPr>
        <w:tc>
          <w:tcPr/>
          <w:p w:rsidR="00000000" w:rsidDel="00000000" w:rsidP="00000000" w:rsidRDefault="00000000" w:rsidRPr="00000000" w14:paraId="0000021C">
            <w:pPr>
              <w:spacing w:before="0" w:after="0" w:line="26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6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6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spacing w:before="40" w:after="14" w:line="360" w:lineRule="auto"/>
        <w:jc w:val="both"/>
        <w:rPr/>
      </w:pPr>
      <w:r>
        <w:rPr>
          <w:rFonts w:ascii="Georgia" w:hAnsi="Georgia" w:cs="Georgia" w:eastAsia="Georgia"/>
          <w:b/>
          <w:bCs w:val="1"/>
          <w:i w:val="0"/>
          <w:iCs w:val="0"/>
          <w:sz w:val="22"/>
          <w:szCs w:val="22"/>
          <w:rtl w:val="0"/>
        </w:rPr>
        <w:t>UNHEDGED ASSERTIONS (WARRANTED CAUTION, NEUTRAL GREY)</w:t>
      </w:r>
      <w:r>
        <w:rPr>
          <w:rtl w:val="0"/>
          <w:sz w:val="22"/>
          <w:szCs w:val="22"/>
        </w:rPr>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Grey-highlight the main assertive verb; place [G] or [C] beside it (same placement as (EC) on hedges).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Mark only claims where caution was warranted but absent.</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 = generalization or evaluative ranking beyond the data.</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[C] = cause–effect or impact stronger than the design supports.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Do not mark bare trial results, measured findings, or procedural statements.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Record the full clause in the coding sheet.</w:t>
      </w:r>
    </w:p>
    <w:tbl>
      <w:tblPr>
        <w:tblStyle w:val="Table10"/>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bfbfbf" w:val="clear"/>
          </w:tcPr>
          <w:p w:rsidR="00000000" w:rsidDel="00000000" w:rsidP="00000000" w:rsidRDefault="00000000" w:rsidRPr="00000000" w14:paraId="00000226">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7">
            <w:pPr>
              <w:spacing w:before="0" w:after="0" w:line="260" w:lineRule="auto"/>
              <w:jc w:val="both"/>
              <w:rPr/>
            </w:pPr>
            <w:r>
              <w:rPr>
                <w:rFonts w:ascii="Georgia" w:cs="Georgia" w:eastAsia="Georgia" w:hAnsi="Georgia"/>
                <w:sz w:val="18"/>
                <w:szCs w:val="18"/>
                <w:rtl w:val="0"/>
              </w:rPr>
              <w:t xml:space="preserve">Result Claim [R] — Not markable (bare results).</w:t>
            </w:r>
            <w:r>
              <w:rPr>
                <w:rtl w:val="0"/>
                <w:sz w:val="18"/>
                <w:szCs w:val="18"/>
                <w:rFonts w:ascii="Georgia" w:hAnsi="Georgia"/>
              </w:rPr>
            </w:r>
          </w:p>
        </w:tc>
        <w:tc>
          <w:tcPr/>
          <w:p w:rsidR="00000000" w:rsidDel="00000000" w:rsidP="00000000" w:rsidRDefault="00000000" w:rsidRPr="00000000" w14:paraId="00000228">
            <w:pPr>
              <w:spacing w:before="0" w:after="0" w:line="260" w:lineRule="auto"/>
              <w:jc w:val="both"/>
              <w:rPr/>
            </w:pPr>
            <w:r>
              <w:rPr>
                <w:rFonts w:ascii="Georgia" w:cs="Georgia" w:eastAsia="Georgia" w:hAnsi="Georgia"/>
                <w:sz w:val="18"/>
                <w:szCs w:val="18"/>
                <w:rtl w:val="0"/>
              </w:rPr>
              <w:t xml:space="preserve">Not markable.</w:t>
            </w:r>
            <w:r>
              <w:rPr>
                <w:rtl w:val="0"/>
                <w:sz w:val="18"/>
                <w:szCs w:val="18"/>
                <w:rFonts w:ascii="Georgia" w:hAnsi="Georgia"/>
              </w:rPr>
            </w:r>
          </w:p>
        </w:tc>
        <w:tc>
          <w:tcPr/>
          <w:p w:rsidR="00000000" w:rsidDel="00000000" w:rsidP="00000000" w:rsidRDefault="00000000" w:rsidRPr="00000000" w14:paraId="00000229">
            <w:pPr>
              <w:spacing w:before="0" w:after="0" w:line="260" w:lineRule="auto"/>
              <w:jc w:val="both"/>
              <w:rPr/>
            </w:pPr>
            <w:r>
              <w:rPr>
                <w:rFonts w:ascii="Georgia" w:hAnsi="Georgia"/>
                <w:sz w:val="18"/>
                <w:szCs w:val="18"/>
              </w:rPr>
              <w:t xml:space="preserve">“</w:t>
            </w:r>
            <w:r>
              <w:rPr>
                <w:rFonts w:ascii="Georgia" w:hAnsi="Georgia"/>
                <w:sz w:val="18"/>
                <w:szCs w:val="18"/>
                <w:shd w:val="clear" w:color="auto" w:fill="bfbfbf"/>
              </w:rPr>
              <w:t xml:space="preserve">was</w:t>
            </w:r>
            <w:r>
              <w:rPr>
                <w:rFonts w:ascii="Georgia" w:hAnsi="Georgia"/>
                <w:sz w:val="18"/>
                <w:szCs w:val="18"/>
              </w:rPr>
              <w:t xml:space="preserve"> [G] the most compelling…” (mark) vs “Yield higher (p &lt; .05)” (omit).</w:t>
            </w:r>
          </w:p>
        </w:tc>
      </w:tr>
      <w:tr>
        <w:trPr>
          <w:cantSplit/>
        </w:trPr>
        <w:tc>
          <w:tcPr>
            <w:shd w:fill="bfbfbf" w:val="clear"/>
          </w:tcPr>
          <w:p w:rsidR="00000000" w:rsidDel="00000000" w:rsidP="00000000" w:rsidRDefault="00000000" w:rsidRPr="00000000" w14:paraId="0000022A">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B">
            <w:pPr>
              <w:spacing w:before="0" w:after="0" w:line="26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60" w:lineRule="auto"/>
              <w:jc w:val="both"/>
              <w:rPr/>
            </w:pPr>
            <w:r>
              <w:rPr>
                <w:rFonts w:ascii="Georgia" w:cs="Georgia" w:eastAsia="Georgia" w:hAnsi="Georgia"/>
                <w:sz w:val="18"/>
                <w:szCs w:val="18"/>
                <w:rtl w:val="0"/>
              </w:rPr>
              <w:t xml:space="preserve">Inference or ranking beyond the data.</w:t>
            </w:r>
            <w:r>
              <w:rPr>
                <w:rtl w:val="0"/>
                <w:sz w:val="18"/>
                <w:szCs w:val="18"/>
                <w:rFonts w:ascii="Georgia" w:hAnsi="Georgia"/>
              </w:rPr>
            </w:r>
          </w:p>
        </w:tc>
        <w:tc>
          <w:tcPr/>
          <w:p w:rsidR="00000000" w:rsidDel="00000000" w:rsidP="00000000" w:rsidRDefault="00000000" w:rsidRPr="00000000" w14:paraId="0000022D">
            <w:pPr>
              <w:spacing w:before="0" w:after="0" w:line="260" w:lineRule="auto"/>
              <w:jc w:val="both"/>
              <w:rPr/>
            </w:pPr>
            <w:r>
              <w:rPr>
                <w:rFonts w:ascii="Georgia" w:hAnsi="Georgia"/>
                <w:sz w:val="18"/>
                <w:szCs w:val="18"/>
              </w:rPr>
              <w:t xml:space="preserve">“This </w:t>
            </w:r>
            <w:r>
              <w:rPr>
                <w:rFonts w:ascii="Georgia" w:hAnsi="Georgia"/>
                <w:sz w:val="18"/>
                <w:szCs w:val="18"/>
                <w:shd w:val="clear" w:color="auto" w:fill="bfbfbf"/>
              </w:rPr>
              <w:t xml:space="preserve">led</w:t>
            </w:r>
            <w:r>
              <w:rPr>
                <w:rFonts w:ascii="Georgia" w:hAnsi="Georgia"/>
                <w:sz w:val="18"/>
                <w:szCs w:val="18"/>
              </w:rPr>
              <w:t xml:space="preserve"> [G] to the conclusion that all farms were free of it.”</w:t>
            </w:r>
          </w:p>
        </w:tc>
      </w:tr>
      <w:tr>
        <w:trPr>
          <w:cantSplit/>
        </w:trPr>
        <w:tc>
          <w:tcPr>
            <w:shd w:fill="bfbfbf" w:val="clear"/>
          </w:tcPr>
          <w:p w:rsidR="00000000" w:rsidDel="00000000" w:rsidP="00000000" w:rsidRDefault="00000000" w:rsidRPr="00000000" w14:paraId="0000022E">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F">
            <w:pPr>
              <w:spacing w:before="0" w:after="0" w:line="26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60" w:lineRule="auto"/>
              <w:jc w:val="both"/>
              <w:rPr/>
            </w:pPr>
            <w:r>
              <w:rPr>
                <w:rFonts w:ascii="Georgia" w:cs="Georgia" w:eastAsia="Georgia" w:hAnsi="Georgia"/>
                <w:sz w:val="18"/>
                <w:szCs w:val="18"/>
                <w:rtl w:val="0"/>
              </w:rPr>
              <w:t xml:space="preserve">Cause–effect stated as established.</w:t>
            </w:r>
            <w:r>
              <w:rPr>
                <w:rtl w:val="0"/>
                <w:sz w:val="18"/>
                <w:szCs w:val="18"/>
                <w:rFonts w:ascii="Georgia" w:hAnsi="Georgia"/>
              </w:rPr>
            </w:r>
          </w:p>
        </w:tc>
        <w:tc>
          <w:tcPr/>
          <w:p w:rsidR="00000000" w:rsidDel="00000000" w:rsidP="00000000" w:rsidRDefault="00000000" w:rsidRPr="00000000" w14:paraId="00000231">
            <w:pPr>
              <w:spacing w:before="0" w:after="0" w:line="260" w:lineRule="auto"/>
              <w:jc w:val="both"/>
              <w:rPr/>
            </w:pPr>
            <w:r>
              <w:rPr>
                <w:rFonts w:ascii="Georgia" w:hAnsi="Georgia"/>
                <w:sz w:val="18"/>
                <w:szCs w:val="18"/>
              </w:rPr>
              <w:t xml:space="preserve">“Extracts </w:t>
            </w:r>
            <w:r>
              <w:rPr>
                <w:rFonts w:ascii="Georgia" w:hAnsi="Georgia"/>
                <w:sz w:val="18"/>
                <w:szCs w:val="18"/>
                <w:shd w:val="clear" w:color="auto" w:fill="bfbfbf"/>
              </w:rPr>
              <w:t xml:space="preserve">produce</w:t>
            </w:r>
            <w:r>
              <w:rPr>
                <w:rFonts w:ascii="Georgia" w:hAnsi="Georgia"/>
                <w:sz w:val="18"/>
                <w:szCs w:val="18"/>
              </w:rPr>
              <w:t xml:space="preserve"> [C] comparable staining because they contain similar compounds.”</w:t>
            </w:r>
          </w:p>
        </w:tc>
      </w:tr>
    </w:tbl>
    <w:p w:rsidR="00000000" w:rsidDel="00000000" w:rsidP="00000000" w:rsidRDefault="00000000" w:rsidRPr="00000000" w14:paraId="00000247">
      <w:pPr>
        <w:spacing w:before="40" w:after="14" w:line="360" w:lineRule="auto"/>
        <w:jc w:val="left"/>
        <w:rPr/>
      </w:pPr>
      <w:r>
        <w:rPr>
          <w:rFonts w:ascii="Georgia" w:hAnsi="Georgia" w:cs="Georgia" w:eastAsia="Georgia"/>
          <w:b/>
          <w:bCs w:val="1"/>
          <w:i w:val="0"/>
          <w:iCs w:val="0"/>
          <w:sz w:val="22"/>
          <w:szCs w:val="22"/>
          <w:rtl w:val="0"/>
        </w:rPr>
        <w:t>CODING SHEET COLUMNS</w:t>
      </w:r>
      <w:r>
        <w:rPr>
          <w:rtl w:val="0"/>
          <w:sz w:val="22"/>
          <w:szCs w:val="22"/>
        </w:rPr>
      </w:r>
    </w:p>
    <w:tbl>
      <w:tblPr>
        <w:tblStyle w:val="Table14"/>
        <w:tblW w:w="8304"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6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7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3"/>
        <w:tblW w:w="8304"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6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6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2"/>
        <w:tblW w:w="8303"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6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6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51">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48">
      <w:pPr>
        <w:spacing w:before="0" w:after="8" w:line="360" w:lineRule="auto"/>
        <w:ind w:firstLine="720"/>
        <w:jc w:val="both"/>
        <w:rPr/>
      </w:pPr>
      <w:r>
        <w:rPr>
          <w:rFonts w:ascii="Georgia" w:hAnsi="Georgia" w:cs="Georgia" w:eastAsia="Georgia"/>
          <w:b w:val="0"/>
          <w:bCs w:val="0"/>
          <w:i w:val="0"/>
          <w:iCs w:val="0"/>
          <w:sz w:val="20"/>
          <w:szCs w:val="20"/>
          <w:rtl w:val="0"/>
        </w:rPr>
        <w:t>• Highlighted abstract = primary record. Spreadsheet = tallying and analysis only.</w:t>
      </w:r>
      <w:r>
        <w:rPr>
          <w:rtl w:val="0"/>
          <w:sz w:val="20"/>
          <w:szCs w:val="20"/>
        </w:rPr>
      </w:r>
    </w:p>
    <w:p w:rsidR="00000000" w:rsidDel="00000000" w:rsidP="00000000" w:rsidRDefault="00000000" w:rsidRPr="00000000" w14:paraId="0000025A">
      <w:pPr>
        <w:spacing w:before="0" w:after="8" w:line="360" w:lineRule="auto"/>
        <w:ind w:firstLine="720"/>
        <w:jc w:val="both"/>
        <w:rPr/>
      </w:pPr>
      <w:r>
        <w:rPr>
          <w:rFonts w:ascii="Georgia" w:hAnsi="Georgia" w:cs="Georgia" w:eastAsia="Georgia"/>
          <w:b w:val="0"/>
          <w:bCs w:val="0"/>
          <w:i w:val="1"/>
          <w:iCs w:val="1"/>
          <w:color w:val="000000"/>
          <w:sz w:val="20"/>
          <w:szCs w:val="20"/>
          <w:rtl w:val="0"/>
        </w:rPr>
        <w:t>• Codes: Acs1–Acs10, Aas1–Aas10 (Agriculture). VM1–VM20. B1–B20 (Biology).</w:t>
      </w:r>
      <w:r>
        <w:rPr>
          <w:rtl w:val="0"/>
          <w:sz w:val="20"/>
          <w:szCs w:val="20"/>
        </w:rPr>
      </w:r>
    </w:p>
    <w:p w:rsidR="00000000" w:rsidDel="00000000" w:rsidP="00000000" w:rsidRDefault="00000000" w:rsidRPr="00000000" w14:paraId="0000025D">
      <w:pPr>
        <w:spacing w:before="0" w:after="8" w:line="360" w:lineRule="auto"/>
        <w:ind w:firstLine="720"/>
        <w:jc w:val="both"/>
        <w:rPr/>
      </w:pPr>
      <w:r>
        <w:rPr>
          <w:rFonts w:ascii="Georgia" w:hAnsi="Georgia" w:cs="Georgia" w:eastAsia="Georgia"/>
          <w:b w:val="0"/>
          <w:bCs w:val="0"/>
          <w:i w:val="1"/>
          <w:iCs w:val="1"/>
          <w:color w:val="000000"/>
          <w:sz w:val="20"/>
          <w:szCs w:val="20"/>
          <w:rtl w:val="0"/>
        </w:rPr>
        <w:t>• Unhedged rows separate from hedge tallies. [G]/[C] only for warranted-but-absent caution.</w:t>
      </w:r>
      <w:r>
        <w:rPr>
          <w:rtl w:val="0"/>
          <w:sz w:val="20"/>
          <w:szCs w:val="20"/>
        </w:rPr>
      </w:r>
    </w:p>
    <w:p w:rsidR="00000000" w:rsidDel="00000000" w:rsidP="00000000" w:rsidRDefault="00000000" w:rsidRPr="00000000" w14:paraId="0000026C">
      <w:pPr>
        <w:spacing w:before="0" w:after="8" w:line="360" w:lineRule="auto"/>
        <w:jc w:val="left"/>
        <w:rPr/>
      </w:pPr>
      <w:r>
        <w:rPr>
          <w:rFonts w:ascii="Georgia" w:hAnsi="Georgia" w:cs="Georgia" w:eastAsia="Georgia"/>
          <w:b w:val="0"/>
          <w:bCs w:val="0"/>
          <w:i w:val="1"/>
          <w:iCs w:val="1"/>
          <w:sz w:val="20"/>
          <w:szCs w:val="20"/>
          <w:rtl w:val="0"/>
        </w:rPr>
        <w:t>• Optional Rejected Candidates tab for FP traceability.</w:t>
      </w:r>
      <w:r>
        <w:rPr>
          <w:rtl w:val="0"/>
          <w:sz w:val="20"/>
          <w:szCs w:val="20"/>
        </w:rPr>
      </w:r>
    </w:p>
    <w:p w:rsidR="00000000" w:rsidDel="00000000" w:rsidP="00000000" w:rsidRDefault="00000000" w:rsidRPr="00000000" w14:paraId="0000027B">
      <w:pPr>
        <w:spacing w:before="120" w:after="0" w:line="480" w:lineRule="auto"/>
        <w:jc w:val="left"/>
        <w:rPr/>
      </w:pPr>
      <w:r>
        <w:rPr>
          <w:rFonts w:ascii="Georgia" w:cs="Georgia" w:eastAsia="Georgia" w:hAnsi="Georgia"/>
          <w:b w:val="1"/>
          <w:bCs w:val="1"/>
          <w:i w:val="0"/>
          <w:iCs w:val="0"/>
          <w:sz w:val="28"/>
          <w:szCs w:val="28"/>
          <w:rtl w:val="0"/>
        </w:rPr>
        <w:t xml:space="preserve">APPENDIX B: PILOT SAMPLE ANALYSIS AND CODING VERIFICATION</w:t>
      </w:r>
      <w:r>
        <w:rPr>
          <w:rtl w:val="0"/>
          <w:sz w:val="28"/>
          <w:szCs w:val="28"/>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2"/>
          <w:szCs w:val="22"/>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sz w:val="24"/>
          <w:szCs w:val="24"/>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2</w:t>
      </w:r>
      <w:r>
        <w:rPr>
          <w:rtl w:val="0"/>
          <w:sz w:val="24"/>
          <w:szCs w:val="24"/>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4"/>
          <w:szCs w:val="24"/>
          <w:rtl w:val="0"/>
        </w:rPr>
        <w:t xml:space="preserve">Coded Instances:</w:t>
      </w:r>
      <w:r>
        <w:rPr>
          <w:rtl w:val="0"/>
          <w:sz w:val="24"/>
          <w:szCs w:val="24"/>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4"/>
          <w:szCs w:val="24"/>
          <w:rtl w:val="0"/>
        </w:rPr>
        <w:t xml:space="preserve">“The results suggested that...” (Lexical Verb - Epistemic Caution)</w:t>
      </w:r>
      <w:r>
        <w:rPr>
          <w:rtl w:val="0"/>
          <w:sz w:val="24"/>
          <w:szCs w:val="24"/>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4"/>
          <w:szCs w:val="24"/>
          <w:rtl w:val="0"/>
        </w:rPr>
        <w:t xml:space="preserve">“...extracts are potential alternative stains...” (Lexical Adjective - Epistemic Caution)</w:t>
      </w:r>
      <w:r>
        <w:rPr>
          <w:rtl w:val="0"/>
          <w:sz w:val="24"/>
          <w:szCs w:val="24"/>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4"/>
          <w:szCs w:val="24"/>
          <w:rtl w:val="0"/>
        </w:rPr>
        <w:t xml:space="preserve">Excluded: </w:t>
      </w:r>
      <w:r>
        <w:rPr>
          <w:rFonts w:ascii="Georgia" w:cs="Georgia" w:eastAsia="Georgia" w:hAnsi="Georgia"/>
          <w:b w:val="0"/>
          <w:bCs w:val="0"/>
          <w:i w:val="0"/>
          <w:iCs w:val="0"/>
          <w:sz w:val="24"/>
          <w:szCs w:val="24"/>
          <w:rtl w:val="0"/>
        </w:rPr>
        <w:t xml:space="preserve">“approximately two and one-half” (Procedural measurement, not epistemic).</w:t>
      </w:r>
      <w:r>
        <w:rPr>
          <w:rtl w:val="0"/>
          <w:sz w:val="24"/>
          <w:szCs w:val="24"/>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sz w:val="24"/>
          <w:szCs w:val="24"/>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4"/>
          <w:szCs w:val="24"/>
          <w:rtl w:val="0"/>
        </w:rPr>
        <w:t xml:space="preserve">Key Excerpt: </w:t>
      </w:r>
      <w:r>
        <w:rPr>
          <w:rFonts w:ascii="Georgia" w:cs="Georgia" w:eastAsia="Georgia" w:hAnsi="Georgia"/>
          <w:b w:val="0"/>
          <w:bCs w:val="0"/>
          <w:i w:val="0"/>
          <w:iCs w:val="0"/>
          <w:sz w:val="24"/>
          <w:szCs w:val="24"/>
          <w:rtl w:val="0"/>
        </w:rPr>
        <w:t xml:space="preserve">“Results of the study showed that Comparison on Curing Methods…”</w:t>
      </w:r>
      <w:r>
        <w:rPr>
          <w:rtl w:val="0"/>
          <w:sz w:val="24"/>
          <w:szCs w:val="24"/>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sz w:val="24"/>
          <w:szCs w:val="24"/>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4"/>
          <w:szCs w:val="24"/>
          <w:rtl w:val="0"/>
        </w:rPr>
        <w:t xml:space="preserve">General observation from the pilot</w:t>
      </w:r>
      <w:r>
        <w:rPr>
          <w:rtl w:val="0"/>
          <w:sz w:val="24"/>
          <w:szCs w:val="24"/>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8"/>
          <w:szCs w:val="28"/>
          <w:rtl w:val="0"/>
        </w:rPr>
        <w:t xml:space="preserve">APPENDIX C: CODED CORPUS WITH HIGHLIGHTS</w:t>
      </w:r>
      <w:r>
        <w:rPr>
          <w:rtl w:val="0"/>
          <w:sz w:val="28"/>
          <w:szCs w:val="28"/>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i w:val="0"/>
          <w:sz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DO = brown). Discourse connectors (Hence/Thus) are tagged </w:t>
      </w:r>
      <w:r>
        <w:rPr>
          <w:rFonts w:ascii="Georgia" w:hAnsi="Georgia" w:cs="Georgia" w:eastAsia="Georgia"/>
          <w:b w:val="0"/>
          <w:i w:val="0"/>
          <w:sz w:val="22"/>
          <w:color w:val="000000"/>
        </w:rPr>
        <w:t>(DO)</w:t>
      </w:r>
      <w:r>
        <w:rPr>
          <w:rFonts w:ascii="Georgia" w:hAnsi="Georgia" w:cs="Georgia" w:eastAsia="Georgia"/>
          <w:b w:val="0"/>
          <w:i w:val="0"/>
          <w:sz w:val="22"/>
        </w:rPr>
        <w:t xml:space="preserve"> even when not hedges. Function labels in this appendix are only EC, P, and DO. False positives = strikethrough + reason code in grey (e.g. FP-Rec = recommendation, not a function). Unhedged assertions = grey highlight + [G]/[C] bracket (warranted-but-absent caution only).</w:t>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4"/>
          <w:szCs w:val="24"/>
          <w:rtl w:val="0"/>
          <w:b/>
          <w:bCs/>
        </w:rPr>
        <w:t>Biology (B1–B20)</w:t>
      </w:r>
      <w:r>
        <w:rPr>
          <w:rtl w:val="0"/>
          <w:sz w:val="24"/>
          <w:szCs w:val="24"/>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sz w:val="24"/>
          <w:szCs w:val="24"/>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sz w:val="24"/>
          <w:szCs w:val="24"/>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sz w:val="24"/>
          <w:szCs w:val="24"/>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sz w:val="24"/>
          <w:szCs w:val="24"/>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sz w:val="24"/>
          <w:szCs w:val="24"/>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sz w:val="24"/>
          <w:szCs w:val="24"/>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in the optimization process, varying ratios of UCO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further research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sz w:val="24"/>
          <w:szCs w:val="24"/>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sz w:val="24"/>
          <w:szCs w:val="24"/>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sz w:val="24"/>
          <w:szCs w:val="24"/>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shd w:val="clear" w:fill="BFBFBF"/>
          <w:color w:val="000000"/>
        </w:rPr>
        <w:t>caused</w:t>
      </w:r>
      <w:r>
        <w:rPr>
          <w:rFonts w:ascii="Georgia" w:hAnsi="Georgia" w:cs="Georgia" w:eastAsia="Georgia"/>
          <w:sz w:val="22"/>
          <w:szCs w:val="22"/>
          <w:b w:val="0"/>
          <w:bCs w:val="0"/>
          <w:strike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sz w:val="24"/>
          <w:szCs w:val="24"/>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sz w:val="24"/>
          <w:szCs w:val="24"/>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shd w:val="clear" w:fill="BFBFBF"/>
          <w:color w:val="000000"/>
        </w:rPr>
        <w:t>provides</w:t>
      </w:r>
      <w:r>
        <w:rPr>
          <w:rFonts w:ascii="Georgia" w:hAnsi="Georgia" w:cs="Georgia" w:eastAsia="Georgia"/>
          <w:sz w:val="22"/>
          <w:szCs w:val="22"/>
          <w:b w:val="0"/>
          <w:bCs w:val="0"/>
          <w:strike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sz w:val="24"/>
          <w:szCs w:val="24"/>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Antimicrobial resistance is a major threat to public health worldwide, making infections difficult to treat. This problem calls for developing novel and alternative strategies to attenuate microorganisms without inducing resistance.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sz w:val="24"/>
          <w:szCs w:val="24"/>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sz w:val="24"/>
          <w:szCs w:val="24"/>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sz w:val="24"/>
          <w:szCs w:val="24"/>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sz w:val="24"/>
          <w:szCs w:val="24"/>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sz w:val="24"/>
          <w:szCs w:val="24"/>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sz w:val="24"/>
          <w:szCs w:val="24"/>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sz w:val="24"/>
          <w:szCs w:val="24"/>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local government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sz w:val="24"/>
          <w:szCs w:val="24"/>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4"/>
          <w:szCs w:val="24"/>
          <w:rtl w:val="0"/>
          <w:b/>
          <w:bCs/>
        </w:rPr>
        <w:t>Veterinary Medicine (VM1–VM20)</w:t>
      </w:r>
      <w:r>
        <w:rPr>
          <w:rtl w:val="0"/>
          <w:sz w:val="24"/>
          <w:szCs w:val="24"/>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sz w:val="24"/>
          <w:szCs w:val="24"/>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sz w:val="24"/>
          <w:szCs w:val="24"/>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sz w:val="24"/>
          <w:szCs w:val="24"/>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[C]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rFonts w:ascii="Georgia" w:hAnsi="Georgia" w:cs="Georgia" w:eastAsia="Georgia"/>
          <w:sz w:val="22"/>
          <w:szCs w:val="22"/>
          <w:b w:val="0"/>
          <w:bCs w:val="0"/>
          <w:color w:val="000000"/>
          <w:strike w:val="1"/>
        </w:rPr>
        <w:t>suggests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sz w:val="24"/>
          <w:szCs w:val="24"/>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sz w:val="24"/>
          <w:szCs w:val="24"/>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sz w:val="24"/>
          <w:szCs w:val="24"/>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sz w:val="24"/>
          <w:szCs w:val="24"/>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sz w:val="24"/>
          <w:szCs w:val="24"/>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sz w:val="24"/>
          <w:szCs w:val="24"/>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sz w:val="24"/>
          <w:szCs w:val="24"/>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shd w:val="clear" w:fill="BFBFBF"/>
          <w:color w:val="000000"/>
        </w:rPr>
        <w:t>were</w:t>
      </w:r>
      <w:r>
        <w:rPr>
          <w:rFonts w:ascii="Georgia" w:hAnsi="Georgia" w:cs="Georgia" w:eastAsia="Georgia"/>
          <w:sz w:val="22"/>
          <w:szCs w:val="22"/>
          <w:b w:val="0"/>
          <w:bCs w:val="0"/>
          <w:strike w:val="0"/>
          <w:color w:val="000000"/>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sz w:val="24"/>
          <w:szCs w:val="24"/>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sz w:val="24"/>
          <w:szCs w:val="24"/>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sz w:val="24"/>
          <w:szCs w:val="24"/>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sz w:val="24"/>
          <w:szCs w:val="24"/>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sz w:val="24"/>
          <w:szCs w:val="24"/>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sz w:val="24"/>
          <w:szCs w:val="24"/>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shd w:val="clear" w:fill="BFBFBF"/>
          <w:color w:val="000000"/>
        </w:rPr>
        <w:t>has</w:t>
      </w:r>
      <w:r>
        <w:rPr>
          <w:rFonts w:ascii="Georgia" w:hAnsi="Georgia" w:cs="Georgia" w:eastAsia="Georgia"/>
          <w:sz w:val="22"/>
          <w:szCs w:val="22"/>
          <w:b w:val="0"/>
          <w:bCs w:val="0"/>
          <w:strike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sz w:val="24"/>
          <w:szCs w:val="24"/>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sz w:val="24"/>
          <w:szCs w:val="24"/>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sz w:val="24"/>
          <w:szCs w:val="24"/>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sz w:val="24"/>
          <w:szCs w:val="24"/>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Crop Science (Acs1–Acs10)</w:t>
      </w:r>
      <w:r>
        <w:rPr>
          <w:rtl w:val="0"/>
          <w:sz w:val="24"/>
          <w:szCs w:val="24"/>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sz w:val="24"/>
          <w:szCs w:val="24"/>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sz w:val="24"/>
          <w:szCs w:val="24"/>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sz w:val="24"/>
          <w:szCs w:val="24"/>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sz w:val="24"/>
          <w:szCs w:val="24"/>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sz w:val="24"/>
          <w:szCs w:val="24"/>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sz w:val="24"/>
          <w:szCs w:val="24"/>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sz w:val="24"/>
          <w:szCs w:val="24"/>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sz w:val="24"/>
          <w:szCs w:val="24"/>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trike w:val="0"/>
          <w:shd w:val="clear" w:fill="BFBFBF"/>
          <w:color w:val="000000"/>
        </w:rPr>
        <w:t>influenced</w:t>
      </w:r>
      <w:r>
        <w:rPr>
          <w:rFonts w:ascii="Georgia" w:hAnsi="Georgia" w:cs="Georgia" w:eastAsia="Georgia"/>
          <w:sz w:val="22"/>
          <w:szCs w:val="22"/>
          <w:b w:val="0"/>
          <w:bCs w:val="0"/>
          <w:strike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color w:val="000000"/>
          <w:strike w:val="1"/>
        </w:rPr>
        <w:t>recommends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sz w:val="24"/>
          <w:szCs w:val="24"/>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sz w:val="24"/>
          <w:szCs w:val="24"/>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Animal Science (Aas1–Aas10)</w:t>
      </w:r>
      <w:r>
        <w:rPr>
          <w:rtl w:val="0"/>
          <w:sz w:val="24"/>
          <w:szCs w:val="24"/>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sz w:val="24"/>
          <w:szCs w:val="24"/>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sz w:val="24"/>
          <w:szCs w:val="24"/>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shd w:val="clear" w:fill="BFBFBF"/>
          <w:color w:val="000000"/>
        </w:rPr>
        <w:t>had</w:t>
      </w:r>
      <w:r>
        <w:rPr>
          <w:rFonts w:ascii="Georgia" w:hAnsi="Georgia" w:cs="Georgia" w:eastAsia="Georgia"/>
          <w:sz w:val="22"/>
          <w:szCs w:val="22"/>
          <w:b w:val="0"/>
          <w:bCs w:val="0"/>
          <w:strike w:val="0"/>
          <w:color w:val="000000"/>
        </w:rPr>
        <w:t xml:space="preserve"> [C] the biggest impact, resulting in the heaviest weight. Additionally, the total return result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sz w:val="24"/>
          <w:szCs w:val="24"/>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sz w:val="24"/>
          <w:szCs w:val="24"/>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sz w:val="24"/>
          <w:szCs w:val="24"/>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sz w:val="24"/>
          <w:szCs w:val="24"/>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sz w:val="24"/>
          <w:szCs w:val="24"/>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sz w:val="24"/>
          <w:szCs w:val="24"/>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sz w:val="24"/>
          <w:szCs w:val="24"/>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sz w:val="24"/>
          <w:szCs w:val="24"/>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