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 sites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Unhedged-site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a claim where caution was warranted but absent. The subtype tag [G] or [C] is placed immediately after that verb, in the same way function labels such as (EC) sit beside hedge tokens. The full clause is recorded in the coding sheet. Layer 3 does not mark every claim without a hedge. It marks only sites where a hedge was appropriate: generalizations beyond the data [G], and causal or evaluative claims stronger than the design or results support [C]. Bare trial results and measured findings are not markable, even if a hedge could be inserted without changing the facts. Procedural statements are never markable. Example: “The treatment was [G] the most compelling among all treatments” is markable; “Mean yield was higher in T3 (p &lt; .05)” is not.</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used under the warranted-caution rule. Bare findings (means, significance, presence/absence) are appropriate without hedges and are not marked.</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 routine results reporting does not require a hedge.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“T3 was the most compelling treatment” (markable [G]) vs “Yield was higher in T3 (p &lt; .05)” (not markable).</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highlight marks the main certainty-bearing verb; [G] or [C] is written beside that verb (same placement pattern as (EC) on hedges). Only warranted-but-absent caution is marked. Bare trial results are not.</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