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b w:val="1"/>
          <w:bCs w:val="1"/>
          <w:rtl w:val="0"/>
        </w:rPr>
        <w:t>For writing instructors and thesis advisers at PSAU, the study provides an empirical baseline of how uncertainty is managed in the ratified abstracts of three applied life sciences programs. That baseline can support more targeted feedback than generic advice to “be cautious.”</w:t>
      </w:r>
      <w:r>
        <w:rPr>
          <w:b w:val="0"/>
          <w:bCs w:val="0"/>
          <w:rtl w:val="0"/>
        </w:rPr>
        <w:t/>
      </w:r>
      <w:r>
        <w:rPr>
          <w:rtl w:val="0"/>
        </w:rPr>
      </w:r>
    </w:p>
    <w:p w:rsidR="00000000" w:rsidDel="00000000" w:rsidP="00000000" w:rsidRDefault="00000000" w:rsidRPr="00000000" w14:paraId="00000058">
      <w:pPr>
        <w:spacing w:before="0" w:after="0" w:line="480" w:lineRule="auto"/>
        <w:ind w:firstLine="720"/>
        <w:jc w:val="both"/>
        <w:rPr/>
      </w:pPr>
      <w:r>
        <w:rPr>
          <w:b w:val="1"/>
          <w:bCs w:val="1"/>
          <w:rtl w:val="0"/>
        </w:rPr>
        <w:t xml:space="preserve">For academic writing researchers,</w:t>
      </w:r>
      <w:r>
        <w:rPr>
          <w:b w:val="0"/>
          <w:bCs w:val="0"/>
          <w:rtl w:val="0"/>
        </w:rPr>
        <w:t xml:space="preserve"> it adds Philippine applied-science abstract data to a body of work that has drawn mainly from other regional and disciplinary settings.</w:t>
      </w:r>
      <w:r>
        <w:rPr>
          <w:rtl w:val="0"/>
        </w:rPr>
      </w:r>
    </w:p>
    <w:p w:rsidR="00000000" w:rsidDel="00000000" w:rsidP="00000000" w:rsidRDefault="00000000" w:rsidRPr="00000000" w14:paraId="00000059">
      <w:pPr>
        <w:spacing w:before="0" w:after="0" w:line="480" w:lineRule="auto"/>
        <w:ind w:firstLine="720"/>
        <w:jc w:val="both"/>
        <w:rPr/>
      </w:pPr>
      <w:r>
        <w:rPr>
          <w:b w:val="1"/>
          <w:bCs w:val="1"/>
          <w:rtl w:val="0"/>
        </w:rPr>
        <w:t xml:space="preserve">For the BAELS program,</w:t>
      </w:r>
      <w:r>
        <w:rPr>
          <w:b w:val="0"/>
          <w:bCs w:val="0"/>
          <w:rtl w:val="0"/>
        </w:rPr>
        <w:t xml:space="preserve"> it shows that corpus-assisted discourse analysis is a viable undergraduate thesis methodology and yields findings usable in local writing pedagogy.</w:t>
      </w:r>
      <w:r>
        <w:rPr>
          <w:rtl w:val="0"/>
        </w:rPr>
      </w:r>
    </w:p>
    <w:p w:rsidR="00000000" w:rsidDel="00000000" w:rsidP="00000000" w:rsidRDefault="00000000" w:rsidRPr="00000000" w14:paraId="0000005A">
      <w:pPr>
        <w:spacing w:before="0" w:after="0" w:line="480" w:lineRule="auto"/>
        <w:ind w:firstLine="720"/>
        <w:jc w:val="both"/>
        <w:rPr/>
      </w:pPr>
      <w:r>
        <w:rPr>
          <w:b w:val="1"/>
          <w:bCs w:val="1"/>
          <w:rtl w:val="0"/>
        </w:rPr>
        <w:t xml:space="preserve">For future researchers,</w:t>
      </w:r>
      <w:r>
        <w:rPr>
          <w:b w:val="0"/>
          <w:bCs w:val="0"/>
          <w:rtl w:val="0"/>
        </w:rPr>
        <w:t xml:space="preserve"> the sampling design, coding decision rules, and false-positive log offer a replicable protocol for similar corpus studies.</w:t>
      </w:r>
      <w:r>
        <w:rPr>
          <w:rtl w:val="0"/>
        </w:rPr>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Table 1 reports sub-program sample sizes (Crop Science n=10, Animal Science n=10), not hedge counts. No separate inferential comparison between sub-programs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This sample size is consistent with comparable corpus-assisted discourse studies at the undergraduate level. Khunasathitchai et al. (2025) analyzed 60 abstracts. Wang (2022) examined a much larger multi-field student corpus (829 papers across 16 fields); the present study does not claim comparable scale or design.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sample and the likelihood of zero inflation. Frequency results are reported in the Results chapter.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The Philippine higher education context is relevant because English is the official medium of academic writing instruction at PSAU despite being a second language for most of the population. Hedging is rarely treated as a distinct rhetorical skill in many Philippine undergraduate writing courses,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cs="Georgia" w:eastAsia="Georgia" w:hAnsi="Georgia"/>
          <w:b w:val="1"/>
          <w:bCs w:val="1"/>
          <w:i w:val="0"/>
          <w:iCs w:val="0"/>
          <w:sz w:val="22"/>
          <w:szCs w:val="22"/>
          <w:rtl w:val="0"/>
        </w:rPr>
        <w:t xml:space="preserve">a. Requesting Permission. </w:t>
      </w:r>
      <w:r>
        <w:rPr>
          <w:rFonts w:ascii="Georgia" w:cs="Georgia" w:eastAsia="Georgia" w:hAnsi="Georgia"/>
          <w:b w:val="0"/>
          <w:bCs w:val="0"/>
          <w:i w:val="0"/>
          <w:iCs w:val="0"/>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cs="Georgia" w:eastAsia="Georgia" w:hAnsi="Georgia"/>
          <w:b w:val="1"/>
          <w:bCs w:val="1"/>
          <w:i w:val="0"/>
          <w:iCs w:val="0"/>
          <w:sz w:val="22"/>
          <w:szCs w:val="22"/>
          <w:rtl w:val="0"/>
        </w:rPr>
        <w:t xml:space="preserve">b. Corpus Construction. </w:t>
      </w:r>
      <w:r>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cs="Georgia" w:eastAsia="Georgia" w:hAnsi="Georgia"/>
          <w:b w:val="1"/>
          <w:bCs w:val="1"/>
          <w:i w:val="0"/>
          <w:iCs w:val="0"/>
          <w:sz w:val="22"/>
          <w:szCs w:val="22"/>
          <w:rtl w:val="0"/>
        </w:rPr>
        <w:t xml:space="preserve">c. Text Extraction. </w:t>
      </w:r>
      <w:r>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cs="Georgia" w:eastAsia="Georgia" w:hAnsi="Georgia"/>
          <w:b w:val="1"/>
          <w:bCs w:val="1"/>
          <w:i w:val="0"/>
          <w:iCs w:val="0"/>
          <w:sz w:val="22"/>
          <w:szCs w:val="22"/>
          <w:rtl w:val="0"/>
        </w:rPr>
        <w:t xml:space="preserve">d. Pilot Testing and Reliability Checking. </w:t>
      </w:r>
      <w:r>
        <w:rPr>
          <w:rFonts w:ascii="Georgia" w:cs="Georgia" w:eastAsia="Georgia" w:hAnsi="Georgia"/>
          <w:b w:val="0"/>
          <w:bCs w:val="0"/>
          <w:i w:val="0"/>
          <w:iCs w:val="0"/>
          <w:sz w:val="22"/>
          <w:szCs w:val="22"/>
          <w:rtl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cs="Georgia" w:eastAsia="Georgia" w:hAnsi="Georgia"/>
          <w:b w:val="1"/>
          <w:bCs w:val="1"/>
          <w:i w:val="0"/>
          <w:iCs w:val="0"/>
          <w:sz w:val="22"/>
          <w:szCs w:val="22"/>
          <w:rtl w:val="0"/>
        </w:rPr>
        <w:t xml:space="preserve">e. Data Analysis. </w:t>
      </w:r>
      <w:r>
        <w:rPr>
          <w:rFonts w:ascii="Georgia" w:cs="Georgia" w:eastAsia="Georgia" w:hAnsi="Georgia"/>
          <w:b w:val="0"/>
          <w:bCs w:val="0"/>
          <w:i w:val="0"/>
          <w:iCs w:val="0"/>
          <w:sz w:val="22"/>
          <w:szCs w:val="22"/>
          <w:rtl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(8 hedges) uses a repeated frame twice with light variation. The writer reports that statistical significance was not observed, then hedges that the treatment could still offer potential benefits—a null-result rescue pattern examined further in Part IV. Acs2 is retained in all counts; sensitivity checks that exclude it are reported separately where the Agriculture–Biology ranking is discussed.</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both"/>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1"/>
          <w:bCs w:val="1"/>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1"/>
          <w:bCs w:val="1"/>
          <w:i w:val="0"/>
          <w:iCs w:val="0"/>
          <w:sz w:val="22"/>
          <w:szCs w:val="22"/>
          <w:rtl w:val="0"/>
        </w:rPr>
        <w:t xml:space="preserve">Exclusion Criteria. </w:t>
      </w:r>
      <w:r>
        <w:rPr>
          <w:rFonts w:ascii="Georgia" w:cs="Georgia" w:eastAsia="Georgia" w:hAnsi="Georgia"/>
          <w:b w:val="0"/>
          <w:bCs w:val="0"/>
          <w:i w:val="0"/>
          <w:iCs w:val="0"/>
          <w:sz w:val="22"/>
          <w:szCs w:val="22"/>
          <w:rtl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Times New Roman" w:cs="Times New Roman" w:eastAsia="Georgia" w:hAnsi="Times New Roman"/>
          <w:b w:val="0"/>
          <w:bCs w:val="1"/>
          <w:i w:val="0"/>
          <w:iCs w:val="0"/>
          <w:sz w:val="22"/>
          <w:szCs w:val="22"/>
          <w:rtl w:val="0"/>
        </w:rPr>
        <w:t>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both"/>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included “suggests” (7), “suggest” (3), “suggesting”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for 4.</w:t>
      </w:r>
      <w:r>
        <w:rPr>
          <w:rtl w:val="0"/>
        </w:rPr>
      </w:r>
    </w:p>
    <w:p w:rsidR="00000000" w:rsidDel="00000000" w:rsidP="00000000" w:rsidRDefault="00000000" w:rsidRPr="00000000" w14:paraId="000000E3">
      <w:pPr>
        <w:spacing w:before="0" w:after="0" w:line="480" w:lineRule="auto"/>
        <w:ind w:firstLine="720"/>
        <w:jc w:val="both"/>
        <w:rPr/>
      </w:pPr>
      <w:r>
        <w:rPr>
          <w:rFonts w:ascii="Times New Roman" w:cs="Times New Roman" w:eastAsia="Georgia" w:hAnsi="Times New Roman"/>
          <w:b w:val="0"/>
          <w:bCs w:val="0"/>
          <w:i w:val="0"/>
          <w:iCs w:val="0"/>
          <w:sz w:val="22"/>
          <w:szCs w:val="22"/>
          <w:rtl w:val="0"/>
        </w:rPr>
        <w:t>The distribution of hedge types shows cross-disciplinary differences, most clearly in Veterinary Medicine’s small total and low modal share. Table 3 presents the per-discipline breakdown of hedge types.</w:t>
      </w:r>
      <w:r>
        <w:rPr>
          <w:rtl w:val="0"/>
        </w:rPr>
      </w:r>
    </w:p>
    <w:p>
      <w:pPr>
        <w:keepNext w:val="1"/>
        <w:keepLines w:val="1"/>
        <w:spacing w:before="720" w:after="0" w:line="480" w:lineRule="auto"/>
        <w:jc w:val="center"/>
      </w:pPr>
      <w:r>
        <w:rPr>
          <w:rFonts w:ascii="Georgia" w:hAnsi="Georgia"/>
          <w:b/>
          <w:sz w:val="24"/>
        </w:rPr>
        <w:t>Table 3</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Times New Roman" w:cs="Times New Roman" w:eastAsia="Georgia" w:hAnsi="Times New Roman"/>
          <w:b w:val="0"/>
          <w:bCs w:val="0"/>
          <w:i w:val="0"/>
          <w:iCs w:val="0"/>
          <w:sz w:val="22"/>
          <w:szCs w:val="22"/>
          <w:rtl w:val="0"/>
        </w:rPr>
        <w:t>Table 3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Times New Roman" w:cs="Times New Roman" w:eastAsia="Georgia" w:hAnsi="Times New Roman"/>
          <w:b w:val="0"/>
          <w:bCs w:val="0"/>
          <w:i w:val="0"/>
          <w:iCs w:val="0"/>
          <w:sz w:val="22"/>
          <w:szCs w:val="22"/>
          <w:rtl w:val="0"/>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4’s Unhedged sites column reports the corpus-wide total of 37.) These sites represent clauses where a hedge could have been inserted without changing the underlying facts, but no hedge was used.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Times New Roman" w:cs="Times New Roman" w:eastAsia="Georgia" w:hAnsi="Times New Roman"/>
          <w:b w:val="0"/>
          <w:bCs w:val="0"/>
          <w:i w:val="0"/>
          <w:iCs w:val="0"/>
          <w:sz w:val="22"/>
          <w:szCs w:val="22"/>
          <w:rtl w:val="0"/>
        </w:rPr>
        <w:t>Cross-disciplinary comparison shows differences in hedge density, driven mainly by Veterinary Medicine’s lower rate. Table 4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4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ungsuh" w:cs="Gungsuh" w:eastAsia="Gungsuh" w:hAnsi="Gungsuh"/>
          <w:b w:val="0"/>
          <w:bCs w:val="0"/>
          <w:i w:val="0"/>
          <w:iCs w:val="0"/>
          <w:sz w:val="22"/>
          <w:szCs w:val="22"/>
          <w:rtl w:val="0"/>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counts yielded H ≈ 6.84, p = .033. The test was run on raw counts rather than per-100-word rates; abstract lengths vary, so rate-based comparison would be preferable. Kruskal-Wallis also assumes independent observations; abstracts within a program may be clustered by adviser, so discipline is partly confounded with adviser pool. No post-hoc or planned contrast (Veterinary Medicine versus the other two) was performed, even though the narrative focus is the Veterinary Medicine contrast. Within-discipline spread (0–8 hedges per abstract) is also larger than the gaps between discipline means. Given the small sample, zero-inflation, possible clustering, and no multiple-comparison correction, this result is treated as exploratory rather than as confirmatory evidence of a field-level difference. With only 65 tokens across three groups and no correction for multiple tests, the p-values are fragile.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Medicine's low density is more difficult to interpret. Many VM abstracts in this corpus reported clinical findings from animal studies (e.g., drug efficacy trials, disease detection, hematological profiling). Outcome-type coding across the full corpus (Part IV; the coding spreadsheet) does not support explaining that low density by binary outcomes alone: Biology abstracts with binary results still hedge more than VM binary abstracts. The low rate is better treated as a VM pattern in this institutional corpus—consistent with departmental or supervisory practice, outcome mix, or both—rather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Under the Working Test, only tokens that produced an epistemic effect were retained as hedges. As a direct consequence of that screen, all 65 retained tokens were coded Epistemic Caution (EC). No instances of Politeness/Deference (P) or Discourse Organization (DO) were identified among coded hedges. Discourse connectors such as Hence, Thus, Therefore, and In conclusion appear in the corpus and are tagged (DO) in Appendix C; they organize research moves but do not qualify claims, so they are not counted as hedges. No politeness/deference devices were found. Table 5 presents the function distribution among tokens coded as hedges.</w:t>
      </w:r>
      <w:r>
        <w:rPr>
          <w:rFonts w:ascii="Georgia" w:cs="Georgia" w:eastAsia="Georgia" w:hAnsi="Georgia"/>
          <w:b w:val="0"/>
          <w:bCs w:val="0"/>
          <w:i w:val="0"/>
          <w:iCs w:val="0"/>
          <w:sz w:val="22"/>
          <w:szCs w:val="22"/>
          <w:rtl w:val="0"/>
          <w:color w:val="00B0F0"/>
        </w:rPr>
        <w:t/>
      </w:r>
      <w:r>
        <w:rPr>
          <w:rFonts w:ascii="Georgia" w:cs="Georgia" w:eastAsia="Georgia" w:hAnsi="Georgia"/>
          <w:b w:val="0"/>
          <w:bCs w:val="0"/>
          <w:i w:val="0"/>
          <w:iCs w:val="0"/>
          <w:sz w:val="22"/>
          <w:szCs w:val="22"/>
          <w:rtl w:val="0"/>
        </w:rPr>
        <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both"/>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Times New Roman" w:hAnsi="Times New Roman" w:cs="Times New Roman"/>
          <w:b w:val="0"/>
          <w:sz w:val="22"/>
          <w:rtl w:val="0"/>
        </w:rPr>
        <w:t>The uniform assignment may reflect a restricted repertoire, the compressed abstract genre, the coding scheme, or single-rater interpretation; that limitation is noted in Scope. The narrow functional range is consistent with the restricted set of epistemic devices reported for developing L2 writers (Hyland &amp; Milton, 1997), though in this corpus genre compression and supervisory practice remain the more proximate accounts.</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ungsuh" w:cs="Gungsuh" w:eastAsia="Gungsuh" w:hAnsi="Gungsuh"/>
          <w:rtl w:val="0"/>
        </w:rPr>
        <w:t>Parts I through III map frequency, function, and cross-disciplinary density. The contrasts below are exploratory descriptions of what was observed here, not stable discipline-level characteristics. As reported in Part II, the Kruskal-Wallis test reached p = .033 and the chi-square on zero-hedge rates was p = .079. Generalization beyond this corpus is not warranted. The patterns are read through Salager-Meyer’s (1994) claim-responsibility framework and Hyland’s (2005) stance model.</w:t>
      </w:r>
    </w:p>
    <w:p>
      <w:pPr>
        <w:keepNext w:val="1"/>
        <w:keepLines w:val="1"/>
        <w:spacing w:before="720" w:after="0" w:line="480" w:lineRule="auto"/>
        <w:jc w:val="center"/>
      </w:pPr>
      <w:r>
        <w:rPr>
          <w:rFonts w:ascii="Georgia" w:hAnsi="Georgia" w:cs="Georgia" w:eastAsia="Georgia"/>
          <w:b w:val="1"/>
          <w:bCs w:val="1"/>
          <w:sz w:val="24"/>
          <w:szCs w:val="24"/>
        </w:rPr>
        <w:t xml:space="preserve">Table 6</w:t>
      </w:r>
    </w:p>
    <w:p>
      <w:pPr>
        <w:spacing w:before="0" w:after="60" w:line="480" w:lineRule="auto"/>
        <w:jc w:val="center"/>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val="1"/>
          <w:tblHeader w:val="1"/>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val="1"/>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val="1"/>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val="1"/>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val="1"/>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val="1"/>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val="1"/>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Times New Roman" w:hAnsi="Times New Roman" w:cs="Times New Roman"/>
          <w:b w:val="0"/>
          <w:sz w:val="22"/>
          <w:rtl w:val="0"/>
        </w:rPr>
        <w:t>Outcome type was coded for all 60 abstracts under five categories (Binary, Continuous, Mixed, Null/NS, Other). Coding used the abstract’s own results language: presence/absence or diagnostic positive/negative counts as Binary; explicit non-significance as Null/NS; means, yields, and rates as Continuous; combinations as Mixed. Table 6 shows the distribution.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More consequential is the Null/NS concentration: Agriculture accounts for 14 of 21 Null/NS abstracts, against 2 of 20 in Veterinary Medicine. Those Agriculture Null/NS texts average about 1.5 hedges. Acs2 shows the pattern in concrete form—the writer reports that statistical significance was not observed, then hedges that the treatment could still offer potential benefits. That is hedging used to soften or rescue a non-significant result, the exact overclaiming risk the introduction identifies. One abstract cannot establish a rule, but the concentration of Null/NS outcomes in Agriculture and the explicit rescue framing in Acs2 form a clearer, more thematically central observation than the disciplinary density ranking alone. With small cells, both the VM reading and the Null/NS share remain suggestive.</w:t>
      </w:r>
    </w:p>
    <w:p w:rsidR="00000000" w:rsidDel="00000000" w:rsidP="00000000" w:rsidRDefault="00000000" w:rsidRPr="00000000" w14:paraId="00000165">
      <w:pPr>
        <w:spacing w:before="0" w:after="0" w:line="480" w:lineRule="auto"/>
        <w:ind w:firstLine="720"/>
        <w:jc w:val="both"/>
        <w:rPr/>
      </w:pPr>
      <w:r>
        <w:rPr>
          <w:rFonts w:ascii="Georgia" w:cs="Georgia" w:eastAsia="Georgia" w:hAnsi="Georgia"/>
          <w:b w:val="0"/>
          <w:bCs w:val="0"/>
          <w:i w:val="0"/>
          <w:iCs w:val="0"/>
          <w:sz w:val="22"/>
          <w:szCs w:val="22"/>
          <w:rtl w:val="0"/>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tl w:val="0"/>
        </w:rPr>
      </w:r>
    </w:p>
    <w:p w:rsidR="00000000" w:rsidDel="00000000" w:rsidP="00000000" w:rsidRDefault="00000000" w:rsidRPr="00000000" w14:paraId="00000166">
      <w:pPr>
        <w:spacing w:before="0" w:after="0" w:line="480" w:lineRule="auto"/>
        <w:ind w:firstLine="720"/>
        <w:jc w:val="both"/>
        <w:rPr/>
      </w:pPr>
      <w:r>
        <w:rPr>
          <w:rFonts w:ascii="Georgia" w:cs="Georgia" w:eastAsia="Georgia" w:hAnsi="Georgia"/>
          <w:b w:val="0"/>
          <w:bCs w:val="0"/>
          <w:i w:val="0"/>
          <w:iCs w:val="0"/>
          <w:sz w:val="22"/>
          <w:szCs w:val="22"/>
          <w:rtl w:val="0"/>
        </w:rPr>
        <w:t>As noted in Scope, the study cannot separate genuine field norms from adviser-enforced conventions; the findings describe the ratified abstracts, not individual cognition.</w:t>
      </w:r>
      <w:r>
        <w:rPr>
          <w:rtl w:val="0"/>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ungsuh" w:cs="Gungsuh" w:eastAsia="Gungsuh" w:hAnsi="Gungsuh"/>
          <w:b w:val="0"/>
          <w:bCs w:val="0"/>
          <w:i w:val="0"/>
          <w:iCs w:val="0"/>
          <w:sz w:val="22"/>
          <w:szCs w:val="22"/>
          <w:rtl w:val="0"/>
        </w:rPr>
        <w:t>Limited evidence of disciplinary differentiation, mainly Veterinary Medicine’s lower density. Agriculture’s edge over Biology is modest and outlier-sensitive. More distinctive is the concentration of Null/NS outcomes in Agriculture (14 of 21) and the rescue-hedging pattern illustrated by Acs2, which links directly to the introduction’s concern with overclaiming. The data cannot separate field norms, adviser practice, and outcome type. Statistical evidence is exploratory (Kruskal-Wallis on raw counts p = .033, no post-hoc, no multiple-comparison correction) and the sample is small. The study provides a local baseline: VM abstracts in this corpus hedge less, and Agriculture shows a suggestive Null/NS–hedging link; the causes remain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Null/NS concentration in Agriculture, the rescue-hedging pattern, and the lower Veterinary Medicine density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or rarely require it, that would align with a supervisory-practice account of the low VM density. Parallel work could also compare how often each discipline writes up non-significant findings, given Agriculture’s high Null/NS share in this corpus and the possibility that null write-ups invite different hedging choices.</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both"/>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both"/>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both"/>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both"/>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both"/>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both"/>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both"/>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rEFLections, 32(2), 951–973.</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90">
      <w:pPr>
        <w:spacing w:before="0" w:after="0" w:line="480" w:lineRule="auto"/>
        <w:ind w:left="720" w:hanging="720"/>
        <w:jc w:val="both"/>
        <w:rPr/>
      </w:pPr>
      <w:r>
        <w:rPr>
          <w:rFonts w:ascii="Georgia" w:cs="Georgia" w:eastAsia="Georgia" w:hAnsi="Georgia"/>
          <w:b w:val="0"/>
          <w:bCs w:val="0"/>
          <w:i w:val="0"/>
          <w:iCs w:val="0"/>
          <w:sz w:val="22"/>
          <w:szCs w:val="22"/>
          <w:rtl w:val="0"/>
        </w:rPr>
        <w:t>https://doi.org/10.61508/refl.v32i2.282512</w:t>
      </w:r>
      <w:r>
        <w:rPr>
          <w:rtl w:val="0"/>
        </w:rPr>
      </w:r>
    </w:p>
    <w:p w:rsidR="00000000" w:rsidDel="00000000" w:rsidP="00000000" w:rsidRDefault="00000000" w:rsidRPr="00000000" w14:paraId="00000192">
      <w:pPr>
        <w:spacing w:before="0" w:after="0" w:line="480" w:lineRule="auto"/>
        <w:ind w:left="720" w:hanging="720"/>
        <w:jc w:val="both"/>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both"/>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both"/>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both"/>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both"/>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both"/>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both"/>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both"/>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both"/>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Next w:val="1"/>
        <w:keepLines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cs="Cardo" w:eastAsia="Cardo" w:hAnsi="Georgia"/>
          <w:sz w:val="24"/>
          <w:szCs w:val="24"/>
          <w:rtl w:val="0"/>
          <w:i/>
          <w:iCs/>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cs="Cardo" w:eastAsia="Cardo" w:hAnsi="Georgia"/>
          <w:sz w:val="24"/>
          <w:szCs w:val="24"/>
          <w:rtl w:val="0"/>
          <w:i/>
          <w:iCs/>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cs="Cardo" w:eastAsia="Cardo" w:hAnsi="Georgia"/>
          <w:sz w:val="24"/>
          <w:szCs w:val="24"/>
          <w:rtl w:val="0"/>
          <w:i/>
          <w:iCs/>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cs="Cardo" w:eastAsia="Cardo" w:hAnsi="Georgia"/>
          <w:sz w:val="24"/>
          <w:szCs w:val="24"/>
          <w:rtl w:val="0"/>
          <w:i/>
          <w:iCs/>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240"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240" w:after="0" w:line="480"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color w:val="000000"/>
        </w:rPr>
        <w:t xml:space="preserve"> that C. longa extracts are </w:t>
      </w:r>
      <w:r>
        <w:rPr>
          <w:highlight w:val="red"/>
          <w:color w:val="ffffff"/>
        </w:rPr>
        <w:t>potential</w:t>
      </w:r>
      <w:r>
        <w:rPr>
          <w:color w:val="000000"/>
        </w:rPr>
        <w:t xml:space="preserve"> </w:t>
      </w:r>
      <w:r>
        <w:rPr>
          <w:color w:val="ed7d31"/>
        </w:rPr>
        <w:t>(EC)</w:t>
      </w:r>
      <w:r>
        <w:rPr>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4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4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4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240" w:after="0" w:line="480"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4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pPr>
        <w:spacing w:line="312" w:lineRule="auto"/>
      </w:pPr>
      <w:r>
        <w:br w:type="page"/>
      </w:r>
    </w:p>
    <w:p w:rsidR="00000000" w:rsidDel="00000000" w:rsidP="00000000" w:rsidRDefault="00000000" w:rsidRPr="00000000" w14:paraId="000001B4">
      <w:pPr>
        <w:keepNext w:val="1"/>
        <w:pageBreakBefore w:val="1"/>
        <w:spacing w:before="240" w:after="0" w:line="48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both"/>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i w:val="1"/>
          <w:iCs w:val="1"/>
          <w:sz w:val="24"/>
          <w:szCs w:val="24"/>
          <w:rtl w:val="0"/>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Caudex" w:cs="Caudex" w:eastAsia="Caudex" w:hAnsi="Caudex"/>
          <w:b w:val="0"/>
          <w:bCs w:val="0"/>
          <w:i w:val="0"/>
          <w:iCs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ungsuh" w:cs="Gungsuh" w:eastAsia="Gungsuh" w:hAnsi="Gungsuh"/>
          <w:b w:val="0"/>
          <w:bCs w:val="0"/>
          <w:i w:val="0"/>
          <w:iCs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would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cs="Georgia" w:eastAsia="Georgia" w:hAnsi="Georgia"/>
          <w:b w:val="1"/>
          <w:bCs w:val="1"/>
          <w:strike w:val="0"/>
          <w:color w:val="000000"/>
          <w:sz w:val="22"/>
          <w:szCs w:val="22"/>
          <w:shd w:fill="bfbfbf" w:val="clear"/>
          <w:rtl w:val="0"/>
        </w:rPr>
        <w:t xml:space="preserve">revealed that the eco-bricks from all treatments were significantly damaged at the height of one meter, making them a weak, unsuitable material to use in building walkways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This study is essential for getting insights into eco-brick manufacture because the workability of SUPs and UCOs as raw materials is proven. </w:t>
      </w:r>
      <w:r>
        <w:rPr>
          <w:rFonts w:ascii="Georgia" w:cs="Georgia" w:eastAsia="Georgia" w:hAnsi="Georgia"/>
          <w:b w:val="1"/>
          <w:bCs w:val="1"/>
          <w:strike w:val="0"/>
          <w:color w:val="000000"/>
          <w:sz w:val="22"/>
          <w:szCs w:val="22"/>
          <w:shd w:fill="bfbfbf" w:val="clear"/>
          <w:rtl w:val="0"/>
        </w:rPr>
        <w:t xml:space="preserve">The research findings do not apply to buildings</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further research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aid in underlining the importance of optimizing the ingredient ratios to acquire desirable quality eco-bricks for sustainable construction applications.</w:t>
      </w:r>
      <w:r>
        <w:rPr>
          <w:rtl w:val="0"/>
        </w:rPr>
      </w:r>
    </w:p>
    <w:p w:rsidR="00000000" w:rsidDel="00000000" w:rsidP="00000000" w:rsidRDefault="00000000" w:rsidRPr="00000000" w14:paraId="000002A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researcher provided a policy proposal to focus on issues that needed to be addressed in the community. In terms of practices, proper waste management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established to avoid the high danger of heavy metal contamination. Certain local habits, such as waste dumping and other communal activities,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the spread of heavy metals. As a result, some community or local government-adopted measures are </w:t>
      </w:r>
      <w:r>
        <w:rPr>
          <w:rFonts w:ascii="Georgia" w:cs="Georgia" w:eastAsia="Georgia" w:hAnsi="Georgia"/>
          <w:b w:val="1"/>
          <w:bCs w:val="1"/>
          <w:strike w:val="1"/>
          <w:color w:val="000000"/>
          <w:sz w:val="22"/>
          <w:szCs w:val="22"/>
          <w:rtl w:val="0"/>
        </w:rPr>
        <w:t xml:space="preserve">proposed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These precautions are intended to prevent heavy metal contamination, particularly in the river system and the aquatic life in the area.</w:t>
      </w:r>
      <w:r>
        <w:rPr>
          <w:rtl w:val="0"/>
        </w:rPr>
      </w:r>
    </w:p>
    <w:p w:rsidR="00000000" w:rsidDel="00000000" w:rsidP="00000000" w:rsidRDefault="00000000" w:rsidRPr="00000000" w14:paraId="000002B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cs="Georgia" w:eastAsia="Georgia" w:hAnsi="Georgia"/>
          <w:b w:val="1"/>
          <w:bCs w:val="1"/>
          <w:strike w:val="0"/>
          <w:color w:val="000000"/>
          <w:sz w:val="22"/>
          <w:szCs w:val="22"/>
          <w:shd w:fill="bfbfbf" w:val="clear"/>
          <w:rtl w:val="0"/>
        </w:rPr>
        <w:t xml:space="preserve">the differences between the groups were statistically significant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 were variations in the mean antibody titer measured among samples.</w:t>
      </w:r>
      <w:r>
        <w:rPr>
          <w:rtl w:val="0"/>
        </w:rPr>
      </w:r>
    </w:p>
    <w:p w:rsidR="00000000" w:rsidDel="00000000" w:rsidP="00000000" w:rsidRDefault="00000000" w:rsidRPr="00000000" w14:paraId="000002E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Pr>
          <w:rtl w:val="0"/>
        </w:rPr>
      </w:r>
    </w:p>
    <w:p w:rsidR="00000000" w:rsidDel="00000000" w:rsidP="00000000" w:rsidRDefault="00000000" w:rsidRPr="00000000" w14:paraId="000002E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butterfly pea flower aqueous extract in improving the survival of zebrafish at its larval stage.</w:t>
      </w:r>
      <w:r>
        <w:rPr>
          <w:rtl w:val="0"/>
        </w:rPr>
      </w:r>
    </w:p>
    <w:p w:rsidR="00000000" w:rsidDel="00000000" w:rsidP="00000000" w:rsidRDefault="00000000" w:rsidRPr="00000000" w14:paraId="000002E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use of rice hull and vermicompost significantly enhanced the growth and survival of Adansonii. These findings highlight their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Pr>
          <w:rtl w:val="0"/>
        </w:rPr>
      </w:r>
    </w:p>
    <w:p w:rsidR="00000000" w:rsidDel="00000000" w:rsidP="00000000" w:rsidRDefault="00000000" w:rsidRPr="00000000" w14:paraId="0000030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both"/>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