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 Philosophy and Psychology hedged more than Physics and History, 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 different genre, same point that hedging is context-sensitive.</w:t>
      </w:r>
      <w:r>
        <w:rPr>
          <w:rtl w:val="0"/>
        </w:rPr>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and Afshar et al., 2014). Developing researchers across contexts show limited hedge variety and tend to default to modal verbs (Khunasathitchai et al., 2025, and Wang, 2022). L2 writers face additional constraints from linguistic factors and limited explicit instruction (Demir, 2018, and Petchkij, 2019). Philippine and ASEAN studies confirm reliance on modals and, in some contexts, a preference for boosters (Ningrum et al., 2024, and Escalona, 2025, and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b w:val="0"/>
          <w:bCs w:val="0"/>
          <w:i w:val="0"/>
          <w:iCs w:val="0"/>
          <w:sz w:val="22"/>
          <w:szCs w:val="22"/>
          <w:rtl w:val="0"/>
        </w:rPr>
        <w:t>In practice, the coding scheme was adapted from Hyland (1998) and operationalized through the decision rules presented in Appendix A. Coding proceeded in a fixed order. First, each abstract was read holistically before any marking, so decisions were grounded in discourse context rather than keyword recognition. Second, Stage 1 retention decided whether a candidate device counted as a hedge: the device was kept if removing it made a knowledge claim more categorical or more direct, or softened how that claim was put forward. Deontic recommendations, capability, pure procedure, pure move sequencing, and topic-naming without force reduction were excluded. Retained tokens were also marked for grammatical type (modal verb, lexical hedge, adverbial hedge, or clause-level hedge) using the Appendix A decision rules. Third, Stage 2 assigned function labels to retained tokens: Epistemic Caution, Politeness/Deference, and/or Discourse Organization. Type and function were recorded separately so type-function pairings could be inspected. In this corpus all retained hedges were coded Epistemic Caution at Stage 2, so the cross-tab does not differentiate functions. RQ3 reports the functional profile of the Stage 1 retained set in this sample. No P candidates occurred. Sequence-only DO was excluded. RQ4 is answered from frequency and functional patterns as a whole.</w:t>
      </w:r>
      <w:r>
        <w:rPr>
          <w:rtl w:val="0"/>
        </w:rPr>
      </w:r>
    </w:p>
    <w:p>
      <w:pPr>
        <w:spacing w:before="0" w:after="0" w:line="480" w:lineRule="auto"/>
        <w:ind w:firstLine="720"/>
        <w:jc w:val="both"/>
        <w:rPr/>
      </w:pPr>
      <w:r>
        <w:rPr>
          <w:rFonts w:ascii="Georgia" w:hAnsi="Georgia"/>
          <w:sz w:val="22"/>
          <w:szCs w:val="22"/>
        </w:rPr>
        <w:t xml:space="preserve">Functional labels in this study (Epistemic Caution, Politeness/Deference, and Discourse Organization) are assigned after a token is retained at Stage 1. They are not mutually exclusive: interpersonal or discourse effects can co-occur with epistemic stance. Stage 1 retention asks whether removing the expression makes a knowledge claim about findings more categorical or more direct, or reduces imposition in how that claim is put forward. That gate admits epistemic, politeness, and discourse-managing mitigation of claims; it excludes deontic recommendations and pure move sequencing. Stage 2 labels the retained item EC, P, and/or DO by dominant function. The Working Test (does removing the device change commitment to the truth of the proposition?) is used as an EC diagnostic at Stage 2, not as the sole entry ticket for all hedges. Expressions that only sequence moves (e.g., pure Therefore / Hence as connectives), name a research object, or mark capability or obligation remain excluded. This keeps the scheme inclusive of P and DO without treating every soft-sounding word as a hedge. Crompton (1997) still informs the EC diagnostic: a proposition restatable with greater author commitment signals reduced epistemic weight content.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at Stage 2, not as the sole Stage 1 retention rule.</w:t>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grouping variable is discipline, which includes Agriculture, Veterinary Medicine, and Biology as disciplinary categories.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rtl w:val="0"/>
          <w:b/>
          <w:bCs/>
        </w:rPr>
        <w:t xml:space="preserve">For writing instructors and thesis advisers at PSAU, </w:t>
      </w:r>
      <w:r>
        <w:rPr>
          <w:rFonts w:ascii="Georgia" w:hAnsi="Georgia" w:cs="Georgia" w:eastAsia="Georgia"/>
          <w:sz w:val="22"/>
          <w:rtl w:val="0"/>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rtl w:val="0"/>
          <w:b/>
          <w:bCs/>
        </w:rPr>
        <w:t xml:space="preserve">For academic writing researchers, </w:t>
      </w:r>
      <w:r>
        <w:rPr>
          <w:rFonts w:ascii="Georgia" w:hAnsi="Georgia" w:cs="Georgia" w:eastAsia="Georgia"/>
          <w:sz w:val="22"/>
          <w:rtl w:val="0"/>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rtl w:val="0"/>
          <w:b/>
          <w:bCs/>
        </w:rPr>
        <w:t xml:space="preserve">For the BAELS program, </w:t>
      </w:r>
      <w:r>
        <w:rPr>
          <w:rFonts w:ascii="Georgia" w:hAnsi="Georgia" w:cs="Georgia" w:eastAsia="Georgia"/>
          <w:sz w:val="22"/>
          <w:rtl w:val="0"/>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rtl w:val="0"/>
          <w:b/>
          <w:bCs/>
        </w:rPr>
        <w:t xml:space="preserve">For future researchers, </w:t>
      </w:r>
      <w:r>
        <w:rPr>
          <w:rFonts w:ascii="Georgia" w:hAnsi="Georgia" w:cs="Georgia" w:eastAsia="Georgia"/>
          <w:sz w:val="22"/>
          <w:rtl w:val="0"/>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This study focuses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rtl w:val="0"/>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Stage 1–2 scheme to longer genres where P and DO may appear more often.</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rtl w:val="0"/>
        </w:rPr>
        <w:t xml:space="preserve">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and framing-DO items did not appear. Expert abstracts in the same three disciplines, coded with the same Stage 1–2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Abstract, </w:t>
      </w:r>
      <w:r>
        <w:rPr>
          <w:rFonts w:ascii="Georgia" w:hAnsi="Georgia" w:cs="Georgia" w:eastAsia="Georgia"/>
          <w:i w:val="0"/>
          <w:iCs w:val="0"/>
          <w:sz w:val="22"/>
          <w:szCs w:val="22"/>
          <w:rtl w:val="0"/>
          <w:b w:val="0"/>
          <w:bCs w:val="0"/>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i w:val="0"/>
          <w:iCs w:val="0"/>
          <w:sz w:val="22"/>
          <w:szCs w:val="22"/>
          <w:rtl w:val="0"/>
          <w:b/>
          <w:bCs/>
        </w:rPr>
        <w:t xml:space="preserve">Adverbial Hedges, </w:t>
      </w:r>
      <w:r>
        <w:rPr>
          <w:rFonts w:ascii="Georgia" w:hAnsi="Georgia" w:cs="Georgia" w:eastAsia="Georgia"/>
          <w:i w:val="0"/>
          <w:iCs w:val="0"/>
          <w:sz w:val="22"/>
          <w:szCs w:val="22"/>
          <w:rtl w:val="0"/>
          <w:b w:val="0"/>
          <w:bCs w:val="0"/>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i w:val="0"/>
          <w:iCs w:val="0"/>
          <w:sz w:val="22"/>
          <w:szCs w:val="22"/>
          <w:rtl w:val="0"/>
          <w:b/>
          <w:bCs/>
        </w:rPr>
        <w:t xml:space="preserve">Applied Life Sciences, </w:t>
      </w:r>
      <w:r>
        <w:rPr>
          <w:rFonts w:ascii="Georgia" w:hAnsi="Georgia" w:cs="Georgia" w:eastAsia="Georgia"/>
          <w:i w:val="0"/>
          <w:iCs w:val="0"/>
          <w:sz w:val="22"/>
          <w:szCs w:val="22"/>
          <w:rtl w:val="0"/>
          <w:b w:val="0"/>
          <w:bCs w:val="0"/>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i w:val="0"/>
          <w:iCs w:val="0"/>
          <w:sz w:val="22"/>
          <w:szCs w:val="22"/>
          <w:rtl w:val="0"/>
          <w:b/>
          <w:bCs/>
        </w:rPr>
        <w:t xml:space="preserve">Claim Responsibility, </w:t>
      </w:r>
      <w:r>
        <w:rPr>
          <w:rFonts w:ascii="Georgia" w:hAnsi="Georgia" w:cs="Georgia" w:eastAsia="Georgia"/>
          <w:i w:val="0"/>
          <w:iCs w:val="0"/>
          <w:sz w:val="22"/>
          <w:szCs w:val="22"/>
          <w:rtl w:val="0"/>
          <w:b w:val="0"/>
          <w:bCs w:val="0"/>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Chi-Square Test of Independence, </w:t>
      </w:r>
      <w:r>
        <w:rPr>
          <w:rFonts w:ascii="Georgia" w:hAnsi="Georgia" w:cs="Georgia" w:eastAsia="Georgia"/>
          <w:i w:val="0"/>
          <w:iCs w:val="0"/>
          <w:sz w:val="22"/>
          <w:szCs w:val="22"/>
          <w:rtl w:val="0"/>
          <w:b w:val="0"/>
          <w:bCs w:val="0"/>
        </w:rPr>
        <w:t>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i w:val="0"/>
          <w:iCs w:val="0"/>
          <w:sz w:val="22"/>
          <w:szCs w:val="22"/>
          <w:rtl w:val="0"/>
          <w:b/>
          <w:bCs/>
        </w:rPr>
        <w:t xml:space="preserve">Clause-Level Hedges, </w:t>
      </w:r>
      <w:r>
        <w:rPr>
          <w:rFonts w:ascii="Georgia" w:hAnsi="Georgia" w:cs="Georgia" w:eastAsia="Georgia"/>
          <w:i w:val="0"/>
          <w:iCs w:val="0"/>
          <w:sz w:val="22"/>
          <w:szCs w:val="22"/>
          <w:rtl w:val="0"/>
          <w:b w:val="0"/>
          <w:bCs w:val="0"/>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Cohen’s Kappa (κ), </w:t>
      </w:r>
      <w:r>
        <w:rPr>
          <w:rFonts w:ascii="Georgia" w:hAnsi="Georgia" w:cs="Georgia" w:eastAsia="Georgia"/>
          <w:i w:val="0"/>
          <w:iCs w:val="0"/>
          <w:sz w:val="22"/>
          <w:szCs w:val="22"/>
          <w:rtl w:val="0"/>
          <w:b w:val="0"/>
          <w:bCs w:val="0"/>
        </w:rPr>
        <w:t>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i w:val="0"/>
          <w:iCs w:val="0"/>
          <w:sz w:val="22"/>
          <w:szCs w:val="22"/>
          <w:rtl w:val="0"/>
          <w:b/>
          <w:bCs/>
        </w:rPr>
        <w:t xml:space="preserve">Corpus-Assisted Discourse Analysis, </w:t>
      </w:r>
      <w:r>
        <w:rPr>
          <w:rFonts w:ascii="Georgia" w:hAnsi="Georgia" w:cs="Georgia" w:eastAsia="Georgia"/>
          <w:i w:val="0"/>
          <w:iCs w:val="0"/>
          <w:sz w:val="22"/>
          <w:szCs w:val="22"/>
          <w:rtl w:val="0"/>
          <w:b w:val="0"/>
          <w:bCs w:val="0"/>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i w:val="0"/>
          <w:iCs w:val="0"/>
          <w:sz w:val="22"/>
          <w:szCs w:val="22"/>
          <w:rtl w:val="0"/>
          <w:b/>
          <w:bCs/>
        </w:rPr>
        <w:t xml:space="preserve">Disciplinary Variation, </w:t>
      </w:r>
      <w:r>
        <w:rPr>
          <w:rFonts w:ascii="Georgia" w:hAnsi="Georgia" w:cs="Georgia" w:eastAsia="Georgia"/>
          <w:i w:val="0"/>
          <w:iCs w:val="0"/>
          <w:sz w:val="22"/>
          <w:szCs w:val="22"/>
          <w:rtl w:val="0"/>
          <w:b w:val="0"/>
          <w:bCs w:val="0"/>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i w:val="0"/>
          <w:iCs w:val="0"/>
          <w:sz w:val="22"/>
          <w:szCs w:val="22"/>
          <w:rtl w:val="0"/>
          <w:b/>
          <w:bCs/>
        </w:rPr>
        <w:t xml:space="preserve">Epistemic Stance, </w:t>
      </w:r>
      <w:r>
        <w:rPr>
          <w:rFonts w:ascii="Georgia" w:hAnsi="Georgia" w:cs="Georgia" w:eastAsia="Georgia"/>
          <w:i w:val="0"/>
          <w:iCs w:val="0"/>
          <w:sz w:val="22"/>
          <w:szCs w:val="22"/>
          <w:rtl w:val="0"/>
          <w:b w:val="0"/>
          <w:bCs w:val="0"/>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Epistemic Weight, </w:t>
      </w:r>
      <w:r>
        <w:rPr>
          <w:rFonts w:ascii="Georgia" w:hAnsi="Georgia" w:cs="Georgia" w:eastAsia="Georgia"/>
          <w:i w:val="0"/>
          <w:iCs w:val="0"/>
          <w:sz w:val="22"/>
          <w:szCs w:val="22"/>
          <w:rtl w:val="0"/>
          <w:b w:val="0"/>
          <w:bCs w:val="0"/>
        </w:rPr>
        <w:t>conceptually, epistemic weight is the strength of the writer’s commitment to the truth of a proposition (how certain or tentative the claim is). Operationally, a change in epistemic weight supports an EC function label at Stage 2; Stage 1 retention uses the broader force / directness test on knowledge claims (imposition only as interpersonal softening of a claim, not as a directive).</w:t>
      </w:r>
      <w:r>
        <w:rPr>
          <w:rtl w:val="0"/>
        </w:rPr>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i w:val="0"/>
          <w:iCs w:val="0"/>
          <w:sz w:val="22"/>
          <w:szCs w:val="22"/>
          <w:rtl w:val="0"/>
          <w:b/>
          <w:bCs/>
        </w:rPr>
        <w:t xml:space="preserve">Hedge Function, </w:t>
      </w:r>
      <w:r>
        <w:rPr>
          <w:rFonts w:ascii="Georgia" w:hAnsi="Georgia" w:cs="Georgia" w:eastAsia="Georgia"/>
          <w:i w:val="0"/>
          <w:iCs w:val="0"/>
          <w:sz w:val="22"/>
          <w:szCs w:val="22"/>
          <w:rtl w:val="0"/>
          <w:b w:val="0"/>
          <w:bCs w:val="0"/>
        </w:rPr>
        <w:t>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i w:val="0"/>
          <w:iCs w:val="0"/>
          <w:sz w:val="22"/>
          <w:szCs w:val="22"/>
          <w:rtl w:val="0"/>
          <w:b/>
          <w:bCs/>
        </w:rPr>
        <w:t xml:space="preserve">Hedging, </w:t>
      </w:r>
      <w:r>
        <w:rPr>
          <w:rFonts w:ascii="Georgia" w:hAnsi="Georgia" w:cs="Georgia" w:eastAsia="Georgia"/>
          <w:i w:val="0"/>
          <w:iCs w:val="0"/>
          <w:sz w:val="22"/>
          <w:szCs w:val="22"/>
          <w:rtl w:val="0"/>
          <w:b w:val="0"/>
          <w:bCs w:val="0"/>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Kruskal-Wallis Test, </w:t>
      </w:r>
      <w:r>
        <w:rPr>
          <w:rFonts w:ascii="Georgia" w:hAnsi="Georgia" w:cs="Georgia" w:eastAsia="Georgia"/>
          <w:i w:val="0"/>
          <w:iCs w:val="0"/>
          <w:sz w:val="22"/>
          <w:szCs w:val="22"/>
          <w:rtl w:val="0"/>
          <w:b w:val="0"/>
          <w:bCs w:val="0"/>
        </w:rPr>
        <w:t>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7.39, p = .025.</w:t>
      </w:r>
      <w:r>
        <w:rPr>
          <w:rtl w:val="0"/>
        </w:rPr>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i w:val="0"/>
          <w:iCs w:val="0"/>
          <w:sz w:val="22"/>
          <w:szCs w:val="22"/>
          <w:rtl w:val="0"/>
          <w:b/>
          <w:bCs/>
        </w:rPr>
        <w:t xml:space="preserve">Lexical Hedges, </w:t>
      </w:r>
      <w:r>
        <w:rPr>
          <w:rFonts w:ascii="Georgia" w:hAnsi="Georgia" w:cs="Georgia" w:eastAsia="Georgia"/>
          <w:i w:val="0"/>
          <w:iCs w:val="0"/>
          <w:sz w:val="22"/>
          <w:szCs w:val="22"/>
          <w:rtl w:val="0"/>
          <w:b w:val="0"/>
          <w:bCs w:val="0"/>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pPr>
        <w:spacing w:before="0" w:after="0" w:line="480" w:lineRule="auto"/>
        <w:ind w:firstLine="720"/>
        <w:jc w:val="both"/>
        <w:rPr/>
      </w:pPr>
      <w:r>
        <w:rPr>
          <w:rFonts w:ascii="Georgia" w:hAnsi="Georgia" w:cs="Georgia" w:eastAsia="Georgia"/>
          <w:sz w:val="22"/>
          <w:szCs w:val="22"/>
          <w:b/>
          <w:bCs/>
        </w:rPr>
        <w:t xml:space="preserve">Mann-Whitney U Test, </w:t>
      </w:r>
      <w:r>
        <w:rPr>
          <w:rFonts w:ascii="Georgia" w:hAnsi="Georgia" w:cs="Georgia" w:eastAsia="Georgia"/>
          <w:sz w:val="22"/>
          <w:szCs w:val="22"/>
          <w:b w:val="0"/>
          <w:bCs w:val="0"/>
        </w:rPr>
        <w:t>conceptually, the Mann-Whitney U test (also called the Wilcoxon rank-sum test) is a non-parametric test that compares the distributions of a continuous or ordinal variable between two independent groups. Operationally, this study used it as an exploratory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i w:val="0"/>
          <w:iCs w:val="0"/>
          <w:sz w:val="22"/>
          <w:szCs w:val="22"/>
          <w:rtl w:val="0"/>
          <w:b/>
          <w:bCs/>
        </w:rPr>
        <w:t xml:space="preserve">Modal Verbs, </w:t>
      </w:r>
      <w:r>
        <w:rPr>
          <w:rFonts w:ascii="Georgia" w:hAnsi="Georgia" w:cs="Georgia" w:eastAsia="Georgia"/>
          <w:i w:val="0"/>
          <w:iCs w:val="0"/>
          <w:sz w:val="22"/>
          <w:szCs w:val="22"/>
          <w:rtl w:val="0"/>
          <w:b w:val="0"/>
          <w:bCs w:val="0"/>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i w:val="0"/>
          <w:iCs w:val="0"/>
          <w:sz w:val="22"/>
          <w:szCs w:val="22"/>
          <w:rtl w:val="0"/>
          <w:b/>
          <w:bCs/>
        </w:rPr>
        <w:t xml:space="preserve">Normalized Frequency, </w:t>
      </w:r>
      <w:r>
        <w:rPr>
          <w:rFonts w:ascii="Georgia" w:hAnsi="Georgia" w:cs="Georgia" w:eastAsia="Georgia"/>
          <w:i w:val="0"/>
          <w:iCs w:val="0"/>
          <w:sz w:val="22"/>
          <w:szCs w:val="22"/>
          <w:rtl w:val="0"/>
          <w:b w:val="0"/>
          <w:bCs w:val="0"/>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Rescue-Hedging (Rescue Framing), </w:t>
      </w:r>
      <w:r>
        <w:rPr>
          <w:rFonts w:ascii="Georgia" w:hAnsi="Georgia" w:cs="Georgia" w:eastAsia="Georgia"/>
          <w:i w:val="0"/>
          <w:iCs w:val="0"/>
          <w:sz w:val="22"/>
          <w:szCs w:val="22"/>
          <w:rtl w:val="0"/>
          <w:b w:val="0"/>
          <w:bCs w:val="0"/>
        </w:rPr>
        <w:t>conceptually, the use of hedges after an explicit non-significant result so that a treatment or finding is still presented as potentially beneficial. Operationally, the term is used in this study as a descriptive label for that pattern.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Softening, </w:t>
      </w:r>
      <w:r>
        <w:rPr>
          <w:rFonts w:ascii="Georgia" w:hAnsi="Georgia" w:cs="Georgia" w:eastAsia="Georgia"/>
          <w:i w:val="0"/>
          <w:iCs w:val="0"/>
          <w:sz w:val="22"/>
          <w:szCs w:val="22"/>
          <w:rtl w:val="0"/>
          <w:b w:val="0"/>
          <w:bCs w:val="0"/>
        </w:rPr>
        <w:t>conceptually, softening is the reduction of force, directness, imposition, or interpersonal impact in a statement. Operationally, Stage 1 retention tracks softening of force or directness on knowledge claims (and interpersonal imposition on how claims are put forward); Stage 2 sorts epistemic (EC), interpersonal (P), and discourse-managing (DO) uses. Directives remain excluded.</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rarely treated as a distinct rhetorical skill in many Philippine undergraduate writing courses, which tend to emphasize structure and grammatical correctness.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i w:val="0"/>
          <w:iCs w:val="0"/>
          <w:sz w:val="22"/>
          <w:szCs w:val="22"/>
          <w:rtl w:val="0"/>
          <w:b/>
          <w:bCs/>
        </w:rPr>
        <w:t xml:space="preserve">a. Requesting Permission. </w:t>
      </w:r>
      <w:r>
        <w:rPr>
          <w:rFonts w:ascii="Georgia" w:hAnsi="Georgia" w:cs="Georgia" w:eastAsia="Georgia"/>
          <w:i w:val="0"/>
          <w:iCs w:val="0"/>
          <w:sz w:val="22"/>
          <w:szCs w:val="22"/>
          <w:rtl w:val="0"/>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i w:val="0"/>
          <w:iCs w:val="0"/>
          <w:sz w:val="22"/>
          <w:szCs w:val="22"/>
          <w:rtl w:val="0"/>
          <w:b/>
          <w:bCs/>
        </w:rPr>
        <w:t xml:space="preserve">b. Corpus Construction. </w:t>
      </w:r>
      <w:r>
        <w:rPr>
          <w:rFonts w:ascii="Georgia" w:hAnsi="Georgia" w:cs="Georgia" w:eastAsia="Georgia"/>
          <w:i w:val="0"/>
          <w:iCs w:val="0"/>
          <w:sz w:val="22"/>
          <w:szCs w:val="22"/>
          <w:rtl w:val="0"/>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i w:val="0"/>
          <w:iCs w:val="0"/>
          <w:sz w:val="22"/>
          <w:szCs w:val="22"/>
          <w:rtl w:val="0"/>
          <w:b/>
          <w:bCs/>
        </w:rPr>
        <w:t xml:space="preserve">c. Text Extraction. </w:t>
      </w:r>
      <w:r>
        <w:rPr>
          <w:rFonts w:ascii="Georgia" w:hAnsi="Georgia" w:cs="Georgia" w:eastAsia="Georgia"/>
          <w:i w:val="0"/>
          <w:iCs w:val="0"/>
          <w:sz w:val="22"/>
          <w:szCs w:val="22"/>
          <w:rtl w:val="0"/>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i w:val="0"/>
          <w:iCs w:val="0"/>
          <w:sz w:val="22"/>
          <w:szCs w:val="22"/>
          <w:rtl w:val="0"/>
          <w:b/>
          <w:bCs/>
        </w:rPr>
        <w:t xml:space="preserve">d. Pilot Testing and Reliability Checking. </w:t>
      </w:r>
      <w:r>
        <w:rPr>
          <w:rFonts w:ascii="Georgia" w:hAnsi="Georgia" w:cs="Georgia" w:eastAsia="Georgia"/>
          <w:i w:val="0"/>
          <w:iCs w:val="0"/>
          <w:sz w:val="22"/>
          <w:szCs w:val="22"/>
          <w:rtl w:val="0"/>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b/>
          <w:bCs/>
          <w:sz w:val="22"/>
        </w:rPr>
        <w:t xml:space="preserve">e. Data Analysis. </w:t>
      </w:r>
      <w:r>
        <w:rPr>
          <w:rFonts w:ascii="Georgia" w:hAnsi="Georgia" w:cs="Georgia" w:eastAsia="Georgia"/>
          <w:i w:val="0"/>
          <w:iCs w:val="0"/>
          <w:sz w:val="22"/>
          <w:szCs w:val="22"/>
          <w:rtl w:val="0"/>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i w:val="0"/>
          <w:iCs w:val="0"/>
          <w:sz w:val="22"/>
          <w:szCs w:val="22"/>
          <w:rtl w:val="0"/>
          <w:b/>
          <w:bCs/>
        </w:rPr>
        <w:t xml:space="preserve">f. Timeline. </w:t>
      </w:r>
      <w:r>
        <w:rPr>
          <w:rFonts w:ascii="Georgia" w:hAnsi="Georgia" w:cs="Georgia" w:eastAsia="Georgia"/>
          <w:i w:val="0"/>
          <w:iCs w:val="0"/>
          <w:sz w:val="22"/>
          <w:szCs w:val="22"/>
          <w:rtl w:val="0"/>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720" w:after="0" w:line="480" w:lineRule="auto"/>
        <w:jc w:val="center"/>
      </w:pPr>
      <w:r>
        <w:rPr>
          <w:rFonts w:ascii="Georgia" w:hAnsi="Georgia"/>
          <w:b/>
          <w:sz w:val="24"/>
        </w:rPr>
        <w:t>Table 1</w:t>
      </w:r>
    </w:p>
    <w:p>
      <w:pPr>
        <w:keepNext w:val="1"/>
        <w:spacing w:before="0" w:after="60" w:line="480" w:lineRule="auto"/>
        <w:jc w:val="both"/>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tblHeader w:val="0"/>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tblHeader w:val="0"/>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tblHeader w:val="0"/>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tblHeader w:val="0"/>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0"/>
          <w:bCs w:val="0"/>
          <w:i w:val="0"/>
          <w:iCs w:val="0"/>
          <w:sz w:val="22"/>
          <w:szCs w:val="22"/>
          <w:rtl w:val="0"/>
        </w:rPr>
        <w:t>Inclusion Criteria. English-language undergraduate thesis abstracts. Complete abstracts available in the PSAU library archives. Clear disciplinary classification based on official degree program. Hard-bound submission year (as recorded in the PSAU library catalog)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0"/>
          <w:bCs w:val="0"/>
          <w:i w:val="0"/>
          <w:iCs w:val="0"/>
          <w:sz w:val="22"/>
          <w:szCs w:val="22"/>
          <w:rtl w:val="0"/>
        </w:rPr>
        <w:t>Exclusion Criteria. 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b w:val="0"/>
          <w:bCs w:val="1"/>
          <w:i w:val="0"/>
          <w:iCs w:val="0"/>
          <w:rtl w:val="0"/>
          <w:sz w:val="22"/>
          <w:szCs w:val="22"/>
        </w:rPr>
        <w:t>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spacing w:before="720" w:after="0" w:line="480" w:lineRule="auto"/>
        <w:jc w:val="center"/>
      </w:pPr>
      <w:r>
        <w:rPr>
          <w:rFonts w:ascii="Georgia" w:hAnsi="Georgia"/>
          <w:b/>
          <w:sz w:val="24"/>
        </w:rPr>
        <w:t>Table 2</w:t>
      </w:r>
    </w:p>
    <w:p>
      <w:pPr>
        <w:keepNext w:val="1"/>
        <w:spacing w:before="0" w:after="60" w:line="480" w:lineRule="auto"/>
        <w:jc w:val="both"/>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tblHeader w:val="0"/>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tblHeader w:val="0"/>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tblHeader w:val="0"/>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spacing w:before="720" w:after="0" w:line="480" w:lineRule="auto"/>
        <w:jc w:val="center"/>
      </w:pPr>
      <w:r>
        <w:rPr>
          <w:rFonts w:ascii="Georgia" w:hAnsi="Georgia"/>
          <w:b/>
          <w:sz w:val="24"/>
        </w:rPr>
        <w:t>Table 4</w:t>
      </w:r>
    </w:p>
    <w:p>
      <w:pPr>
        <w:keepNext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tblHeader w:val="0"/>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tblHeader w:val="0"/>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tblHeader w:val="0"/>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under the codebook’s Stage 1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Stage 1 force reduction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32 unhedged assertion sites were identified in the 25 zero-hedge abstracts. Of these, 20 were classified as result claims [R], 8 as generalizations [G], and 4 as causal claims [C]. (Five further unhedged sites appear in abstracts that also contain coded hedges (B11, B12, VM9) and are excluded from this zero-hedge count. Table 5’s Unhedged sites column reports the corpus-wide total of 37.) These sites represent clauses where a hedge could have been inserted without changing the underlying facts, but no hedge was used. This unhedged-site inventory is included as a descriptive record of where hedging is absent in this corpus, not as a comparative claim against an expert or cross-discipline baseline. Without a matched comparison group, the counts document absence of overt hedges in specific claim environments. They do not measure underuse relative to a norm. The presence of these unhedged sites in zero-hedge abstracts records an absence of overt hedging. It does not by itself establish that the writer intended absolute commitment, especially where the underlying finding is binary or measured. Expert research articles rarely contain zero hedges (Hyland, 1998). Whether the 41.7% zero-hedge rate in this corpus is high relative to expert abstracts specifically cannot be established here, because no matched expert-abstract baseline is available.</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sites, and normalized frequency (hedges per 100 words) for each discipline.</w:t>
      </w:r>
      <w:r>
        <w:rPr>
          <w:rtl w:val="0"/>
        </w:rPr>
      </w:r>
    </w:p>
    <w:p>
      <w:pPr>
        <w:keepNext w:val="1"/>
        <w:spacing w:before="720" w:after="0" w:line="480" w:lineRule="auto"/>
        <w:jc w:val="center"/>
      </w:pPr>
      <w:r>
        <w:rPr>
          <w:rFonts w:ascii="Georgia" w:hAnsi="Georgia"/>
          <w:b/>
          <w:sz w:val="24"/>
        </w:rPr>
        <w:t>Table 5</w:t>
      </w:r>
    </w:p>
    <w:p>
      <w:pPr>
        <w:keepNext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tblHeader/>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Unhedged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tblHeader w:val="0"/>
          <w:cantSplit/>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tblHeader w:val="0"/>
          <w:cantSplit/>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tblHeader w:val="0"/>
          <w:cantSplit/>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tblHeader w:val="0"/>
          <w:cantSplit/>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7.39, p = .025.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Veterinary Medicine is the field that differs.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65 tokens retained as hedges were coded Epistemic Caution (EC). None of those retained tokens were assigned Politeness/Deference (P) or Discourse Organization (DO). Discourse connectors such as Hence, Thus, Therefore, and In conclusion appear in the corpus and are tagged (DO) in Appendix C but are not counted as hedges when they do not change the epistemic weight of a claim. Table 6 presents the function distribution among retained hedges.</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sz w:val="22"/>
          <w:szCs w:val="22"/>
          <w:rtl w:val="0"/>
        </w:rPr>
      </w:r>
      <w:r>
        <w:rPr>
          <w:rtl w:val="0"/>
        </w:rPr>
      </w:r>
    </w:p>
    <w:p>
      <w:pPr>
        <w:keepNext w:val="1"/>
        <w:spacing w:before="720" w:after="0" w:line="480" w:lineRule="auto"/>
        <w:jc w:val="center"/>
      </w:pPr>
      <w:r>
        <w:rPr>
          <w:rFonts w:ascii="Georgia" w:hAnsi="Georgia"/>
          <w:b/>
          <w:sz w:val="24"/>
        </w:rPr>
        <w:t>Table 6</w:t>
      </w:r>
    </w:p>
    <w:p>
      <w:pPr>
        <w:keepNext w:val="1"/>
        <w:spacing w:before="0" w:after="60" w:line="480" w:lineRule="auto"/>
        <w:jc w:val="both"/>
      </w:pPr>
      <w:r>
        <w:rPr>
          <w:rFonts w:ascii="Georgia" w:hAnsi="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tblHeader w:val="0"/>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or Discourse Organization. Under Stage 1, P-only and framing-DO items could in principle be retained; in this corpus no P forms appeared, and DO items that only sequence moves stayed out. Discourse connectors such as Hence, Thus, Therefore, and In conclusion are logged in Appendix C but were not counted as hedges. The 100% EC result is therefore the functional profile of the retained set in this sample, not a claim that P or DO mitigation is impossible in student writing. Genre compression may also limit interactional mitigation in abstracts. That limitation is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Most hedges fall in implication and conclusion sentences rather than in direct results reporting. Forms such as potential and suggest/suggests/suggesting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Stage 2. In this sample no P candidates appeared, and sequence-only DO was excluded at Stage 1.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Parts I through III map frequency, function, and cross-disciplinary density. The contrasts below are exploratory descriptions of what was observed here, not stable discipline-level characteristics. As reported in Part II, the Kruskal-Wallis test on rates reached p = .025. Exploratory pairwise Mann-Whitney tests with Bonferroni correction leave only the Biology–Veterinary Medicine contrast significant. The chi-square on zero-hedge rates was p = .079. Generalization beyond this corpus is not warranted. The patterns are read through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b w:val="0"/>
          <w:bCs w:val="0"/>
          <w:i w:val="0"/>
          <w:iCs w:val="0"/>
          <w:rtl w:val="0"/>
          <w:sz w:val="22"/>
          <w:szCs w:val="22"/>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Fonts w:ascii="Georgia" w:hAnsi="Georgia" w:cs="Georgia" w:eastAsia="Georgia"/>
          <w:rtl w:val="0"/>
          <w:sz w:val="22"/>
          <w:szCs w:val="22"/>
        </w:rPr>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The study cannot separate genuine field norms from adviser-enforced conventions. The findings describe the ratified abstracts, not individual cognition.</w:t>
      </w:r>
      <w:r>
        <w:rPr>
          <w:rFonts w:ascii="Georgia" w:hAnsi="Georgia" w:cs="Georgia" w:eastAsia="Georgia"/>
          <w:rtl w:val="0"/>
          <w:sz w:val="22"/>
          <w:szCs w:val="22"/>
        </w:rPr>
      </w:r>
    </w:p>
    <w:p w:rsidR="00000000" w:rsidDel="00000000" w:rsidP="00000000" w:rsidRDefault="00000000" w:rsidRPr="00000000" w14:paraId="00000167">
      <w:pPr>
        <w:spacing w:before="0" w:after="0" w:line="480" w:lineRule="auto"/>
        <w:ind w:firstLine="720"/>
        <w:jc w:val="both"/>
        <w:rPr/>
      </w:pPr>
      <w:r>
        <w:rPr>
          <w:rtl w:val="0"/>
        </w:rPr>
        <w:t/>
      </w:r>
    </w:p>
    <w:p>
      <w:pPr>
        <w:spacing w:line="240" w:lineRule="auto" w:before="0" w:after="0"/>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the high frequency of potential in recurring frames. Density is highest in Agriculture and Biology (near-tied), then Veterinary Medicine, with 25 of 60 abstracts (41.7%) containing no coded hedges. Every retained hedge was coded as Epistemic Caution at Stage 2. No P candidates appeared in the corpus; sequence-only DO was not counted. The functional result describes this sample’s retained set under the Stage 1–2 procedure.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Limited evidence of disciplinary differentiation, mainly Veterinary Medicine’s lower density. Agriculture’s edge over Biology is modest and outlier-sensitive. Acs2 illustrates rescue-hedging after a non-significant result, which links to the introduction’s concern with overclaiming, but it is a single abstract. The Null/NS mean in Agriculture falls to the same level as non-Null Agriculture once Acs2 is removed. The data cannot separate field norms, adviser practice, and outcome type. Agriculture has no Binary outcomes here, so discipline and study design remain entangled. Statistical evidence is exploratory (Kruskal-Wallis on rates p = .025, and pairwise Mann-Whitney tests with Bonferroni correction leave Biology–Veterinary Medicine as the surviving contrast) and the sample is small. The study provides a local baseline: VM abstracts in this corpus hedge less. The causes remain unknown.</w:t>
      </w:r>
      <w:r>
        <w:rPr>
          <w:rtl w:val="0"/>
        </w:rPr>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whether the lower Veterinary Medicine density and patterns such as rescue-hedging after non-significant results persist across multiple institutions and groups. A multi-institutional comparison involving other Philippine state universities would help determine whether these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One hypothesis worth testing is whether program-level expectations in Veterinary Medicine discourage or rarely require hedging in abstracts. The present study does not provide evidence that VM advisers hold that stance. Adviser interviews would be needed to test it. Parallel work could also compare how often each discipline writes up non-significant findings and whether null write-ups invite different hedging choices, while recognizing that outcome type and discipline are entangled in this sample.</w:t>
      </w:r>
      <w:r>
        <w:rPr>
          <w:rtl w:val="0"/>
        </w:rPr>
      </w:r>
    </w:p>
    <w:p>
      <w:pPr>
        <w:spacing w:before="0" w:after="0" w:line="480" w:lineRule="auto"/>
        <w:ind w:firstLine="720"/>
        <w:jc w:val="both"/>
        <w:rPr/>
      </w:pPr>
      <w:r>
        <w:rPr>
          <w:rFonts w:ascii="Georgia" w:hAnsi="Georgia"/>
          <w:sz w:val="22"/>
          <w:szCs w:val="22"/>
        </w:rPr>
        <w:t xml:space="preserve">This study’s Stage 1 gate admits force, directness, and imposition reduction so that P and DO are not excluded by definition. In this sample, retained tokens were still all EC at Stage 2. Future work could apply the same Stage 1–2 scheme to full thesis chapters or expert abstracts, where interpersonal and discourse-managing mitigation may appear more often than in compressed undergraduate abstracts.</w:t>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hAnsi="Georgia" w:cs="Georgia" w:eastAsia="Georgia"/>
          <w:b w:val="0"/>
          <w:bCs w:val="0"/>
          <w:i w:val="0"/>
          <w:iCs w:val="0"/>
          <w:sz w:val="22"/>
          <w:szCs w:val="22"/>
          <w:rtl w:val="0"/>
        </w:rPr>
        <w:t>The coding methodology developed in this study, including the codebook’s decision rules and the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both"/>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both"/>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pPr>
        <w:spacing w:before="0" w:after="0" w:line="480" w:lineRule="auto"/>
        <w:ind w:left="720" w:hanging="720"/>
        <w:jc w:val="both"/>
        <w:rPr/>
      </w:pPr>
      <w:r>
        <w:rPr>
          <w:rFonts w:ascii="Georgia" w:hAnsi="Georgia"/>
          <w:sz w:val="22"/>
          <w:szCs w:val="22"/>
        </w:rPr>
        <w:t xml:space="preserve">Crompton, P. (1997). Hedging in academic writing: Some theoretical problems. English for Specific Purposes, 16(4), 271-287. https://www.academia.edu/50160307/Hedging_in_academic_writing_Some_theoretical_problems</w:t>
      </w:r>
    </w:p>
    <w:p w:rsidR="00000000" w:rsidDel="00000000" w:rsidP="00000000" w:rsidRDefault="00000000" w:rsidRPr="00000000" w14:paraId="00000188">
      <w:pPr>
        <w:spacing w:before="0" w:after="0" w:line="480" w:lineRule="auto"/>
        <w:ind w:left="720" w:hanging="720"/>
        <w:jc w:val="both"/>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both"/>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both"/>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rsidR="00000000" w:rsidDel="00000000" w:rsidP="00000000" w:rsidRDefault="00000000" w:rsidRPr="00000000" w14:paraId="0000018B">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both"/>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both"/>
        <w:rPr/>
      </w:pPr>
      <w:r>
        <w:rPr>
          <w:rFonts w:ascii="Georgia" w:cs="Georgia" w:eastAsia="Georgia" w:hAnsi="Georgia"/>
          <w:b w:val="0"/>
          <w:bCs w:val="0"/>
          <w:i w:val="0"/>
          <w:iCs w:val="0"/>
          <w:sz w:val="22"/>
          <w:szCs w:val="22"/>
          <w:rtl w:val="0"/>
        </w:rPr>
        <w:t>Khunasathitchai, K., Sittironnarit, S., Sinturat, T., &amp; Kumdee, S. (2025). Move analysis and hedge use in the research paper abstracts of Thai EFL English-majored undergraduates. rEFLections, 32(2), 951–973. https://doi.org/10.61508/refl.v32i2.282512</w:t>
      </w:r>
      <w:r>
        <w:rPr>
          <w:rFonts w:ascii="Georgia" w:cs="Georgia" w:eastAsia="Georgia" w:hAnsi="Georgia"/>
          <w:b w:val="0"/>
          <w:bCs w:val="0"/>
          <w:i w:val="1"/>
          <w:iCs w:val="1"/>
          <w:sz w:val="22"/>
          <w:szCs w:val="22"/>
          <w:rtl w:val="0"/>
        </w:rPr>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192">
      <w:pPr>
        <w:spacing w:before="0" w:after="0" w:line="480" w:lineRule="auto"/>
        <w:ind w:left="720" w:hanging="720"/>
        <w:jc w:val="both"/>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pPr>
        <w:spacing w:before="0" w:after="0" w:line="480" w:lineRule="auto"/>
        <w:ind w:left="720" w:hanging="720"/>
        <w:jc w:val="both"/>
        <w:rPr/>
      </w:pPr>
      <w:r>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https://doi.org/10.47772/IJRISS.2025.91100485</w:t>
      </w:r>
    </w:p>
    <w:p w:rsidR="00000000" w:rsidDel="00000000" w:rsidP="00000000" w:rsidRDefault="00000000" w:rsidRPr="00000000" w14:paraId="00000193">
      <w:pPr>
        <w:spacing w:before="0" w:after="0" w:line="480" w:lineRule="auto"/>
        <w:ind w:left="720" w:hanging="720"/>
        <w:jc w:val="both"/>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both"/>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both"/>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both"/>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both"/>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both"/>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both"/>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Next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spacing w:before="40" w:after="20" w:line="264" w:lineRule="auto"/>
        <w:jc w:val="left"/>
        <w:rPr/>
      </w:pPr>
      <w:r>
        <w:rPr>
          <w:rFonts w:ascii="Georgia" w:cs="Georgia" w:eastAsia="Georgia" w:hAnsi="Georgia"/>
          <w:b w:val="1"/>
          <w:bCs w:val="1"/>
          <w:sz w:val="22"/>
          <w:szCs w:val="22"/>
          <w:rtl w:val="0"/>
        </w:rPr>
        <w:t xml:space="preserve">APPENDIX A: HEDGING CODEBOOK</w:t>
      </w:r>
      <w:r>
        <w:rPr>
          <w:rtl w:val="0"/>
          <w:sz w:val="22"/>
          <w:szCs w:val="22"/>
        </w:rPr>
      </w:r>
    </w:p>
    <w:p w:rsidR="00000000" w:rsidDel="00000000" w:rsidP="00000000" w:rsidRDefault="00000000" w:rsidRPr="00000000" w14:paraId="000001A0">
      <w:pPr>
        <w:spacing w:before="0" w:after="0" w:line="264" w:lineRule="auto"/>
        <w:jc w:val="both"/>
        <w:rPr/>
      </w:pPr>
      <w:r>
        <w:rPr>
          <w:rFonts w:ascii="Georgia" w:hAnsi="Georgia" w:cs="Georgia" w:eastAsia="Georgia"/>
          <w:b w:val="0"/>
          <w:sz w:val="22"/>
          <w:szCs w:val="22"/>
        </w:rPr>
        <w:t>• Full protocol: quick-reference → legend → stages → examples → type/function tables → decision rules → false positives → unhedged sites.</w:t>
      </w:r>
    </w:p>
    <w:p w:rsidR="00000000" w:rsidDel="00000000" w:rsidP="00000000" w:rsidRDefault="00000000" w:rsidRPr="00000000" w14:paraId="000001A2">
      <w:pPr>
        <w:keepNext w:val="1"/>
        <w:spacing w:before="40" w:after="20" w:line="264" w:lineRule="auto"/>
        <w:ind w:firstLine="720"/>
        <w:jc w:val="left"/>
        <w:rPr/>
      </w:pPr>
      <w:r>
        <w:rPr>
          <w:rFonts w:ascii="Georgia" w:cs="Georgia" w:eastAsia="Georgia" w:hAnsi="Georgia"/>
          <w:b w:val="1"/>
          <w:bCs w:val="1"/>
          <w:sz w:val="22"/>
          <w:szCs w:val="22"/>
          <w:rtl w:val="0"/>
        </w:rPr>
        <w:t xml:space="preserve">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sz w:val="22"/>
          <w:szCs w:val="22"/>
        </w:rPr>
      </w:r>
    </w:p>
    <w:p w:rsidR="00000000" w:rsidDel="00000000" w:rsidP="00000000" w:rsidRDefault="00000000" w:rsidRPr="00000000" w14:paraId="000001A4">
      <w:pPr>
        <w:keepNext w:val="1"/>
        <w:spacing w:before="24" w:after="0" w:line="264" w:lineRule="auto"/>
        <w:jc w:val="left"/>
        <w:rPr/>
      </w:pPr>
      <w:r>
        <w:rPr>
          <w:rFonts w:ascii="Georgia" w:cs="Georgia" w:eastAsia="Georgia" w:hAnsi="Georgia"/>
          <w:b w:val="1"/>
          <w:bCs w:val="1"/>
          <w:sz w:val="22"/>
          <w:szCs w:val="22"/>
          <w:rtl w:val="0"/>
        </w:rPr>
        <w:t xml:space="preserve">Hedge 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force or certainty of a claim and pass Stage 1.</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sz w:val="22"/>
          <w:szCs w:val="22"/>
        </w:rPr>
      </w:r>
    </w:p>
    <w:p w:rsidR="00000000" w:rsidDel="00000000" w:rsidP="00000000" w:rsidRDefault="00000000" w:rsidRPr="00000000" w14:paraId="000001A9">
      <w:pPr>
        <w:keepNext w:val="1"/>
        <w:spacing w:before="24" w:after="0" w:line="264" w:lineRule="auto"/>
        <w:ind w:firstLine="720"/>
        <w:jc w:val="left"/>
        <w:rPr/>
      </w:pPr>
      <w:r>
        <w:rPr>
          <w:rFonts w:ascii="Georgia" w:cs="Georgia" w:eastAsia="Georgia" w:hAnsi="Georgia"/>
          <w:b w:val="1"/>
          <w:bCs w:val="1"/>
          <w:sz w:val="22"/>
          <w:szCs w:val="22"/>
          <w:rtl w:val="0"/>
        </w:rPr>
        <w:t xml:space="preserve">Hedge functions</w:t>
      </w:r>
      <w:r>
        <w:rPr>
          <w:rtl w:val="0"/>
          <w:sz w:val="22"/>
          <w:szCs w:val="22"/>
        </w:rPr>
      </w:r>
    </w:p>
    <w:p w:rsidR="00000000" w:rsidDel="00000000" w:rsidP="00000000" w:rsidRDefault="00000000" w:rsidRPr="00000000" w14:paraId="000001AA">
      <w:pPr>
        <w:spacing w:before="0" w:after="0" w:line="264"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sz w:val="22"/>
          <w:szCs w:val="22"/>
        </w:rPr>
      </w:r>
    </w:p>
    <w:p w:rsidR="00000000" w:rsidDel="00000000" w:rsidP="00000000" w:rsidRDefault="00000000" w:rsidRPr="00000000" w14:paraId="000001AB">
      <w:pPr>
        <w:spacing w:before="0" w:after="0" w:line="264"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sz w:val="22"/>
          <w:szCs w:val="22"/>
        </w:rPr>
      </w:r>
    </w:p>
    <w:p w:rsidR="00000000" w:rsidDel="00000000" w:rsidP="00000000" w:rsidRDefault="00000000" w:rsidRPr="00000000" w14:paraId="000001AC">
      <w:pPr>
        <w:spacing w:before="0" w:after="0" w:line="264"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sz w:val="22"/>
          <w:szCs w:val="22"/>
        </w:rPr>
      </w:r>
    </w:p>
    <w:p w:rsidR="00000000" w:rsidDel="00000000" w:rsidP="00000000" w:rsidRDefault="00000000" w:rsidRPr="00000000" w14:paraId="000001AD">
      <w:pPr>
        <w:keepNext w:val="1"/>
        <w:spacing w:before="24" w:after="0" w:line="264" w:lineRule="auto"/>
        <w:ind w:firstLine="720"/>
        <w:jc w:val="left"/>
        <w:rPr/>
      </w:pPr>
      <w:r>
        <w:rPr>
          <w:rFonts w:ascii="Georgia" w:cs="Georgia" w:eastAsia="Georgia" w:hAnsi="Georgia"/>
          <w:b w:val="1"/>
          <w:bCs w:val="1"/>
          <w:sz w:val="22"/>
          <w:szCs w:val="22"/>
          <w:rtl w:val="0"/>
        </w:rPr>
        <w:t xml:space="preserve">Core decision rules</w:t>
      </w:r>
      <w:r>
        <w:rPr>
          <w:rtl w:val="0"/>
          <w:sz w:val="22"/>
          <w:szCs w:val="22"/>
        </w:rPr>
      </w:r>
    </w:p>
    <w:p w:rsidR="00000000" w:rsidDel="00000000" w:rsidP="00000000" w:rsidRDefault="00000000" w:rsidRPr="00000000" w14:paraId="000001AE">
      <w:pPr>
        <w:spacing w:before="0" w:after="0" w:line="264" w:lineRule="auto"/>
        <w:ind w:left="240" w:firstLine="720"/>
        <w:jc w:val="both"/>
        <w:rPr/>
      </w:pPr>
      <w:r>
        <w:rPr>
          <w:rFonts w:ascii="Georgia" w:hAnsi="Georgia" w:cs="Georgia" w:eastAsia="Georgia"/>
          <w:rtl w:val="0"/>
          <w:i/>
          <w:iCs/>
          <w:sz w:val="22"/>
          <w:szCs w:val="22"/>
        </w:rPr>
        <w:t xml:space="preserve">suggest / indicate becomes hedge when introducing a finding. Not a hedge when introducing a recommendation.</w:t>
      </w:r>
      <w:r>
        <w:rPr>
          <w:rtl w:val="0"/>
          <w:rFonts w:ascii="Georgia" w:hAnsi="Georgia"/>
          <w:sz w:val="22"/>
          <w:szCs w:val="22"/>
          <w:i/>
          <w:iCs/>
        </w:rPr>
      </w:r>
    </w:p>
    <w:p w:rsidR="00000000" w:rsidDel="00000000" w:rsidP="00000000" w:rsidRDefault="00000000" w:rsidRPr="00000000" w14:paraId="000001AF">
      <w:pPr>
        <w:spacing w:before="0" w:after="0" w:line="264" w:lineRule="auto"/>
        <w:ind w:left="240" w:firstLine="720"/>
        <w:jc w:val="both"/>
        <w:rPr/>
      </w:pPr>
      <w:r>
        <w:rPr>
          <w:rFonts w:ascii="Georgia" w:hAnsi="Georgia" w:cs="Georgia" w:eastAsia="Georgia"/>
          <w:rtl w:val="0"/>
          <w:i/>
          <w:iCs/>
          <w:sz w:val="22"/>
          <w:szCs w:val="22"/>
        </w:rPr>
        <w:t xml:space="preserve">can / may becomes hedge when marking possibility. Not a hedge when marking capability.</w:t>
      </w:r>
      <w:r>
        <w:rPr>
          <w:rtl w:val="0"/>
          <w:rFonts w:ascii="Georgia" w:hAnsi="Georgia"/>
          <w:sz w:val="22"/>
          <w:szCs w:val="22"/>
          <w:i/>
          <w:iCs/>
        </w:rPr>
      </w:r>
    </w:p>
    <w:p w:rsidR="00000000" w:rsidDel="00000000" w:rsidP="00000000" w:rsidRDefault="00000000" w:rsidRPr="00000000" w14:paraId="000001B0">
      <w:pPr>
        <w:spacing w:before="0" w:after="0" w:line="264" w:lineRule="auto"/>
        <w:ind w:left="240" w:firstLine="720"/>
        <w:jc w:val="both"/>
        <w:rPr/>
      </w:pPr>
      <w:r>
        <w:rPr>
          <w:rFonts w:ascii="Georgia" w:hAnsi="Georgia" w:cs="Georgia" w:eastAsia="Georgia"/>
          <w:rtl w:val="0"/>
          <w:i/>
          <w:iCs/>
          <w:sz w:val="22"/>
          <w:szCs w:val="22"/>
        </w:rPr>
        <w:t xml:space="preserve">generally / typically becomes hedge when limiting the scope of a claim. Not a hedge when describing a procedural norm.</w:t>
      </w:r>
      <w:r>
        <w:rPr>
          <w:rtl w:val="0"/>
          <w:rFonts w:ascii="Georgia" w:hAnsi="Georgia"/>
          <w:sz w:val="22"/>
          <w:szCs w:val="22"/>
          <w:i/>
          <w:iCs/>
        </w:rPr>
      </w:r>
    </w:p>
    <w:p w:rsidR="00000000" w:rsidDel="00000000" w:rsidP="00000000" w:rsidRDefault="00000000" w:rsidRPr="00000000" w14:paraId="000001B1">
      <w:pPr>
        <w:spacing w:before="0" w:after="0" w:line="264" w:lineRule="auto"/>
        <w:ind w:left="240" w:firstLine="0"/>
        <w:jc w:val="both"/>
        <w:rPr/>
      </w:pPr>
      <w:r>
        <w:rPr>
          <w:rFonts w:ascii="Georgia" w:hAnsi="Georgia" w:cs="Georgia" w:eastAsia="Georgia"/>
          <w:rtl w:val="0"/>
          <w:i/>
          <w:iCs/>
          <w:sz w:val="22"/>
          <w:szCs w:val="22"/>
        </w:rPr>
        <w:t xml:space="preserve">appear / seem becomes hedge when expressing uncertainty about a result. Not a hedge when pointing to location in a table or text.</w:t>
      </w:r>
      <w:r>
        <w:rPr>
          <w:rtl w:val="0"/>
          <w:rFonts w:ascii="Georgia" w:hAnsi="Georgia"/>
          <w:sz w:val="22"/>
          <w:szCs w:val="22"/>
          <w:i/>
          <w:iCs/>
        </w:rPr>
      </w:r>
    </w:p>
    <w:p w:rsidR="00000000" w:rsidDel="00000000" w:rsidP="00000000" w:rsidRDefault="00000000" w:rsidRPr="00000000" w14:paraId="000001B2">
      <w:pPr>
        <w:keepNext w:val="1"/>
        <w:spacing w:before="24" w:after="0" w:line="264" w:lineRule="auto"/>
        <w:ind w:firstLine="720"/>
        <w:jc w:val="left"/>
        <w:rPr/>
      </w:pPr>
      <w:r>
        <w:rPr>
          <w:rFonts w:ascii="Georgia" w:cs="Georgia" w:eastAsia="Georgia" w:hAnsi="Georgia"/>
          <w:b w:val="1"/>
          <w:bCs w:val="1"/>
          <w:sz w:val="22"/>
          <w:szCs w:val="22"/>
          <w:rtl w:val="0"/>
        </w:rPr>
        <w:t xml:space="preserve">Exclusion and Working Test</w:t>
      </w:r>
      <w:r>
        <w:rPr>
          <w:rtl w:val="0"/>
          <w:sz w:val="22"/>
          <w:szCs w:val="22"/>
        </w:rPr>
      </w:r>
    </w:p>
    <w:p w:rsidR="00000000" w:rsidDel="00000000" w:rsidP="00000000" w:rsidRDefault="00000000" w:rsidRPr="00000000" w14:paraId="000001B3">
      <w:pPr>
        <w:spacing w:before="0" w:after="0" w:line="264" w:lineRule="auto"/>
        <w:jc w:val="both"/>
        <w:rPr/>
        <w:ind w:left="360" w:hanging="360"/>
      </w:pPr>
      <w:r>
        <w:rPr>
          <w:rFonts w:ascii="Georgia" w:hAnsi="Georgia" w:cs="Georgia" w:eastAsia="Georgia"/>
          <w:b w:val="0"/>
          <w:bCs w:val="0"/>
          <w:sz w:val="22"/>
          <w:szCs w:val="22"/>
          <w:rtl w:val="0"/>
        </w:rPr>
        <w:t>• Never hedges: ability, future procedure, must/should in procedural steps, and deontic recommendations or obligations (FP-Rec). • Stage 1 (retention): keep the device if removing it makes a knowledge claim more categorical or more direct, or softens how that claim is put forward (force, directness, or uptake). P and DO can pass Stage 1. • Stage 1 excludes: capability, pure procedure, pure move sequencing, and topic-naming with no force reduction on a claim. • Working Test (Stage 2, EC only): does removing the device change commitment to the truth of the proposition? Supports an EC label. Not the only Stage 1 gate.</w:t>
      </w:r>
      <w:r>
        <w:rPr>
          <w:rtl w:val="0"/>
          <w:sz w:val="22"/>
          <w:szCs w:val="22"/>
        </w:rPr>
      </w:r>
    </w:p>
    <w:p>
      <w:pPr>
        <w:spacing w:line="240" w:lineRule="auto" w:before="0" w:after="0"/>
      </w:pPr>
      <w:r>
        <w:br w:type="page"/>
      </w:r>
    </w:p>
    <w:p w:rsidR="00000000" w:rsidDel="00000000" w:rsidP="00000000" w:rsidRDefault="00000000" w:rsidRPr="00000000" w14:paraId="00000233">
      <w:pPr>
        <w:keepNext w:val="1"/>
        <w:spacing w:before="60" w:after="0" w:line="288"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88"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88"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tblHeader w:val="0"/>
          <w:cantSplit/>
        </w:trPr>
        <w:tc>
          <w:tcPr/>
          <w:p w:rsidR="00000000" w:rsidDel="00000000" w:rsidP="00000000" w:rsidRDefault="00000000" w:rsidRPr="00000000" w14:paraId="00000237">
            <w:pPr>
              <w:spacing w:before="0" w:after="0" w:line="288"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88"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88"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88"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88"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88"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88"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tblHeader w:val="0"/>
          <w:cantSplit/>
        </w:trPr>
        <w:tc>
          <w:tcPr/>
          <w:p w:rsidR="00000000" w:rsidDel="00000000" w:rsidP="00000000" w:rsidRDefault="00000000" w:rsidRPr="00000000" w14:paraId="0000023E">
            <w:pPr>
              <w:spacing w:before="0" w:after="0" w:line="288"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288"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88"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88"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80" w:after="0" w:line="288"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rFonts w:ascii="Georgia" w:hAnsi="Georgia" w:cs="Georgia" w:eastAsia="Georgia"/>
          <w:color w:val="000000"/>
        </w:rPr>
        <w:t xml:space="preserve"> that C. longa extracts are </w:t>
      </w:r>
      <w:r>
        <w:rPr>
          <w:rFonts w:ascii="Georgia" w:hAnsi="Georgia" w:cs="Georgia" w:eastAsia="Georgia"/>
          <w:highlight w:val="red"/>
          <w:color w:val="ffffff"/>
        </w:rPr>
        <w:t>potential</w:t>
      </w:r>
      <w:r>
        <w:rPr>
          <w:rFonts w:ascii="Georgia" w:hAnsi="Georgia" w:cs="Georgia" w:eastAsia="Georgia"/>
          <w:color w:val="000000"/>
        </w:rPr>
        <w:t xml:space="preserve"> </w:t>
      </w:r>
      <w:r>
        <w:rPr>
          <w:rFonts w:ascii="Georgia" w:hAnsi="Georgia" w:cs="Georgia" w:eastAsia="Georgia"/>
          <w:color w:val="ed7d31"/>
        </w:rPr>
        <w:t>(EC)</w:t>
      </w:r>
      <w:r>
        <w:rPr>
          <w:rFonts w:ascii="Georgia" w:hAnsi="Georgia" w:cs="Georgia" w:eastAsia="Georgia"/>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288"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60" w:after="0" w:line="288"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88"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88"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88"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88"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51">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80" w:after="0" w:line="288"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288" w:lineRule="auto"/>
        <w:ind w:firstLine="720"/>
        <w:jc w:val="both"/>
        <w:rPr/>
      </w:pPr>
      <w:r>
        <w:rPr>
          <w:rFonts w:ascii="Georgia" w:hAnsi="Georgia" w:cs="Georgia" w:eastAsia="Georgia"/>
          <w:b w:val="0"/>
          <w:bCs w:val="0"/>
          <w:i w:val="1"/>
          <w:iCs w:val="1"/>
          <w:color w:val="000000"/>
          <w:sz w:val="22"/>
          <w:szCs w:val="22"/>
          <w:rtl w:val="0"/>
        </w:rPr>
        <w:t>Unhedged-site data, tracked separately so it never inflates RQ2 counts.</w:t>
      </w:r>
      <w:r>
        <w:rPr>
          <w:rtl w:val="0"/>
        </w:rPr>
      </w:r>
    </w:p>
    <w:p w:rsidR="00000000" w:rsidDel="00000000" w:rsidP="00000000" w:rsidRDefault="00000000" w:rsidRPr="00000000" w14:paraId="0000025E">
      <w:pPr>
        <w:keepNext w:val="1"/>
        <w:spacing w:before="60" w:after="0" w:line="288"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88"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88"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6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80" w:after="0" w:line="288"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88"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88"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7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spacing w:before="120" w:after="6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6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left="360" w:hanging="360"/>
        <w:jc w:val="both"/>
        <w:rPr/>
      </w:pPr>
      <w:r>
        <w:rPr>
          <w:rFonts w:ascii="Georgia" w:cs="Georgia" w:eastAsia="Georgia" w:hAnsi="Georgia"/>
          <w:b w:val="0"/>
          <w:bCs w:val="0"/>
          <w:sz w:val="22"/>
          <w:szCs w:val="22"/>
          <w:rtl w:val="0"/>
        </w:rPr>
        <w:t>• Practical coding scheme for the PSAU undergraduate thesis abstract corpus, adapted from Hyland (1998).</w:t>
      </w:r>
      <w:r>
        <w:rPr>
          <w:rtl w:val="0"/>
        </w:rPr>
      </w:r>
    </w:p>
    <w:p w:rsidR="00000000" w:rsidDel="00000000" w:rsidP="00000000" w:rsidRDefault="00000000" w:rsidRPr="00000000" w14:paraId="000001B8">
      <w:pPr>
        <w:keepNext w:val="1"/>
        <w:spacing w:before="120" w:after="60" w:line="360" w:lineRule="auto"/>
        <w:jc w:val="left"/>
        <w:rPr/>
      </w:pPr>
      <w:r>
        <w:rPr>
          <w:rFonts w:ascii="Georgia" w:cs="Georgia" w:eastAsia="Georgia" w:hAnsi="Georgia"/>
          <w:b w:val="1"/>
          <w:bCs w:val="1"/>
          <w:i w:val="0"/>
          <w:iCs w:val="0"/>
          <w:sz w:val="24"/>
          <w:szCs w:val="24"/>
          <w:rtl w:val="0"/>
        </w:rPr>
        <w:t xml:space="preserve">STAGE 1, STAGE 2, AND WORKING TEST</w:t>
      </w:r>
      <w:r>
        <w:rPr>
          <w:rtl w:val="0"/>
        </w:rPr>
      </w:r>
    </w:p>
    <w:p w:rsidR="00000000" w:rsidDel="00000000" w:rsidP="00000000" w:rsidRDefault="00000000" w:rsidRPr="00000000" w14:paraId="000001B9">
      <w:pPr>
        <w:spacing w:before="0" w:after="0" w:line="360" w:lineRule="auto"/>
        <w:ind w:left="360" w:hanging="360"/>
        <w:jc w:val="both"/>
        <w:rPr/>
      </w:pPr>
      <w:r>
        <w:rPr>
          <w:rFonts w:ascii="Georgia" w:cs="Georgia" w:eastAsia="Georgia" w:hAnsi="Georgia"/>
          <w:b w:val="0"/>
          <w:bCs w:val="0"/>
          <w:i w:val="0"/>
          <w:iCs w:val="0"/>
          <w:color w:val="000000"/>
          <w:sz w:val="22"/>
          <w:szCs w:val="22"/>
          <w:rtl w:val="0"/>
        </w:rPr>
        <w:t>• Stage 1 (retention). Keep if removing the expression makes a knowledge claim more categorical or more direct, or softens how that claim is put forward.</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083">
      <w:pPr>
        <w:spacing w:before="120" w:after="60" w:line="360" w:lineRule="auto"/>
        <w:ind w:left="360" w:hanging="360"/>
        <w:jc w:val="both"/>
        <w:rPr/>
      </w:pPr>
      <w:r>
        <w:rPr>
          <w:rFonts w:ascii="Georgia" w:cs="Georgia" w:eastAsia="Georgia" w:hAnsi="Georgia"/>
          <w:b w:val="0"/>
          <w:bCs w:val="0"/>
          <w:i w:val="0"/>
          <w:iCs w:val="0"/>
          <w:sz w:val="22"/>
          <w:szCs w:val="22"/>
          <w:rtl w:val="0"/>
        </w:rPr>
        <w:t>• Stage 1 excludes. Recommendations or obligations, capability, pure procedure, pure move sequencing, topic-naming with no force reduction on a claim.</w:t>
      </w:r>
      <w:r>
        <w:rPr>
          <w:rtl w:val="0"/>
        </w:rPr>
      </w:r>
    </w:p>
    <w:p w:rsidR="00000000" w:rsidDel="00000000" w:rsidP="00000000" w:rsidRDefault="00000000" w:rsidRPr="00000000" w14:paraId="000001BA">
      <w:pPr>
        <w:spacing w:before="120" w:after="60" w:line="360" w:lineRule="auto"/>
        <w:ind w:left="360" w:hanging="360"/>
        <w:jc w:val="both"/>
        <w:rPr/>
      </w:pPr>
      <w:r>
        <w:rPr>
          <w:rFonts w:ascii="Georgia" w:cs="Georgia" w:eastAsia="Georgia" w:hAnsi="Georgia"/>
          <w:b w:val="0"/>
          <w:bCs w:val="0"/>
          <w:i w:val="0"/>
          <w:iCs w:val="0"/>
          <w:sz w:val="22"/>
          <w:szCs w:val="22"/>
          <w:rtl w:val="0"/>
        </w:rPr>
        <w:t>• Stage 2 (function). Label retained items EC, P, and/or DO. Co-occurrence allowed.</w:t>
      </w:r>
      <w:r>
        <w:rPr>
          <w:rtl w:val="0"/>
        </w:rPr>
      </w:r>
    </w:p>
    <w:p w:rsidR="00000000" w:rsidDel="00000000" w:rsidP="00000000" w:rsidRDefault="00000000" w:rsidRPr="00000000" w14:paraId="000001BB">
      <w:pPr>
        <w:spacing w:before="0" w:after="0" w:line="360" w:lineRule="auto"/>
        <w:ind w:left="360" w:hanging="360"/>
        <w:jc w:val="both"/>
        <w:rPr/>
      </w:pPr>
      <w:r>
        <w:rPr>
          <w:rFonts w:ascii="Georgia" w:cs="Georgia" w:eastAsia="Georgia" w:hAnsi="Georgia"/>
          <w:b w:val="0"/>
          <w:bCs w:val="0"/>
          <w:i w:val="0"/>
          <w:iCs w:val="0"/>
          <w:color w:val="000000"/>
          <w:sz w:val="22"/>
          <w:szCs w:val="22"/>
          <w:rtl w:val="0"/>
        </w:rPr>
        <w:t>• Working Test (EC only). Does removing the device change commitment to the truth of the proposition? Supports EC. Not the only Stage 1 gate.</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1BC">
      <w:pPr>
        <w:spacing w:before="120" w:after="60" w:line="360" w:lineRule="auto"/>
        <w:ind w:left="360" w:hanging="360"/>
        <w:jc w:val="both"/>
        <w:rPr/>
      </w:pPr>
      <w:r>
        <w:rPr>
          <w:rFonts w:ascii="Georgia" w:cs="Georgia" w:eastAsia="Georgia" w:hAnsi="Georgia"/>
          <w:b w:val="0"/>
          <w:bCs w:val="0"/>
          <w:i w:val="0"/>
          <w:iCs w:val="0"/>
          <w:sz w:val="22"/>
          <w:szCs w:val="22"/>
          <w:rtl w:val="0"/>
        </w:rPr>
        <w:t>• Softening / deontic / order. Softening includes P and DO at Stage 1 when force or uptake is reduced. Deontic advice is never retained (FP-Rec). Coding order: full sentence → Stage 1 → Decision Rules → Stage 2 → Working Test for EC → Coder Notes.</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1"/>
          <w:bCs w:val="0"/>
          <w:i w:val="0"/>
          <w:iCs w:val="0"/>
          <w:sz w:val="22"/>
          <w:szCs w:val="22"/>
          <w:rtl w:val="0"/>
        </w:rPr>
        <w:t xml:space="preserve">WORKING EXAMPLES: STAGE 1 RETENTION AND STAGE 2 FUNCTION (EC, P, DO)</w:t>
      </w:r>
      <w:r>
        <w:rPr>
          <w:rtl w:val="0"/>
          <w:b w:val="1"/>
        </w:rPr>
      </w:r>
    </w:p>
    <w:p w:rsidR="00000000" w:rsidDel="00000000" w:rsidP="00000000" w:rsidRDefault="00000000" w:rsidRPr="00000000" w14:paraId="00000083">
      <w:pPr>
        <w:spacing w:before="0" w:after="0" w:line="360" w:lineRule="auto"/>
        <w:ind w:left="360" w:hanging="360"/>
        <w:jc w:val="both"/>
        <w:rPr/>
      </w:pPr>
      <w:r>
        <w:rPr>
          <w:rFonts w:ascii="Georgia" w:hAnsi="Georgia" w:cs="Georgia" w:eastAsia="Georgia"/>
          <w:b w:val="0"/>
          <w:bCs w:val="0"/>
          <w:i w:val="0"/>
          <w:iCs w:val="0"/>
          <w:sz w:val="22"/>
          <w:szCs w:val="22"/>
          <w:rtl w:val="0"/>
        </w:rPr>
        <w:t>• Function labels apply after Stage 1. Stage 1 = how a finding is stated, not advice. Working Test supports EC when certainty changes.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EC: “The treatment may reduce infection rates.” Removing may raises certainty → hedge, EC.</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FP-Cap: “PCR can detect low concentrations.” can = capability, not uncertainty about a finding.</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P: “As suggested by previous researchers, the treatment is effective.” Stage 1 may pass. EC Working Test fails if certainty is unchanged → function P.</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P + EC: Stage 1 and Working Test both pass → dominant function from context (or dual note in Coder Notes).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DO: “It should be noted that the treatment increased plant height.” Frame guides the reader, not certainty → DO if Stage 1 passes on framing only.</w:t>
      </w:r>
      <w:r>
        <w:rPr>
          <w:rtl w:val="0"/>
        </w:rPr>
      </w:r>
    </w:p>
    <w:p w:rsidR="00000000" w:rsidDel="00000000" w:rsidP="00000000" w:rsidRDefault="00000000" w:rsidRPr="00000000" w14:paraId="00000083">
      <w:pPr>
        <w:spacing w:before="0" w:after="0" w:line="360" w:lineRule="auto"/>
        <w:ind w:left="360" w:hanging="360"/>
        <w:jc w:val="both"/>
        <w:rPr/>
      </w:pPr>
      <w:r>
        <w:rPr>
          <w:rFonts w:ascii="Georgia" w:cs="Georgia" w:eastAsia="Georgia" w:hAnsi="Georgia"/>
          <w:b w:val="0"/>
          <w:bCs w:val="0"/>
          <w:i w:val="0"/>
          <w:iCs w:val="0"/>
          <w:sz w:val="22"/>
          <w:szCs w:val="22"/>
          <w:rtl w:val="0"/>
        </w:rPr>
        <w:t>• DO frame + separate hedge: “It should be noted that the results may indicate growth.” Code may as hedge (EC). Frame alone is not the hedge count.</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cs="Georgia" w:eastAsia="Georgia" w:hAnsi="Georgia"/>
          <w:b w:val="0"/>
          <w:bCs w:val="0"/>
          <w:i w:val="0"/>
          <w:iCs w:val="0"/>
          <w:sz w:val="22"/>
          <w:szCs w:val="22"/>
          <w:rtl w:val="0"/>
        </w:rPr>
        <w:t>• Summary: Stage 1 may retain P or DO when force or uptake is reduced. Stage 2 labels EC / P / DO. Working Test supports EC only. In this corpus all 65 retained tokens were EC. No P forms appeared. Sequence-only connectives were not counted.</w:t>
      </w:r>
      <w:r>
        <w:rPr>
          <w:rtl w:val="0"/>
        </w:rPr>
      </w:r>
    </w:p>
    <w:p w:rsidR="00000000" w:rsidDel="00000000" w:rsidP="00000000" w:rsidRDefault="00000000" w:rsidRPr="00000000" w14:paraId="000001BE">
      <w:pPr>
        <w:keepNext w:val="1"/>
        <w:spacing w:before="120" w:after="60" w:line="360" w:lineRule="auto"/>
        <w:jc w:val="left"/>
        <w:rPr/>
      </w:pPr>
      <w:r>
        <w:rPr>
          <w:rFonts w:ascii="Georgia" w:hAnsi="Georgia" w:cs="Georgia" w:eastAsia="Georgia"/>
          <w:b/>
          <w:bCs w:val="1"/>
          <w:i w:val="0"/>
          <w:iCs w:val="0"/>
          <w:sz w:val="24"/>
          <w:szCs w:val="24"/>
          <w:rtl w:val="0"/>
        </w:rPr>
        <w:t>HEDGE TYPE (PRIMARY COLORS)</w:t>
      </w:r>
      <w:r>
        <w:rPr>
          <w:rtl w:val="0"/>
        </w:rPr>
      </w:r>
    </w:p>
    <w:p w:rsidR="00000000" w:rsidDel="00000000" w:rsidP="00000000" w:rsidRDefault="00000000" w:rsidRPr="00000000" w14:paraId="000001BF">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tblHeader w:val="0"/>
          <w:cantSplit/>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tblHeader w:val="0"/>
          <w:cantSplit/>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tblHeader w:val="0"/>
          <w:cantSplit/>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tblHeader w:val="0"/>
          <w:cantSplit/>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0" w:after="20" w:line="360" w:lineRule="auto"/>
        <w:ind w:firstLine="720"/>
        <w:jc w:val="both"/>
        <w:rPr/>
      </w:pPr>
      <w:r>
        <w:rPr>
          <w:rFonts w:ascii="Georgia" w:hAnsi="Georgia" w:cs="Georgia" w:eastAsia="Georgia"/>
          <w:b w:val="0"/>
          <w:bCs w:val="0"/>
          <w:i w:val="1"/>
          <w:iCs w:val="1"/>
          <w:color w:val="000000"/>
          <w:sz w:val="22"/>
          <w:szCs w:val="22"/>
          <w:rtl w:val="0"/>
        </w:rPr>
        <w:t>Exclusions (capability, recommendation, procedural norm, location) are in the Decision Rules table.</w:t>
      </w:r>
      <w:r>
        <w:rPr>
          <w:rFonts w:ascii="Georgia" w:cs="Georgia" w:eastAsia="Georgia" w:hAnsi="Georgia"/>
          <w:b w:val="1"/>
          <w:bCs w:val="1"/>
          <w:i w:val="1"/>
          <w:iCs w:val="1"/>
          <w:color w:val="000000"/>
          <w:sz w:val="22"/>
          <w:szCs w:val="22"/>
          <w:rtl w:val="0"/>
        </w:rPr>
      </w:r>
      <w:r>
        <w:rPr>
          <w:rFonts w:ascii="Georgia" w:cs="Georgia" w:eastAsia="Georgia" w:hAnsi="Georgia"/>
          <w:b w:val="0"/>
          <w:bCs w:val="0"/>
          <w:i w:val="1"/>
          <w:iCs w:val="1"/>
          <w:color w:val="000000"/>
          <w:sz w:val="22"/>
          <w:szCs w:val="22"/>
          <w:rtl w:val="0"/>
        </w:rPr>
      </w:r>
      <w:r>
        <w:rPr>
          <w:rtl w:val="0"/>
        </w:rPr>
      </w:r>
    </w:p>
    <w:p w:rsidR="00000000" w:rsidDel="00000000" w:rsidP="00000000" w:rsidRDefault="00000000" w:rsidRPr="00000000" w14:paraId="000001D6">
      <w:pPr>
        <w:keepNext w:val="1"/>
        <w:spacing w:before="20" w:after="20" w:line="360" w:lineRule="auto"/>
        <w:ind w:left="360" w:hanging="360"/>
        <w:jc w:val="both"/>
        <w:rPr/>
      </w:pPr>
      <w:r>
        <w:rPr>
          <w:rFonts w:ascii="Georgia" w:hAnsi="Georgia" w:cs="Georgia" w:eastAsia="Georgia"/>
          <w:b w:val="0"/>
          <w:i w:val="0"/>
          <w:iCs w:val="0"/>
          <w:sz w:val="22"/>
          <w:szCs w:val="22"/>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tl w:val="0"/>
        </w:rPr>
      </w:r>
    </w:p>
    <w:p w:rsidR="00000000" w:rsidDel="00000000" w:rsidP="00000000" w:rsidRDefault="00000000" w:rsidRPr="00000000" w14:paraId="000001D8">
      <w:pPr>
        <w:keepNext w:val="1"/>
        <w:spacing w:before="20" w:after="20" w:line="360" w:lineRule="auto"/>
        <w:jc w:val="left"/>
        <w:rPr/>
      </w:pPr>
      <w:r>
        <w:rPr>
          <w:rFonts w:ascii="Georgia" w:hAnsi="Georgia" w:cs="Georgia" w:eastAsia="Georgia"/>
          <w:b/>
          <w:bCs w:val="1"/>
          <w:i w:val="0"/>
          <w:iCs w:val="0"/>
          <w:sz w:val="24"/>
          <w:szCs w:val="24"/>
          <w:rtl w:val="0"/>
        </w:rPr>
        <w:t>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20"/>
                <w:szCs w:val="20"/>
                <w:rtl w:val="0"/>
              </w:rPr>
              <w:t xml:space="preserve">Label</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20"/>
                <w:szCs w:val="20"/>
                <w:rtl w:val="0"/>
              </w:rPr>
              <w:t xml:space="preserve">Function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20"/>
                <w:szCs w:val="20"/>
                <w:rtl w:val="0"/>
              </w:rPr>
              <w:t xml:space="preserve">Marked Example</w:t>
            </w:r>
            <w:r>
              <w:rPr>
                <w:rtl w:val="0"/>
                <w:sz w:val="20"/>
                <w:szCs w:val="20"/>
                <w:rFonts w:ascii="Georgia" w:hAnsi="Georgia"/>
              </w:rPr>
            </w:r>
          </w:p>
        </w:tc>
      </w:tr>
      <w:tr>
        <w:trPr>
          <w:tblHeader w:val="0"/>
          <w:cantSplit/>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20"/>
                <w:szCs w:val="20"/>
                <w:rtl w:val="0"/>
              </w:rPr>
              <w:t xml:space="preserve">EC</w:t>
            </w:r>
            <w:r>
              <w:rPr>
                <w:rtl w:val="0"/>
                <w:sz w:val="20"/>
                <w:szCs w:val="20"/>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20"/>
                <w:szCs w:val="20"/>
                <w:rtl w:val="0"/>
              </w:rPr>
              <w:t xml:space="preserve">Epistemic Caution</w:t>
            </w:r>
            <w:r>
              <w:rPr>
                <w:rtl w:val="0"/>
                <w:sz w:val="20"/>
                <w:szCs w:val="20"/>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20"/>
                <w:szCs w:val="20"/>
                <w:rtl w:val="0"/>
              </w:rPr>
              <w:t xml:space="preserve">Expresses uncertainty about a claim’s truth.</w:t>
            </w:r>
            <w:r>
              <w:rPr>
                <w:rtl w:val="0"/>
                <w:sz w:val="20"/>
                <w:szCs w:val="20"/>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20"/>
                <w:szCs w:val="20"/>
                <w:rtl w:val="0"/>
              </w:rPr>
              <w:t xml:space="preserve">P</w:t>
            </w:r>
            <w:r>
              <w:rPr>
                <w:rtl w:val="0"/>
                <w:sz w:val="20"/>
                <w:szCs w:val="20"/>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20"/>
                <w:szCs w:val="20"/>
                <w:rtl w:val="0"/>
              </w:rPr>
              <w:t xml:space="preserve">Politeness / Deference</w:t>
            </w:r>
            <w:r>
              <w:rPr>
                <w:rtl w:val="0"/>
                <w:sz w:val="20"/>
                <w:szCs w:val="20"/>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20"/>
                <w:szCs w:val="20"/>
                <w:rtl w:val="0"/>
              </w:rPr>
              <w:t xml:space="preserve">Shows respect to readers or prior research.</w:t>
            </w:r>
            <w:r>
              <w:rPr>
                <w:rtl w:val="0"/>
                <w:sz w:val="20"/>
                <w:szCs w:val="20"/>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20"/>
                <w:szCs w:val="20"/>
                <w:rtl w:val="0"/>
              </w:rPr>
              <w:t xml:space="preserve">DO</w:t>
            </w:r>
            <w:r>
              <w:rPr>
                <w:rtl w:val="0"/>
                <w:sz w:val="20"/>
                <w:szCs w:val="20"/>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20"/>
                <w:szCs w:val="20"/>
                <w:rtl w:val="0"/>
              </w:rPr>
              <w:t xml:space="preserve">Discourse Organization</w:t>
            </w:r>
            <w:r>
              <w:rPr>
                <w:rtl w:val="0"/>
                <w:sz w:val="20"/>
                <w:szCs w:val="20"/>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20"/>
                <w:szCs w:val="20"/>
                <w:rtl w:val="0"/>
              </w:rPr>
              <w:t xml:space="preserve">Structures text or guides reader expectations.</w:t>
            </w:r>
            <w:r>
              <w:rPr>
                <w:rtl w:val="0"/>
                <w:sz w:val="20"/>
                <w:szCs w:val="20"/>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color w:val="00b0f0"/>
                <w:sz w:val="20"/>
                <w:szCs w:val="20"/>
                <w:rtl w:val="0"/>
              </w:rPr>
              <w:t xml:space="preserve">(DO)</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bl>
    <w:p w:rsidR="00000000" w:rsidDel="00000000" w:rsidP="00000000" w:rsidRDefault="00000000" w:rsidRPr="00000000" w14:paraId="000001EA">
      <w:pPr>
        <w:keepNext w:val="1"/>
        <w:spacing w:before="120" w:after="60" w:line="36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20"/>
                <w:szCs w:val="20"/>
                <w:rtl w:val="0"/>
              </w:rPr>
              <w:t xml:space="preserve">Token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20"/>
                <w:szCs w:val="20"/>
                <w:rtl w:val="0"/>
              </w:rPr>
              <w:t xml:space="preserve">Hedge When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20"/>
                <w:szCs w:val="20"/>
                <w:rtl w:val="0"/>
              </w:rPr>
              <w:t xml:space="preserve">Not a Hedge When</w:t>
            </w:r>
            <w:r>
              <w:rPr>
                <w:rtl w:val="0"/>
                <w:sz w:val="20"/>
                <w:szCs w:val="20"/>
                <w:rFonts w:ascii="Georgia" w:hAnsi="Georgia"/>
              </w:rPr>
            </w:r>
          </w:p>
        </w:tc>
      </w:tr>
      <w:tr>
        <w:trPr>
          <w:tblHeader w:val="0"/>
          <w:cantSplit/>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w:t>
            </w:r>
            <w:r>
              <w:rPr>
                <w:rtl w:val="0"/>
                <w:sz w:val="20"/>
                <w:szCs w:val="20"/>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20"/>
                <w:szCs w:val="20"/>
                <w:rtl w:val="0"/>
              </w:rPr>
              <w:t xml:space="preserve">Expresses uncertainty about a finding or conclusion</w:t>
            </w:r>
            <w:r>
              <w:rPr>
                <w:rtl w:val="0"/>
                <w:sz w:val="20"/>
                <w:szCs w:val="20"/>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20"/>
                <w:szCs w:val="20"/>
                <w:rtl w:val="0"/>
              </w:rPr>
              <w:t xml:space="preserve">Introduces a recommendation or action</w:t>
            </w:r>
            <w:r>
              <w:rPr>
                <w:rtl w:val="0"/>
                <w:sz w:val="20"/>
                <w:szCs w:val="20"/>
                <w:rFonts w:ascii="Georgia" w:hAnsi="Georgia"/>
              </w:rPr>
            </w:r>
          </w:p>
        </w:tc>
      </w:tr>
      <w:tr>
        <w:trPr>
          <w:tblHeader w:val="0"/>
          <w:cantSplit/>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 + need for</w:t>
            </w:r>
            <w:r>
              <w:rPr>
                <w:rtl w:val="0"/>
                <w:sz w:val="20"/>
                <w:szCs w:val="20"/>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20"/>
                <w:szCs w:val="20"/>
                <w:rtl w:val="0"/>
              </w:rPr>
              <w:t xml:space="preserve">Says the evidence suggests a need may exist</w:t>
            </w:r>
            <w:r>
              <w:rPr>
                <w:rtl w:val="0"/>
                <w:sz w:val="20"/>
                <w:szCs w:val="20"/>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20"/>
                <w:szCs w:val="20"/>
                <w:rtl w:val="0"/>
              </w:rPr>
              <w:t xml:space="preserve">Says what should be done or is needed</w:t>
            </w:r>
            <w:r>
              <w:rPr>
                <w:rtl w:val="0"/>
                <w:sz w:val="20"/>
                <w:szCs w:val="20"/>
                <w:rFonts w:ascii="Georgia" w:hAnsi="Georgia"/>
              </w:rPr>
            </w:r>
          </w:p>
        </w:tc>
      </w:tr>
      <w:tr>
        <w:trPr>
          <w:tblHeader w:val="0"/>
          <w:cantSplit/>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20"/>
                <w:szCs w:val="20"/>
                <w:rtl w:val="0"/>
              </w:rPr>
              <w:t xml:space="preserve">indicated by</w:t>
            </w:r>
            <w:r>
              <w:rPr>
                <w:rtl w:val="0"/>
                <w:sz w:val="20"/>
                <w:szCs w:val="20"/>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20"/>
                <w:szCs w:val="20"/>
                <w:rtl w:val="0"/>
              </w:rPr>
              <w:t xml:space="preserve">Introduces a conclusion drawn from evidence</w:t>
            </w:r>
            <w:r>
              <w:rPr>
                <w:rtl w:val="0"/>
                <w:sz w:val="20"/>
                <w:szCs w:val="20"/>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20"/>
                <w:szCs w:val="20"/>
                <w:rtl w:val="0"/>
              </w:rPr>
              <w:t xml:space="preserve">Points to evidence for a claim already stated</w:t>
            </w:r>
            <w:r>
              <w:rPr>
                <w:rtl w:val="0"/>
                <w:sz w:val="20"/>
                <w:szCs w:val="20"/>
                <w:rFonts w:ascii="Georgia" w:hAnsi="Georgia"/>
              </w:rPr>
            </w:r>
          </w:p>
        </w:tc>
      </w:tr>
      <w:tr>
        <w:trPr>
          <w:tblHeader w:val="0"/>
          <w:cantSplit/>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20"/>
                <w:szCs w:val="20"/>
                <w:rtl w:val="0"/>
              </w:rPr>
              <w:t xml:space="preserve">indicate / indicates that</w:t>
            </w:r>
            <w:r>
              <w:rPr>
                <w:rtl w:val="0"/>
                <w:sz w:val="20"/>
                <w:szCs w:val="20"/>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20"/>
                <w:szCs w:val="20"/>
                <w:rtl w:val="0"/>
              </w:rPr>
              <w:t xml:space="preserve">Introduces an inferential conclusion drawn from analysis</w:t>
            </w:r>
            <w:r>
              <w:rPr>
                <w:rtl w:val="0"/>
                <w:sz w:val="20"/>
                <w:szCs w:val="20"/>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20"/>
                <w:szCs w:val="20"/>
                <w:rtl w:val="0"/>
              </w:rPr>
              <w:t xml:space="preserve">Used as a synonym for showed/demonstrated (factive reporting)</w:t>
            </w:r>
            <w:r>
              <w:rPr>
                <w:rtl w:val="0"/>
                <w:sz w:val="20"/>
                <w:szCs w:val="20"/>
                <w:rFonts w:ascii="Georgia" w:hAnsi="Georgia"/>
              </w:rPr>
            </w:r>
          </w:p>
        </w:tc>
      </w:tr>
      <w:tr>
        <w:trPr>
          <w:tblHeader w:val="0"/>
          <w:cantSplit/>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20"/>
                <w:szCs w:val="20"/>
                <w:rtl w:val="0"/>
              </w:rPr>
              <w:t xml:space="preserve">indicating (participial)</w:t>
            </w:r>
            <w:r>
              <w:rPr>
                <w:rtl w:val="0"/>
                <w:sz w:val="20"/>
                <w:szCs w:val="20"/>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20"/>
                <w:szCs w:val="20"/>
                <w:rtl w:val="0"/>
              </w:rPr>
              <w:t xml:space="preserve">Introduces an inference beyond the operational definition of the result</w:t>
            </w:r>
            <w:r>
              <w:rPr>
                <w:rtl w:val="0"/>
                <w:sz w:val="20"/>
                <w:szCs w:val="20"/>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20"/>
                <w:szCs w:val="20"/>
                <w:rtl w:val="0"/>
              </w:rPr>
              <w:t xml:space="preserve">Restates the operational meaning of statistical significance</w:t>
            </w:r>
            <w:r>
              <w:rPr>
                <w:rtl w:val="0"/>
                <w:sz w:val="20"/>
                <w:szCs w:val="20"/>
                <w:rFonts w:ascii="Georgia" w:hAnsi="Georgia"/>
              </w:rPr>
            </w:r>
          </w:p>
        </w:tc>
      </w:tr>
      <w:tr>
        <w:trPr>
          <w:tblHeader w:val="0"/>
          <w:cantSplit/>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20"/>
                <w:szCs w:val="20"/>
                <w:rtl w:val="0"/>
              </w:rPr>
              <w:t xml:space="preserve">can / may</w:t>
            </w:r>
            <w:r>
              <w:rPr>
                <w:rtl w:val="0"/>
                <w:sz w:val="20"/>
                <w:szCs w:val="20"/>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20"/>
                <w:szCs w:val="20"/>
                <w:rtl w:val="0"/>
              </w:rPr>
              <w:t xml:space="preserve">Expresses possibility</w:t>
            </w:r>
            <w:r>
              <w:rPr>
                <w:rtl w:val="0"/>
                <w:sz w:val="20"/>
                <w:szCs w:val="20"/>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20"/>
                <w:szCs w:val="20"/>
                <w:rtl w:val="0"/>
              </w:rPr>
              <w:t xml:space="preserve">Expresses capability</w:t>
            </w:r>
            <w:r>
              <w:rPr>
                <w:rtl w:val="0"/>
                <w:sz w:val="20"/>
                <w:szCs w:val="20"/>
                <w:rFonts w:ascii="Georgia" w:hAnsi="Georgia"/>
              </w:rPr>
            </w:r>
          </w:p>
        </w:tc>
      </w:tr>
      <w:tr>
        <w:trPr>
          <w:tblHeader w:val="0"/>
          <w:cantSplit/>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20"/>
                <w:szCs w:val="20"/>
                <w:rtl w:val="0"/>
              </w:rPr>
              <w:t xml:space="preserve">generally / typically</w:t>
            </w:r>
            <w:r>
              <w:rPr>
                <w:rtl w:val="0"/>
                <w:sz w:val="20"/>
                <w:szCs w:val="20"/>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20"/>
                <w:szCs w:val="20"/>
                <w:rtl w:val="0"/>
              </w:rPr>
              <w:t xml:space="preserve">Qualifies scope</w:t>
            </w:r>
            <w:r>
              <w:rPr>
                <w:rtl w:val="0"/>
                <w:sz w:val="20"/>
                <w:szCs w:val="20"/>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20"/>
                <w:szCs w:val="20"/>
                <w:rtl w:val="0"/>
              </w:rPr>
              <w:t xml:space="preserve">Describes a procedural norm</w:t>
            </w:r>
            <w:r>
              <w:rPr>
                <w:rtl w:val="0"/>
                <w:sz w:val="20"/>
                <w:szCs w:val="20"/>
                <w:rFonts w:ascii="Georgia" w:hAnsi="Georgia"/>
              </w:rPr>
            </w:r>
          </w:p>
        </w:tc>
      </w:tr>
      <w:tr>
        <w:trPr>
          <w:tblHeader w:val="0"/>
          <w:cantSplit/>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20"/>
                <w:szCs w:val="20"/>
                <w:rtl w:val="0"/>
              </w:rPr>
              <w:t xml:space="preserve">appear / seem</w:t>
            </w:r>
            <w:r>
              <w:rPr>
                <w:rtl w:val="0"/>
                <w:sz w:val="20"/>
                <w:szCs w:val="20"/>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20"/>
                <w:szCs w:val="20"/>
                <w:rtl w:val="0"/>
              </w:rPr>
              <w:t xml:space="preserve">Expresses result uncertainty</w:t>
            </w:r>
            <w:r>
              <w:rPr>
                <w:rtl w:val="0"/>
                <w:sz w:val="20"/>
                <w:szCs w:val="20"/>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20"/>
                <w:szCs w:val="20"/>
                <w:rtl w:val="0"/>
              </w:rPr>
              <w:t xml:space="preserve">Indicates location</w:t>
            </w:r>
            <w:r>
              <w:rPr>
                <w:rtl w:val="0"/>
                <w:sz w:val="20"/>
                <w:szCs w:val="20"/>
                <w:rFonts w:ascii="Georgia" w:hAnsi="Georgia"/>
              </w:rPr>
            </w:r>
          </w:p>
        </w:tc>
      </w:tr>
    </w:tbl>
    <w:p w:rsidR="00000000" w:rsidDel="00000000" w:rsidP="00000000" w:rsidRDefault="00000000" w:rsidRPr="00000000" w14:paraId="00000208">
      <w:pPr>
        <w:spacing w:before="0" w:after="0" w:line="36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6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tblHeader w:val="0"/>
          <w:cantSplit/>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tblHeader w:val="0"/>
          <w:cantSplit/>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tblHeader w:val="0"/>
          <w:cantSplit/>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tblHeader w:val="0"/>
          <w:cantSplit/>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tblHeader w:val="0"/>
          <w:cantSplit/>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120" w:after="60" w:line="360" w:lineRule="auto"/>
        <w:jc w:val="both"/>
        <w:rPr/>
      </w:pPr>
      <w:r>
        <w:rPr>
          <w:rFonts w:ascii="Georgia" w:hAnsi="Georgia" w:cs="Georgia" w:eastAsia="Georgia"/>
          <w:b/>
          <w:bCs w:val="1"/>
          <w:i w:val="0"/>
          <w:iCs w:val="0"/>
          <w:sz w:val="24"/>
          <w:szCs w:val="24"/>
          <w:rtl w:val="0"/>
        </w:rPr>
        <w:t>UNHEDGED ASSERTION SITES (OPTIONAL, NEUTRAL GREY)</w:t>
      </w:r>
      <w:r>
        <w:rPr>
          <w:rtl w:val="0"/>
        </w:rPr>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Unhedged sites: claim clauses with no hedge. Reverse test: a hedge could be inserted without changing the facts. Procedural statements never markable. Example: “Results showed X” → could be “Results suggested X.”</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20"/>
                <w:szCs w:val="20"/>
                <w:rtl w:val="0"/>
              </w:rPr>
              <w:t xml:space="preserve">Color</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20"/>
                <w:szCs w:val="20"/>
                <w:rtl w:val="0"/>
              </w:rPr>
              <w:t xml:space="preserve">Subtype</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20"/>
                <w:szCs w:val="20"/>
                <w:rtl w:val="0"/>
              </w:rPr>
              <w:t xml:space="preserve">Highlighted Example</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20"/>
                <w:szCs w:val="20"/>
                <w:rtl w:val="0"/>
              </w:rPr>
              <w:t xml:space="preserve">Result Claim [R]</w:t>
            </w:r>
            <w:r>
              <w:rPr>
                <w:rtl w:val="0"/>
                <w:sz w:val="20"/>
                <w:szCs w:val="20"/>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20"/>
                <w:szCs w:val="20"/>
                <w:rtl w:val="0"/>
              </w:rPr>
              <w:t xml:space="preserve">A finding stated as settled fact.</w:t>
            </w:r>
            <w:r>
              <w:rPr>
                <w:rtl w:val="0"/>
                <w:sz w:val="20"/>
                <w:szCs w:val="20"/>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000000"/>
                <w:sz w:val="20"/>
                <w:szCs w:val="20"/>
                <w:shd w:fill="bfbfbf" w:val="clear"/>
                <w:rtl w:val="0"/>
              </w:rPr>
              <w:t xml:space="preserve">Results showed</w:t>
            </w:r>
            <w:r>
              <w:rPr>
                <w:rFonts w:ascii="Georgia" w:cs="Georgia" w:eastAsia="Georgia" w:hAnsi="Georgia"/>
                <w:b w:val="0"/>
                <w:bCs w:val="0"/>
                <w:i w:val="0"/>
                <w:iCs w:val="0"/>
                <w:color w:val="000000"/>
                <w:sz w:val="20"/>
                <w:szCs w:val="20"/>
                <w:rtl w:val="0"/>
              </w:rPr>
              <w:t xml:space="preserve"> that all shrimp farms were free of the disease.”</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20"/>
                <w:szCs w:val="20"/>
                <w:rtl w:val="0"/>
              </w:rPr>
              <w:t xml:space="preserve">Generalization [G]</w:t>
            </w:r>
            <w:r>
              <w:rPr>
                <w:rtl w:val="0"/>
                <w:sz w:val="20"/>
                <w:szCs w:val="20"/>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20"/>
                <w:szCs w:val="20"/>
                <w:rtl w:val="0"/>
              </w:rPr>
              <w:t xml:space="preserve">A broader inference beyond the data.</w:t>
            </w:r>
            <w:r>
              <w:rPr>
                <w:rtl w:val="0"/>
                <w:sz w:val="20"/>
                <w:szCs w:val="20"/>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20"/>
                <w:szCs w:val="20"/>
                <w:rtl w:val="0"/>
              </w:rPr>
              <w:t xml:space="preserve">“This led to the </w:t>
            </w:r>
            <w:r>
              <w:rPr>
                <w:rFonts w:ascii="Georgia" w:cs="Georgia" w:eastAsia="Georgia" w:hAnsi="Georgia"/>
                <w:b w:val="1"/>
                <w:bCs w:val="1"/>
                <w:strike w:val="0"/>
                <w:color w:val="000000"/>
                <w:sz w:val="20"/>
                <w:szCs w:val="20"/>
                <w:shd w:fill="bfbfbf" w:val="clear"/>
                <w:rtl w:val="0"/>
              </w:rPr>
              <w:t xml:space="preserve">conclusion that</w:t>
            </w:r>
            <w:r>
              <w:rPr>
                <w:rFonts w:ascii="Georgia" w:cs="Georgia" w:eastAsia="Georgia" w:hAnsi="Georgia"/>
                <w:b w:val="0"/>
                <w:bCs w:val="0"/>
                <w:i w:val="0"/>
                <w:iCs w:val="0"/>
                <w:color w:val="000000"/>
                <w:sz w:val="20"/>
                <w:szCs w:val="20"/>
                <w:rtl w:val="0"/>
              </w:rPr>
              <w:t xml:space="preserve"> all farms were free of it.”</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20"/>
                <w:szCs w:val="20"/>
                <w:rtl w:val="0"/>
              </w:rPr>
              <w:t xml:space="preserve">Causal Claim [C]</w:t>
            </w:r>
            <w:r>
              <w:rPr>
                <w:rtl w:val="0"/>
                <w:sz w:val="20"/>
                <w:szCs w:val="20"/>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20"/>
                <w:szCs w:val="20"/>
                <w:rtl w:val="0"/>
              </w:rPr>
              <w:t xml:space="preserve">A cause and effect link stated as established.</w:t>
            </w:r>
            <w:r>
              <w:rPr>
                <w:rtl w:val="0"/>
                <w:sz w:val="20"/>
                <w:szCs w:val="20"/>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20"/>
                <w:szCs w:val="20"/>
                <w:rtl w:val="0"/>
              </w:rPr>
              <w:t xml:space="preserve">“Extracts </w:t>
            </w:r>
            <w:r>
              <w:rPr>
                <w:rFonts w:ascii="Georgia" w:cs="Georgia" w:eastAsia="Georgia" w:hAnsi="Georgia"/>
                <w:b w:val="1"/>
                <w:bCs w:val="1"/>
                <w:strike w:val="0"/>
                <w:color w:val="000000"/>
                <w:sz w:val="20"/>
                <w:szCs w:val="20"/>
                <w:shd w:fill="bfbfbf" w:val="clear"/>
                <w:rtl w:val="0"/>
              </w:rPr>
              <w:t xml:space="preserve">produce</w:t>
            </w:r>
            <w:r>
              <w:rPr>
                <w:rFonts w:ascii="Georgia" w:cs="Georgia" w:eastAsia="Georgia" w:hAnsi="Georgia"/>
                <w:b w:val="0"/>
                <w:bCs w:val="0"/>
                <w:i w:val="0"/>
                <w:iCs w:val="0"/>
                <w:color w:val="000000"/>
                <w:sz w:val="20"/>
                <w:szCs w:val="20"/>
                <w:rtl w:val="0"/>
              </w:rPr>
              <w:t xml:space="preserve"> comparable staining because they contain similar compounds.”</w:t>
            </w:r>
            <w:r>
              <w:rPr>
                <w:rtl w:val="0"/>
                <w:sz w:val="20"/>
                <w:szCs w:val="20"/>
                <w:rFonts w:ascii="Georgia" w:hAnsi="Georgia"/>
              </w:rPr>
            </w:r>
          </w:p>
        </w:tc>
      </w:tr>
    </w:tbl>
    <w:p>
      <w:pPr>
        <w:spacing w:line="240" w:lineRule="auto" w:before="0" w:after="0"/>
      </w:pPr>
      <w:r>
        <w:br w:type="page"/>
      </w:r>
    </w:p>
    <w:p w:rsidR="00000000" w:rsidDel="00000000" w:rsidP="00000000" w:rsidRDefault="00000000" w:rsidRPr="00000000" w14:paraId="0000027B">
      <w:pPr>
        <w:keepNext w:val="1"/>
        <w:spacing w:before="120" w:after="0" w:line="480" w:lineRule="auto"/>
        <w:jc w:val="left"/>
        <w:rPr/>
        <w:pageBreakBefore/>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12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12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ageBreakBefore/>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bCs w:val="0"/>
          <w:i w:val="0"/>
          <w:iCs w:val="0"/>
          <w:sz w:val="22"/>
          <w:szCs w:val="22"/>
          <w:rtl w:val="0"/>
        </w:rPr>
        <w:t>This appendix presents the 60 abstracts with all coding marks applied. Type marks = color highlight on hedge tokens (blue = Modal Verbs, red = Lexical Hedges, yellow = Adverbial Hedges, green = Clause-Level Hedges). Function marks = function label in colored text (EC = orange, P = purple, DO = teal). Discourse connectors (Hence/Thus) are tagged (DO) even when not hedges. Function functions are only EC, P, and DO. False positives = strikethrough + reason code in grey (e.g. FP-Rec = recommendation, not a function). Unhedged sites (unhedged sites) = grey highlight + [R]/[G]/[C] bracket.</w:t>
      </w:r>
      <w:r>
        <w:rPr>
          <w:rtl w:val="0"/>
        </w:rPr>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2"/>
          <w:szCs w:val="24"/>
          <w:rtl w:val="0"/>
          <w:b/>
          <w:bCs/>
        </w:rPr>
        <w:t>Biology (B1–B20)</w:t>
      </w:r>
      <w:r>
        <w:rPr>
          <w:rtl w:val="0"/>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[Conducted 2018–2019; bound and catalogued 2023 per library records]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w:t>
      </w:r>
      <w:r>
        <w:rPr>
          <w:rFonts w:ascii="Georgia" w:hAnsi="Georgia" w:cs="Georgia" w:eastAsia="Georgia"/>
          <w:sz w:val="22"/>
          <w:szCs w:val="22"/>
          <w:b w:val="0"/>
          <w:bCs w:val="0"/>
          <w:strike w:val="0"/>
          <w:shd w:val="clear" w:fill="BFBFBF"/>
          <w:color w:val="000000"/>
        </w:rPr>
        <w:t>The result of antibacterial testing revealed that the Partial Fraction of Balitbitan (Cynometra ramiflora) did not possess the property to inhibit the growth of Staphylococcus aureus and Escherichia coli.</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There was no zone of inhibition when treated with the partial fraction of Balitbitan.</w:t>
      </w:r>
      <w:r>
        <w:rPr>
          <w:rFonts w:ascii="Georgia" w:hAnsi="Georgia" w:cs="Georgia" w:eastAsia="Georgia"/>
          <w:sz w:val="20"/>
          <w:szCs w:val="20"/>
          <w:b w:val="0"/>
          <w:bCs w:val="0"/>
          <w:strike w:val="0"/>
          <w:color w:val="000000"/>
        </w:rPr>
        <w:t xml:space="preserve"> [R]</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w:t>
      </w:r>
      <w:r>
        <w:rPr>
          <w:rFonts w:ascii="Georgia" w:hAnsi="Georgia" w:cs="Georgia" w:eastAsia="Georgia"/>
          <w:sz w:val="22"/>
          <w:szCs w:val="22"/>
          <w:b w:val="0"/>
          <w:bCs w:val="0"/>
          <w:strike w:val="0"/>
          <w:shd w:val="clear" w:fill="BFBFBF"/>
          <w:color w:val="000000"/>
        </w:rPr>
        <w:t>A drop test was also performed, which revealed that the eco-bricks from all treatments were significantly damaged at the height of one meter, making them a weak, unsuitable material to use in building walkways.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This study is essential for getting insights into eco-brick manufacture because the workability of SUPs and UCOs as raw materials is proven. </w:t>
      </w:r>
      <w:r>
        <w:rPr>
          <w:rFonts w:ascii="Georgia" w:hAnsi="Georgia" w:cs="Georgia" w:eastAsia="Georgia"/>
          <w:sz w:val="22"/>
          <w:szCs w:val="22"/>
          <w:b w:val="0"/>
          <w:bCs w:val="0"/>
          <w:strike w:val="0"/>
          <w:shd w:val="clear" w:fill="BFBFBF"/>
          <w:color w:val="000000"/>
        </w:rPr>
        <w:t>The research findings do not apply to buildings.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Therefore, further research </w:t>
      </w:r>
      <w:r>
        <w:rPr>
          <w:rFonts w:ascii="Georgia" w:hAnsi="Georgia" w:cs="Georgia" w:eastAsia="Georgia"/>
          <w:sz w:val="22"/>
          <w:szCs w:val="22"/>
          <w:b w:val="0"/>
          <w:bCs w:val="0"/>
          <w:color w:val="000000"/>
          <w:strike w:val="1"/>
        </w:rPr>
        <w:t>will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0"/>
          <w:szCs w:val="20"/>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hAnsi="Georgia" w:cs="Georgia" w:eastAsia="Georgia"/>
          <w:sz w:val="22"/>
          <w:szCs w:val="22"/>
          <w:b w:val="0"/>
          <w:bCs w:val="0"/>
          <w:strike w:val="0"/>
          <w:shd w:val="clear" w:fill="BFBFBF"/>
          <w:color w:val="000000"/>
        </w:rPr>
        <w:t>All mice treated with pure leaf extract of Z. talanai, monosodium glutamate, distilled water and L-Taurine showed a significant effect (lesions / aberrations) to the cytoarchitecture of liver and kidney.</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w:t>
      </w:r>
      <w:r>
        <w:rPr>
          <w:rFonts w:ascii="Georgia" w:hAnsi="Georgia" w:cs="Georgia" w:eastAsia="Georgia"/>
          <w:sz w:val="22"/>
          <w:szCs w:val="22"/>
          <w:b w:val="0"/>
          <w:bCs w:val="0"/>
          <w:strike w:val="0"/>
          <w:shd w:val="clear" w:fill="BFBFBF"/>
          <w:color w:val="000000"/>
        </w:rPr>
        <w:t>Based on the results of this study, pure MSG and pure ethanolic leaf extract of Z. talanai caused the lesions / aberrations to the liver and kidney.</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w:t>
      </w:r>
      <w:r>
        <w:rPr>
          <w:rFonts w:ascii="Georgia" w:hAnsi="Georgia" w:cs="Georgia" w:eastAsia="Georgia"/>
          <w:sz w:val="22"/>
          <w:szCs w:val="22"/>
          <w:b w:val="0"/>
          <w:bCs w:val="0"/>
          <w:strike w:val="0"/>
          <w:shd w:val="clear" w:fill="BFBFBF"/>
          <w:color w:val="000000"/>
        </w:rPr>
        <w:t>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w:t>
      </w:r>
      <w:r>
        <w:rPr>
          <w:rFonts w:ascii="Georgia" w:hAnsi="Georgia" w:cs="Georgia" w:eastAsia="Georgia"/>
          <w:sz w:val="22"/>
          <w:szCs w:val="22"/>
          <w:b w:val="0"/>
          <w:bCs w:val="0"/>
          <w:strike w:val="0"/>
          <w:shd w:val="clear" w:fill="BFBFBF"/>
          <w:color w:val="000000"/>
        </w:rPr>
        <w:t xml:space="preserve">Overall, the combination of Ziehl-Neelsen staining, biochemical testing like the catalase test, and evaluating growth in the presence of the Salt Tolerance Test provides a comprehensive approach for diagnosing and studying mycobacteriosis in cultivated milkfish, offering insights that </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w:t>
      </w:r>
      <w:r>
        <w:rPr>
          <w:rFonts w:ascii="Georgia" w:hAnsi="Georgia" w:cs="Georgia" w:eastAsia="Georgia"/>
          <w:sz w:val="22"/>
          <w:szCs w:val="22"/>
          <w:b w:val="0"/>
          <w:bCs w:val="0"/>
          <w:strike w:val="0"/>
          <w:shd w:val="clear" w:fill="BFBFBF"/>
          <w:color w:val="000000"/>
        </w:rPr>
        <w:t>Nine out of ten isolates exhibit quorum quenching activities by inhibiting the swarming motility of Pseudomonas aeruginosa.</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metabolic compounds of the isolates were subjected to initial characterization using enzyme and pH neutralization, which revealed that organic acids were responsible for the inhibitory activity. </w:t>
      </w:r>
      <w:r>
        <w:rPr>
          <w:rFonts w:ascii="Georgia" w:hAnsi="Georgia" w:cs="Georgia" w:eastAsia="Georgia"/>
          <w:sz w:val="22"/>
          <w:szCs w:val="22"/>
          <w:b w:val="0"/>
          <w:bCs w:val="0"/>
          <w:strike w:val="0"/>
          <w:shd w:val="clear" w:fill="BFBFBF"/>
          <w:color w:val="000000"/>
        </w:rPr>
        <w:t>The inhibition activity of LAB isolates against the quorum sensing-mediated swarming motility in P. aeruginosa was due to strong antibacterial activity.</w:t>
      </w:r>
      <w:r>
        <w:rPr>
          <w:rFonts w:ascii="Georgia" w:hAnsi="Georgia" w:cs="Georgia" w:eastAsia="Georgia"/>
          <w:sz w:val="20"/>
          <w:szCs w:val="20"/>
          <w:b w:val="0"/>
          <w:bCs w:val="0"/>
          <w:strike w:val="0"/>
          <w:color w:val="000000"/>
        </w:rPr>
        <w:t xml:space="preserve"> [R]</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2"/>
          <w:szCs w:val="24"/>
          <w:rtl w:val="0"/>
          <w:b/>
          <w:bCs/>
        </w:rPr>
        <w:t>Veterinary Medicine (VM1–VM20)</w:t>
      </w:r>
      <w:r>
        <w:rPr>
          <w:rtl w:val="0"/>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hAnsi="Georgia" w:cs="Georgia" w:eastAsia="Georgia"/>
          <w:sz w:val="22"/>
          <w:szCs w:val="22"/>
          <w:b w:val="0"/>
          <w:bCs w:val="0"/>
          <w:strike w:val="0"/>
          <w:shd w:val="clear" w:fill="BFBFBF"/>
          <w:color w:val="000000"/>
        </w:rPr>
        <w:t>T1 revealed that Zoletil® alone is not enough to fully induce Stage 3 anesthesia in zebrafish.</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However, when sodium bicarbonate was added, Stage 3 was achieved, while using only a small amount of Zoletil®.</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w:t>
      </w:r>
      <w:r>
        <w:rPr>
          <w:rFonts w:ascii="Georgia" w:hAnsi="Georgia" w:cs="Georgia" w:eastAsia="Georgia"/>
          <w:sz w:val="22"/>
          <w:szCs w:val="22"/>
          <w:b w:val="0"/>
          <w:bCs w:val="0"/>
          <w:strike w:val="0"/>
          <w:shd w:val="clear" w:fill="BFBFBF"/>
          <w:color w:val="000000"/>
        </w:rPr>
        <w:t>On the other hand, the evaluation of retail egg vendors showed a major issue of reusing the egg trays across vendors which has been strongly linked to bacterial growth on eggshells, yolks and albumen, with p-values of 0.030 and 0.014, respectively.</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The findings </w:t>
      </w:r>
      <w:r>
        <w:rPr>
          <w:rFonts w:ascii="Georgia" w:hAnsi="Georgia" w:cs="Georgia" w:eastAsia="Georgia"/>
          <w:sz w:val="22"/>
          <w:szCs w:val="22"/>
          <w:b w:val="0"/>
          <w:bCs w:val="0"/>
          <w:color w:val="000000"/>
          <w:strike w:val="1"/>
        </w:rPr>
        <w:t>suggests</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hAnsi="Georgia" w:cs="Georgia" w:eastAsia="Georgia"/>
          <w:sz w:val="22"/>
          <w:szCs w:val="22"/>
          <w:b w:val="0"/>
          <w:bCs w:val="0"/>
          <w:strike w:val="0"/>
          <w:shd w:val="clear" w:fill="BFBFBF"/>
          <w:color w:val="000000"/>
        </w:rPr>
        <w:t>Results indicated that most vendors lacked formal training in milk-handling (100 %) did not use refrigeration, new bottles, or any preservation methods (100%).</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w:t>
      </w:r>
      <w:r>
        <w:rPr>
          <w:rFonts w:ascii="Georgia" w:hAnsi="Georgia" w:cs="Georgia" w:eastAsia="Georgia"/>
          <w:sz w:val="22"/>
          <w:szCs w:val="22"/>
          <w:b w:val="0"/>
          <w:bCs w:val="0"/>
          <w:strike w:val="0"/>
          <w:shd w:val="clear" w:fill="BFBFBF"/>
          <w:color w:val="000000"/>
        </w:rPr>
        <w:t>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r>
        <w:rPr>
          <w:rFonts w:ascii="Georgia" w:hAnsi="Georgia" w:cs="Georgia" w:eastAsia="Georgia"/>
          <w:sz w:val="20"/>
          <w:szCs w:val="20"/>
          <w:b w:val="0"/>
          <w:bCs w:val="0"/>
          <w:strike w:val="0"/>
          <w:color w:val="000000"/>
        </w:rPr>
        <w:t xml:space="preserve"> [R]</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w:t>
      </w:r>
      <w:r>
        <w:rPr>
          <w:rFonts w:ascii="Georgia" w:hAnsi="Georgia" w:cs="Georgia" w:eastAsia="Georgia"/>
          <w:sz w:val="22"/>
          <w:szCs w:val="22"/>
          <w:b w:val="0"/>
          <w:bCs w:val="0"/>
          <w:strike w:val="0"/>
          <w:shd w:val="clear" w:fill="BFBFBF"/>
          <w:color w:val="000000"/>
        </w:rPr>
        <w:t>A total of 181 microplastics were detected across all samples, wherein the concentration of microplastics was higher in Treatment 1 (74.03%).</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hAnsi="Georgia" w:cs="Georgia" w:eastAsia="Georgia"/>
          <w:sz w:val="22"/>
          <w:szCs w:val="22"/>
          <w:b w:val="0"/>
          <w:bCs w:val="0"/>
          <w:strike w:val="0"/>
          <w:shd w:val="clear" w:fill="BFBFBF"/>
          <w:color w:val="000000"/>
        </w:rPr>
        <w:t>In general, lung samples were sensitive to all antibiotics except amoxicillin-clavulanic acid.</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w:t>
      </w:r>
      <w:r>
        <w:rPr>
          <w:rFonts w:ascii="Georgia" w:hAnsi="Georgia" w:cs="Georgia" w:eastAsia="Georgia"/>
          <w:sz w:val="22"/>
          <w:szCs w:val="22"/>
          <w:b w:val="0"/>
          <w:bCs w:val="0"/>
          <w:strike w:val="0"/>
          <w:shd w:val="clear" w:fill="BFBFBF"/>
          <w:color w:val="000000"/>
        </w:rPr>
        <w:t>In contrast, the data showed that lung and chick samples exhibited marked resistance.</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 each lowered to 0.25 ml, 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w:t>
      </w:r>
      <w:r>
        <w:rPr>
          <w:rFonts w:ascii="Georgia" w:hAnsi="Georgia" w:cs="Georgia" w:eastAsia="Georgia"/>
          <w:sz w:val="22"/>
          <w:szCs w:val="22"/>
          <w:b w:val="0"/>
          <w:bCs w:val="0"/>
          <w:strike w:val="0"/>
          <w:shd w:val="clear" w:fill="BFBFBF"/>
          <w:color w:val="000000"/>
        </w:rPr>
        <w:t>One way ANOVA was used and the differences between the groups were statistically significant.</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 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hAnsi="Georgia" w:cs="Georgia" w:eastAsia="Georgia"/>
          <w:sz w:val="22"/>
          <w:szCs w:val="22"/>
          <w:b w:val="0"/>
          <w:bCs w:val="0"/>
          <w:strike w:val="0"/>
          <w:shd w:val="clear" w:fill="BFBFBF"/>
          <w:color w:val="000000"/>
        </w:rPr>
        <w:t>Results revealed that Treatment 3, with 40% concentration of Noni had the highest zone of inhibition in vitro with comparable antibacterial activity as the positive control against S. aureus.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t>
      </w:r>
      <w:r>
        <w:rPr>
          <w:rFonts w:ascii="Georgia" w:hAnsi="Georgia" w:cs="Georgia" w:eastAsia="Georgia"/>
          <w:sz w:val="22"/>
          <w:szCs w:val="22"/>
          <w:b w:val="0"/>
          <w:bCs w:val="0"/>
          <w:strike w:val="0"/>
          <w:shd w:val="clear" w:fill="BFBFBF"/>
          <w:color w:val="000000"/>
        </w:rPr>
        <w:t>With the in vitro and in vivo results, Noni fruit ethanolic extract with 40% concentration has antibacterial property.</w:t>
      </w:r>
      <w:r>
        <w:rPr>
          <w:rFonts w:ascii="Georgia" w:hAnsi="Georgia" w:cs="Georgia" w:eastAsia="Georgia"/>
          <w:sz w:val="20"/>
          <w:szCs w:val="20"/>
          <w:b w:val="0"/>
          <w:bCs w:val="0"/>
          <w:strike w:val="0"/>
          <w:color w:val="000000"/>
        </w:rPr>
        <w:t xml:space="preserve"> [G]</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hAnsi="Georgia" w:cs="Georgia" w:eastAsia="Georgia"/>
          <w:sz w:val="22"/>
          <w:szCs w:val="22"/>
          <w:b w:val="0"/>
          <w:bCs w:val="0"/>
          <w:strike w:val="0"/>
          <w:shd w:val="clear" w:fill="BFBFBF"/>
          <w:color w:val="000000"/>
        </w:rPr>
        <w:t>Participants exhibited an overall moderate level of awareness (mean=3.30) on canine zoonotic diseases.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w:t>
      </w:r>
      <w:r>
        <w:rPr>
          <w:rFonts w:ascii="Georgia" w:hAnsi="Georgia" w:cs="Georgia" w:eastAsia="Georgia"/>
          <w:sz w:val="22"/>
          <w:szCs w:val="22"/>
          <w:b w:val="0"/>
          <w:bCs w:val="0"/>
          <w:strike w:val="0"/>
          <w:shd w:val="clear" w:fill="BFBFBF"/>
          <w:color w:val="000000"/>
        </w:rPr>
        <w:t>Using Pearson’s correlation, significant associations (p&lt;0.05) were found between awareness on zoonotic diseases and sociodemographic factors, such as educational attainment (p-value=0.000), monthly income (p-value=0.007), and years of dog ownership (p-value=0.001).</w:t>
      </w:r>
      <w:r>
        <w:rPr>
          <w:rFonts w:ascii="Georgia" w:hAnsi="Georgia" w:cs="Georgia" w:eastAsia="Georgia"/>
          <w:sz w:val="20"/>
          <w:szCs w:val="20"/>
          <w:b w:val="0"/>
          <w:bCs w:val="0"/>
          <w:strike w:val="0"/>
          <w:color w:val="000000"/>
        </w:rPr>
        <w:t xml:space="preserve"> [R]</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hAnsi="Georgia" w:cs="Georgia" w:eastAsia="Georgia"/>
          <w:sz w:val="22"/>
          <w:szCs w:val="22"/>
          <w:b w:val="0"/>
          <w:bCs w:val="0"/>
          <w:strike w:val="0"/>
          <w:shd w:val="clear" w:fill="BFBFBF"/>
          <w:color w:val="000000"/>
        </w:rPr>
        <w:t>The results indicated that most respondents demonstrated high knowledge about rabies (69.3%), particularly regarding transmission and prevention, However, misconceptions persisted, notably about rabies’ incurability (39.8%) and the role of neutering in disease control (50.3%).</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hAnsi="Georgia" w:cs="Georgia" w:eastAsia="Georgia"/>
          <w:sz w:val="22"/>
          <w:szCs w:val="22"/>
          <w:b w:val="0"/>
          <w:bCs w:val="0"/>
          <w:strike w:val="0"/>
          <w:shd w:val="clear" w:fill="BFBFBF"/>
          <w:color w:val="000000"/>
        </w:rPr>
        <w:t>Multiple linear regression analysis confirmed interrelationships among KAP dimensions, revealing that higher knowledge scores significantly predicted better preventive behaviors (p &lt; 0.001).</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Crop Science (Acs1–Acs10)</w:t>
      </w:r>
      <w:r>
        <w:rPr>
          <w:rtl w:val="0"/>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Topsoil only (control), T2, Topsoil + Rice Hull, T3, Topsoil + Carbonized Rice Hull, T4, Topsoil + Vermicompost, and T5: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w:t>
      </w:r>
      <w:r>
        <w:rPr>
          <w:rFonts w:ascii="Georgia" w:hAnsi="Georgia" w:cs="Georgia" w:eastAsia="Georgia"/>
          <w:sz w:val="22"/>
          <w:szCs w:val="22"/>
          <w:b w:val="0"/>
          <w:bCs w:val="0"/>
          <w:strike w:val="0"/>
          <w:shd w:val="clear" w:fill="BFBFBF"/>
          <w:color w:val="000000"/>
        </w:rPr>
        <w:t>Based on the results, there was no significant difference among the different methods of kuhol amino acid app in terms of plant height, weight of marketable and weight of non-marketable fruit, number of marketable and non-marketable fruits, and computed yield.</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Different methods of kuhol amino acid application influenced the plant height, weight of fruits, number of marketable and non-marketable fruits, and computed yield.</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The researcher </w:t>
      </w:r>
      <w:r>
        <w:rPr>
          <w:rFonts w:ascii="Georgia" w:hAnsi="Georgia" w:cs="Georgia" w:eastAsia="Georgia"/>
          <w:sz w:val="22"/>
          <w:szCs w:val="22"/>
          <w:b w:val="0"/>
          <w:bCs w:val="0"/>
          <w:color w:val="000000"/>
          <w:strike w:val="1"/>
        </w:rPr>
        <w:t>recommends</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w:t>
      </w:r>
      <w:r>
        <w:rPr>
          <w:rFonts w:ascii="Georgia" w:hAnsi="Georgia" w:cs="Georgia" w:eastAsia="Georgia"/>
          <w:sz w:val="22"/>
          <w:szCs w:val="22"/>
          <w:b w:val="0"/>
          <w:bCs w:val="0"/>
          <w:strike w:val="0"/>
          <w:shd w:val="clear" w:fill="BFBFBF"/>
          <w:color w:val="000000"/>
        </w:rPr>
        <w:t>The results of the study revealed the following: a significant difference was observed in the number of productive tillers, actual yield per sample area, and computed yield per ton/ha.</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No significant differences were observed in terms of the number of days from transplanting to flowering, plant height, number of unproductive tillers, length of panicle, number of filled grains, number of unfilled grains, and weight of 1,000 seeds. </w:t>
      </w:r>
      <w:r>
        <w:rPr>
          <w:rFonts w:ascii="Georgia" w:hAnsi="Georgia" w:cs="Georgia" w:eastAsia="Georgia"/>
          <w:sz w:val="22"/>
          <w:szCs w:val="22"/>
          <w:b w:val="0"/>
          <w:bCs w:val="0"/>
          <w:strike w:val="0"/>
          <w:shd w:val="clear" w:fill="BFBFBF"/>
          <w:color w:val="000000"/>
        </w:rPr>
        <w:t>In conclusion, T3: NPK+14-14-14 was the most compelling treatment among all treatments in terms of producing the highest number of productive tillers and obtaining the heaviest yield per ton/ha.</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Animal Science (Aas1–Aas10)</w:t>
      </w:r>
      <w:r>
        <w:rPr>
          <w:rtl w:val="0"/>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w:t>
      </w:r>
      <w:r>
        <w:rPr>
          <w:rFonts w:ascii="Georgia" w:hAnsi="Georgia" w:cs="Georgia" w:eastAsia="Georgia"/>
          <w:sz w:val="22"/>
          <w:szCs w:val="22"/>
          <w:b w:val="0"/>
          <w:bCs w:val="0"/>
          <w:strike w:val="0"/>
          <w:shd w:val="clear" w:fill="BFBFBF"/>
          <w:color w:val="000000"/>
        </w:rPr>
        <w:t>The results of the study revealed the following: No significant differences were observed in terms of mean initial weight (kg), mean final weight (kg), mean gain in weight (kg), mean DM intake (kg), or feed conversion ratio.</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The student researcher concluded that T2 (20% GA Leaves + 40% Paragrass + 40% Concentrate Feeds) was the most compelling treatment among all treatments for the rabbits in terms of outperforming the data numerically.</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w:t>
      </w:r>
      <w:r>
        <w:rPr>
          <w:rFonts w:ascii="Georgia" w:hAnsi="Georgia" w:cs="Georgia" w:eastAsia="Georgia"/>
          <w:sz w:val="22"/>
          <w:szCs w:val="22"/>
          <w:b w:val="0"/>
          <w:bCs w:val="0"/>
          <w:strike w:val="0"/>
          <w:shd w:val="clear" w:fill="BFBFBF"/>
          <w:color w:val="000000"/>
        </w:rPr>
        <w:t>But when it came to mean ultimate weight in the treated birds, the fermented okara extract had the biggest impact, resulting in the heaviest weight.</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Additionally, the total return result showed a promising future for fermented okara extract at a level of 60 ml (166.00 PHP).</w:t>
      </w:r>
      <w:r>
        <w:rPr>
          <w:rFonts w:ascii="Georgia" w:hAnsi="Georgia" w:cs="Georgia" w:eastAsia="Georgia"/>
          <w:sz w:val="20"/>
          <w:szCs w:val="20"/>
          <w:b w:val="0"/>
          <w:bCs w:val="0"/>
          <w:strike w:val="0"/>
          <w:color w:val="000000"/>
        </w:rPr>
        <w:t xml:space="preserve"> [G]</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hAnsi="Georgia" w:cs="Georgia" w:eastAsia="Georgia"/>
          <w:sz w:val="22"/>
          <w:szCs w:val="22"/>
          <w:b w:val="0"/>
          <w:bCs w:val="0"/>
          <w:strike w:val="0"/>
          <w:shd w:val="clear" w:fill="BFBFBF"/>
          <w:color w:val="000000"/>
        </w:rPr>
        <w:t>It was found to have a significant effect on the growth and germination rate of pigeon pea in terms of days to germinate, plant height, a number of leaves, and length of leaves.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Fonts w:ascii="Georgia" w:hAnsi="Georgia" w:cs="Georgia" w:eastAsia="Georgia"/>
          <w:sz w:val="20"/>
          <w:szCs w:val="20"/>
          <w:b w:val="0"/>
          <w:bCs w:val="0"/>
          <w:strike w:val="0"/>
          <w:color w:val="000000"/>
        </w:rPr>
        <w:t xml:space="preserve"> [G]</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hAnsi="Georgia" w:cs="Georgia" w:eastAsia="Georgia"/>
          <w:sz w:val="22"/>
          <w:szCs w:val="22"/>
          <w:b w:val="0"/>
          <w:bCs w:val="0"/>
          <w:strike w:val="0"/>
          <w:shd w:val="clear" w:fill="BFBFBF"/>
          <w:color w:val="000000"/>
        </w:rPr>
        <w:t>The results disclosed that the percentage of mortality and moisture content were statistically significant at 1% (P&lt;0.01) and (P&lt;0.05) level with 48 hours after the post-treatment.</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However, mortality rate and moisture content were not significant after 6 hours and 24 hours.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Therefore,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