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cs="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240" w:line="480" w:lineRule="auto"/>
        <w:ind w:firstLine="720"/>
        <w:jc w:val="both"/>
        <w:rPr/>
      </w:pPr>
      <w:r>
        <w:rPr>
          <w:rFonts w:ascii="Times New Roman" w:hAnsi="Times New Roman" w:eastAsia="Times New Roman" w:cs="Times New Roman"/>
          <w:b w:val="0"/>
          <w:sz w:val="22"/>
        </w:rPr>
        <w:t>Table 3 reports each hedge type with the forms attested under that type and the counts by discipline (Biology, Veterinary Medicine, Agriculture). Lexical hedges dominate overall (42 tokens), followed by modal verbs (20) and adverbial hedges (3); no clause-level hedges appear. Agriculture is nearly balanced (13 modal vs. 14 lexical). Biology is heavily lexical (20 of 28). Veterinary Medicine’s small total (10) is also mostly lexical (8), with only 2 modal verbs. Among lexical forms, potential is the single most frequent token (19 instances).</w:t>
      </w:r>
    </w:p>
    <w:p w:rsidR="00000000" w:rsidDel="00000000" w:rsidP="00000000" w:rsidRDefault="00000000" w:rsidRPr="00000000" w14:paraId="00000129">
      <w:pPr>
        <w:spacing w:after="0" w:before="0" w:line="480" w:lineRule="auto"/>
        <w:ind w:firstLine="720"/>
        <w:jc w:val="both"/>
        <w:rPr/>
      </w:pPr>
      <w:r>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pPr>
        <w:spacing w:line="480" w:lineRule="auto" w:before="0" w:after="0"/>
        <w:ind w:firstLine="720"/>
        <w:jc w:val="both"/>
      </w:pPr>
      <w:r>
        <w:rPr>
          <w:rFonts w:ascii="Georgia" w:hAnsi="Georgia" w:eastAsia="Georgia"/>
          <w:sz w:val="22"/>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pPr>
        <w:spacing w:line="480" w:lineRule="auto" w:before="0" w:after="0"/>
        <w:ind w:firstLine="720"/>
        <w:jc w:val="both"/>
      </w:pPr>
      <w:r>
        <w:rPr>
          <w:rFonts w:ascii="Georgia" w:hAnsi="Georgia" w:eastAsia="Georgia"/>
          <w:sz w:val="22"/>
        </w:rPr>
        <w:t>Table 4 also records 14 unhedged claims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5D">
      <w:pPr>
        <w:spacing w:after="0" w:before="0" w:line="480" w:lineRule="auto"/>
        <w:ind w:firstLine="720"/>
        <w:jc w:val="both"/>
        <w:rPr/>
      </w:pPr>
      <w:r>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Pr>
          <w:rFonts w:ascii="Georgia" w:hAnsi="Georgia" w:eastAsia="Georgia"/>
          <w:sz w:val="22"/>
        </w:rPr>
        <w:t>Veterinary Medicine's low density is more difficult to interpret. Many VM abstracts in this corpus reported clinical findings from animal studies (e.g., drug efficacy trials, disease detection, hematological profiling). Biology abstracts with binary results still hedge more than VM binary abstracts under the same broad outcome class.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Pr>
          <w:rtl w:val="0"/>
        </w:rPr>
        <w:t xml:space="preserve">The false positive distribution also varies by discipline. Biology produced 34 false positives, far more than Agriculture (17) or Veterinary Medicine (14). This is partly because Biology abstracts contain more instances of “</w:t>
      </w:r>
      <w:r>
        <w:rPr>
          <w:i w:val="1"/>
          <w:iCs w:val="1"/>
          <w:rtl w:val="0"/>
        </w:rPr>
        <w:t xml:space="preserve">potential</w:t>
      </w:r>
      <w:r>
        <w:rPr>
          <w:rtl w:val="0"/>
        </w:rPr>
        <w:t xml:space="preserve">” in aim statements and “</w:t>
      </w:r>
      <w:r>
        <w:rPr>
          <w:i w:val="1"/>
          <w:iCs w:val="1"/>
          <w:rtl w:val="0"/>
        </w:rPr>
        <w:t xml:space="preserve">indicated by</w:t>
      </w:r>
      <w:r>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 The false-positive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