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Those expert norms are well documented in that literature.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Suratno &amp; Aydawati, 2025).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sz w:val="22"/>
          <w:szCs w:val="22"/>
          <w:b/>
          <w:bCs/>
        </w:rPr>
        <w:t xml:space="preserve">Kruskal-Wallis Test, </w:t>
      </w:r>
      <w:r>
        <w:rPr>
          <w:rFonts w:ascii="Georgia" w:hAnsi="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sz w:val="22"/>
          <w:szCs w:val="22"/>
          <w:b/>
          <w:bCs/>
        </w:rPr>
        <w:t xml:space="preserve">Mann-Whitney U Test, </w:t>
      </w:r>
      <w:r>
        <w:rPr>
          <w:rFonts w:ascii="Georgia" w:hAnsi="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sz w:val="22"/>
          <w:szCs w:val="22"/>
          <w:b/>
          <w:bCs/>
        </w:rPr>
        <w:t xml:space="preserve">e. Data Analysis. </w:t>
      </w:r>
      <w:r>
        <w:rPr>
          <w:rFonts w:ascii="Georgia" w:hAnsi="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sz w:val="22"/>
          <w:szCs w:val="22"/>
          <w:b/>
          <w:bCs/>
        </w:rPr>
        <w:t xml:space="preserve">Inclusion Criteria. </w:t>
      </w:r>
      <w:r>
        <w:rPr>
          <w:rFonts w:ascii="Georgia" w:hAnsi="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pPr>
      <w:r>
        <w:rPr>
          <w:rFonts w:ascii="Georgia" w:hAnsi="Georgia"/>
          <w:sz w:val="22"/>
          <w:szCs w:val="22"/>
          <w:b/>
          <w:bCs/>
        </w:rPr>
        <w:t xml:space="preserve">Exclusion Criteria. </w:t>
      </w:r>
      <w:r>
        <w:rPr>
          <w:rFonts w:ascii="Georgia" w:hAnsi="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sz w:val="22"/>
          <w:szCs w:val="22"/>
          <w:b/>
          <w:bCs/>
        </w:rPr>
        <w:t xml:space="preserve">Ethical Considerations. </w:t>
      </w:r>
      <w:r>
        <w:rPr>
          <w:rFonts w:ascii="Georgia" w:hAnsi="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This unhedged-site inventory is included as a descriptive record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tblHeader/>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map frequency, function, and cross-disciplinary density. The contrasts below describe what was observed in this corpus. They are not presented as stable discipline-level characteristics. Inferential tests are exploratory, as stated in Scope and Limitations. As reported in Part II, the Kruskal-Wallis test on rates reached p = .024.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The Kruskal-Wallis test on rates was p = .024. Pairwise Mann-Whitney tests with Bonferroni correction leave Biology–Veterinary Medicine as the surviving contrast. Those tests are exploratory and the sample is small, as noted in Scope.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hAnsi="Georgia" w:cs="Georgia" w:eastAsia="Georgia"/>
          <w:b w:val="0"/>
          <w:sz w:val="22"/>
          <w:i w:val="0"/>
        </w:rPr>
        <w:t xml:space="preserve">Afshar, H. S., Moradi, M., &amp; Hamzavi, R. (2014). Frequency and type of hedging devices used in the research articles of humanities, basic sciences and agriculture. </w:t>
      </w:r>
      <w:r>
        <w:rPr>
          <w:rFonts w:ascii="Georgia" w:hAnsi="Georgia" w:cs="Georgia" w:eastAsia="Georgia"/>
          <w:b w:val="0"/>
          <w:sz w:val="22"/>
          <w:i/>
          <w:iCs/>
        </w:rPr>
        <w:t>Procedia – Social and Behavioral Sciences, 136</w:t>
      </w:r>
      <w:r>
        <w:rPr>
          <w:rFonts w:ascii="Georgia" w:hAnsi="Georgia" w:cs="Georgia" w:eastAsia="Georgia"/>
          <w:b w:val="0"/>
          <w:sz w:val="22"/>
          <w:i w:val="0"/>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cs="Georgia" w:eastAsia="Georgia"/>
          <w:b w:val="0"/>
          <w:sz w:val="22"/>
          <w:i w:val="0"/>
        </w:rPr>
        <w:t xml:space="preserve">Biber, D., Conrad, S., &amp; Reppen, R. (1998). </w:t>
      </w:r>
      <w:r>
        <w:rPr>
          <w:rFonts w:ascii="Georgia" w:hAnsi="Georgia" w:cs="Georgia" w:eastAsia="Georgia"/>
          <w:b w:val="0"/>
          <w:sz w:val="22"/>
          <w:i/>
          <w:iCs/>
        </w:rPr>
        <w:t>Corpus linguistics: Investigating language structure and use</w:t>
      </w:r>
      <w:r>
        <w:rPr>
          <w:rFonts w:ascii="Georgia" w:hAnsi="Georgia" w:cs="Georgia" w:eastAsia="Georgia"/>
          <w:b w:val="0"/>
          <w:sz w:val="22"/>
          <w:i w:val="0"/>
        </w:rPr>
        <w:t>. Cambridge University Press.</w:t>
      </w:r>
    </w:p>
    <w:p>
      <w:pPr>
        <w:spacing w:before="0" w:after="0" w:line="480" w:lineRule="auto"/>
        <w:ind w:left="720" w:hanging="720"/>
        <w:jc w:val="left"/>
        <w:rPr/>
      </w:pPr>
      <w:r>
        <w:rPr>
          <w:rFonts w:ascii="Georgia" w:hAnsi="Georgia" w:cs="Georgia" w:eastAsia="Georgia"/>
          <w:b w:val="0"/>
          <w:sz w:val="22"/>
        </w:rPr>
        <w:t xml:space="preserve">Crompton, P. (1997). Hedging in academic writing: Some theoretical problems. </w:t>
      </w:r>
      <w:r>
        <w:rPr>
          <w:rFonts w:ascii="Georgia" w:hAnsi="Georgia" w:cs="Georgia" w:eastAsia="Georgia"/>
          <w:b w:val="0"/>
          <w:sz w:val="22"/>
          <w:i/>
          <w:iCs/>
        </w:rPr>
        <w:t>English for Specific Purposes, 16</w:t>
      </w:r>
      <w:r>
        <w:rPr>
          <w:rFonts w:ascii="Georgia" w:hAnsi="Georgia" w:cs="Georgia" w:eastAsia="Georgia"/>
          <w:b w:val="0"/>
          <w:sz w:val="22"/>
        </w:rPr>
        <w:t>(4), 271–287. https://www.academia.edu/50160307/Hedging_in_academic_writing_Some_theoretical_problems</w:t>
      </w:r>
    </w:p>
    <w:p w:rsidR="00000000" w:rsidDel="00000000" w:rsidP="00000000" w:rsidRDefault="00000000" w:rsidRPr="00000000" w14:paraId="00000188">
      <w:pPr>
        <w:spacing w:before="0" w:after="0" w:line="480" w:lineRule="auto"/>
        <w:ind w:left="720" w:hanging="720"/>
        <w:jc w:val="left"/>
        <w:rPr/>
      </w:pPr>
      <w:r>
        <w:rPr>
          <w:rFonts w:ascii="Georgia" w:hAnsi="Georgia" w:cs="Georgia" w:eastAsia="Georgia"/>
          <w:b w:val="0"/>
          <w:sz w:val="22"/>
          <w:i w:val="0"/>
        </w:rPr>
        <w:t xml:space="preserve">Demir, C. (2018). Hedging and academic writing: An analysis of lexical hedges. </w:t>
      </w:r>
      <w:r>
        <w:rPr>
          <w:rFonts w:ascii="Georgia" w:hAnsi="Georgia" w:cs="Georgia" w:eastAsia="Georgia"/>
          <w:b w:val="0"/>
          <w:sz w:val="22"/>
          <w:i/>
          <w:iCs/>
        </w:rPr>
        <w:t>Journal of Language and Linguistic Studies, 14</w:t>
      </w:r>
      <w:r>
        <w:rPr>
          <w:rFonts w:ascii="Georgia" w:hAnsi="Georgia" w:cs="Georgia" w:eastAsia="Georgia"/>
          <w:b w:val="0"/>
          <w:sz w:val="22"/>
          <w:i w:val="0"/>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cs="Georgia" w:eastAsia="Georgia"/>
          <w:b w:val="0"/>
          <w:sz w:val="22"/>
          <w:i w:val="0"/>
        </w:rPr>
        <w:t xml:space="preserve">Escalona, S. L. (2025). Hedges and boosters in college essays: A study of linguistic modulation in student writing. </w:t>
      </w:r>
      <w:r>
        <w:rPr>
          <w:rFonts w:ascii="Georgia" w:hAnsi="Georgia" w:cs="Georgia" w:eastAsia="Georgia"/>
          <w:b w:val="0"/>
          <w:sz w:val="22"/>
          <w:i/>
          <w:iCs/>
        </w:rPr>
        <w:t>International Journal of English Literature and Social Sciences, 10</w:t>
      </w:r>
      <w:r>
        <w:rPr>
          <w:rFonts w:ascii="Georgia" w:hAnsi="Georgia" w:cs="Georgia" w:eastAsia="Georgia"/>
          <w:b w:val="0"/>
          <w:sz w:val="22"/>
          <w:i w:val="0"/>
        </w:rPr>
        <w:t>(1), 7–17. https://doi.org/10.22161/ijels.101.2</w:t>
      </w:r>
    </w:p>
    <w:p w:rsidR="00000000" w:rsidDel="00000000" w:rsidP="00000000" w:rsidRDefault="00000000" w:rsidRPr="00000000" w14:paraId="0000018A">
      <w:pPr>
        <w:spacing w:before="0" w:after="0" w:line="480" w:lineRule="auto"/>
        <w:ind w:left="720" w:hanging="720"/>
        <w:jc w:val="left"/>
        <w:rPr/>
      </w:pPr>
      <w:r>
        <w:rPr>
          <w:rFonts w:ascii="Georgia" w:hAnsi="Georgia" w:cs="Georgia" w:eastAsia="Georgia"/>
          <w:b w:val="0"/>
          <w:sz w:val="22"/>
          <w:i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b w:val="0"/>
          <w:sz w:val="22"/>
          <w:i/>
          <w:iCs/>
        </w:rPr>
        <w:t>Medical Journal of the Islamic Republic of Iran, 39</w:t>
      </w:r>
      <w:r>
        <w:rPr>
          <w:rFonts w:ascii="Georgia" w:hAnsi="Georgia" w:cs="Georgia" w:eastAsia="Georgia"/>
          <w:b w:val="0"/>
          <w:sz w:val="22"/>
          <w:i w:val="0"/>
        </w:rPr>
        <w:t>, Article 125. https://pmc.ncbi.nlm.nih.gov/articles/PMC12584097/</w:t>
      </w:r>
    </w:p>
    <w:p w:rsidR="00000000" w:rsidDel="00000000" w:rsidP="00000000" w:rsidRDefault="00000000" w:rsidRPr="00000000" w14:paraId="0000018B">
      <w:pPr>
        <w:spacing w:before="0" w:after="0" w:line="480" w:lineRule="auto"/>
        <w:ind w:left="720" w:hanging="720"/>
        <w:jc w:val="left"/>
        <w:rPr/>
      </w:pPr>
      <w:r>
        <w:rPr>
          <w:rFonts w:ascii="Georgia" w:hAnsi="Georgia" w:cs="Georgia" w:eastAsia="Georgia"/>
          <w:b w:val="0"/>
          <w:sz w:val="22"/>
          <w:i w:val="0"/>
        </w:rPr>
        <w:t xml:space="preserve">Hyland, K. (1998). </w:t>
      </w:r>
      <w:r>
        <w:rPr>
          <w:rFonts w:ascii="Georgia" w:hAnsi="Georgia" w:cs="Georgia" w:eastAsia="Georgia"/>
          <w:b w:val="0"/>
          <w:sz w:val="22"/>
          <w:i/>
          <w:iCs/>
        </w:rPr>
        <w:t>Hedging in scientific research articles</w:t>
      </w:r>
      <w:r>
        <w:rPr>
          <w:rFonts w:ascii="Georgia" w:hAnsi="Georgia" w:cs="Georgia" w:eastAsia="Georgia"/>
          <w:b w:val="0"/>
          <w:sz w:val="22"/>
          <w:i w:val="0"/>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cs="Georgia" w:eastAsia="Georgia"/>
          <w:b w:val="0"/>
          <w:sz w:val="22"/>
          <w:i w:val="0"/>
        </w:rPr>
        <w:t xml:space="preserve">Hyland, K. (2005). Stance and engagement: A model of interaction in academic discourse. </w:t>
      </w:r>
      <w:r>
        <w:rPr>
          <w:rFonts w:ascii="Georgia" w:hAnsi="Georgia" w:cs="Georgia" w:eastAsia="Georgia"/>
          <w:b w:val="0"/>
          <w:sz w:val="22"/>
          <w:i/>
          <w:iCs/>
        </w:rPr>
        <w:t>Discourse Studies, 7</w:t>
      </w:r>
      <w:r>
        <w:rPr>
          <w:rFonts w:ascii="Georgia" w:hAnsi="Georgia" w:cs="Georgia" w:eastAsia="Georgia"/>
          <w:b w:val="0"/>
          <w:sz w:val="22"/>
          <w:i w:val="0"/>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cs="Georgia" w:eastAsia="Georgia"/>
          <w:b w:val="0"/>
          <w:sz w:val="22"/>
          <w:i w:val="0"/>
        </w:rPr>
        <w:t xml:space="preserve">Hyland, K., &amp; Milton, J. (1997). Qualification and certainty in L1 and L2 students’ writing. </w:t>
      </w:r>
      <w:r>
        <w:rPr>
          <w:rFonts w:ascii="Georgia" w:hAnsi="Georgia" w:cs="Georgia" w:eastAsia="Georgia"/>
          <w:b w:val="0"/>
          <w:sz w:val="22"/>
          <w:i/>
          <w:iCs/>
        </w:rPr>
        <w:t>Journal of Second Language Writing, 6</w:t>
      </w:r>
      <w:r>
        <w:rPr>
          <w:rFonts w:ascii="Georgia" w:hAnsi="Georgia" w:cs="Georgia" w:eastAsia="Georgia"/>
          <w:b w:val="0"/>
          <w:sz w:val="22"/>
          <w:i w:val="0"/>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cs="Georgia" w:eastAsia="Georgia"/>
          <w:b w:val="0"/>
          <w:sz w:val="22"/>
          <w:i w:val="0"/>
        </w:rPr>
        <w:t xml:space="preserve">Imataki, N., &amp; Kobayashi, Y. (2024). Analyzing disciplinary variation in abstracts: Linguistic features across scientific and technical fields. </w:t>
      </w:r>
      <w:r>
        <w:rPr>
          <w:rFonts w:ascii="Georgia" w:hAnsi="Georgia" w:cs="Georgia" w:eastAsia="Georgia"/>
          <w:b w:val="0"/>
          <w:sz w:val="22"/>
          <w:i/>
          <w:iCs/>
        </w:rPr>
        <w:t>Linguistics and Literature Studies, 12</w:t>
      </w:r>
      <w:r>
        <w:rPr>
          <w:rFonts w:ascii="Georgia" w:hAnsi="Georgia" w:cs="Georgia" w:eastAsia="Georgia"/>
          <w:b w:val="0"/>
          <w:sz w:val="22"/>
          <w:i w:val="0"/>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cs="Georgia" w:eastAsia="Georgia"/>
          <w:b w:val="0"/>
          <w:sz w:val="22"/>
          <w:i w:val="0"/>
        </w:rPr>
        <w:t xml:space="preserve">Khunasathitchai, K., Sittironnarit, S., Sinturat, T., &amp; Kumdee, S. (2025). Move analysis and hedge use in the research paper abstracts of Thai EFL English-majored undergraduates. </w:t>
      </w:r>
      <w:r>
        <w:rPr>
          <w:rFonts w:ascii="Georgia" w:hAnsi="Georgia" w:cs="Georgia" w:eastAsia="Georgia"/>
          <w:b w:val="0"/>
          <w:sz w:val="22"/>
          <w:i/>
          <w:iCs/>
        </w:rPr>
        <w:t>rEFLections, 32</w:t>
      </w:r>
      <w:r>
        <w:rPr>
          <w:rFonts w:ascii="Georgia" w:hAnsi="Georgia" w:cs="Georgia" w:eastAsia="Georgia"/>
          <w:b w:val="0"/>
          <w:sz w:val="22"/>
          <w:i w:val="0"/>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cs="Georgia" w:eastAsia="Georgia"/>
          <w:b w:val="0"/>
          <w:sz w:val="22"/>
          <w:i w:val="0"/>
        </w:rPr>
        <w:t xml:space="preserve">Landis, J. R., &amp; Koch, G. G. (1977). The measurement of observer agreement for categorical data. </w:t>
      </w:r>
      <w:r>
        <w:rPr>
          <w:rFonts w:ascii="Georgia" w:hAnsi="Georgia" w:cs="Georgia" w:eastAsia="Georgia"/>
          <w:b w:val="0"/>
          <w:sz w:val="22"/>
          <w:i/>
          <w:iCs/>
        </w:rPr>
        <w:t>Biometrics, 33</w:t>
      </w:r>
      <w:r>
        <w:rPr>
          <w:rFonts w:ascii="Georgia" w:hAnsi="Georgia" w:cs="Georgia" w:eastAsia="Georgia"/>
          <w:b w:val="0"/>
          <w:sz w:val="22"/>
          <w:i w:val="0"/>
        </w:rPr>
        <w:t>(1), 159–174. https://doi.org/10.2307/2529310</w:t>
      </w:r>
    </w:p>
    <w:p>
      <w:pPr>
        <w:spacing w:before="0" w:after="0" w:line="480" w:lineRule="auto"/>
        <w:ind w:left="720" w:hanging="720"/>
        <w:jc w:val="left"/>
        <w:rPr/>
      </w:pPr>
      <w:r>
        <w:rPr>
          <w:rFonts w:ascii="Georgia" w:hAnsi="Georgia" w:cs="Georgia" w:eastAsia="Georgia"/>
          <w:b w:val="0"/>
          <w:sz w:val="22"/>
          <w:i w:val="0"/>
        </w:rPr>
        <w:t xml:space="preserve">Lopez, R. M. C., Pedida, J. A., Alzate, L. J. A., &amp; Eustaquio, M. T. L. (2025). Language of caution and certainty: Writing proficiency in hedges and boosters in student essays. </w:t>
      </w:r>
      <w:r>
        <w:rPr>
          <w:rFonts w:ascii="Georgia" w:hAnsi="Georgia" w:cs="Georgia" w:eastAsia="Georgia"/>
          <w:b w:val="0"/>
          <w:sz w:val="22"/>
          <w:i/>
          <w:iCs/>
        </w:rPr>
        <w:t>International Journal of Research and Innovation in Social Science, 9</w:t>
      </w:r>
      <w:r>
        <w:rPr>
          <w:rFonts w:ascii="Georgia" w:hAnsi="Georgia" w:cs="Georgia" w:eastAsia="Georgia"/>
          <w:b w:val="0"/>
          <w:sz w:val="22"/>
          <w:i w:val="0"/>
        </w:rPr>
        <w:t>(11),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hAnsi="Georgia" w:cs="Georgia" w:eastAsia="Georgia"/>
          <w:b w:val="0"/>
          <w:sz w:val="22"/>
          <w:i w:val="0"/>
        </w:rPr>
        <w:t xml:space="preserve">Mohammed, S. J. (2011). </w:t>
      </w:r>
      <w:r>
        <w:rPr>
          <w:rFonts w:ascii="Georgia" w:hAnsi="Georgia" w:cs="Georgia" w:eastAsia="Georgia"/>
          <w:b w:val="0"/>
          <w:sz w:val="22"/>
          <w:i/>
          <w:iCs/>
        </w:rPr>
        <w:t>Lexical hedges: A study of cultural and disciplinary variation in academic research articles</w:t>
      </w:r>
      <w:r>
        <w:rPr>
          <w:rFonts w:ascii="Georgia" w:hAnsi="Georgia" w:cs="Georgia" w:eastAsia="Georgia"/>
          <w:b w:val="0"/>
          <w:sz w:val="22"/>
          <w:i w:val="0"/>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cs="Georgia" w:eastAsia="Georgia"/>
          <w:b w:val="0"/>
          <w:sz w:val="22"/>
          <w:i w:val="0"/>
        </w:rPr>
        <w:t xml:space="preserve">Ningrum, S., Puspita, H., &amp; Mulyadi, A. I. (2024). Hedges and boosters in academic writing of ASEAN EFL learners. </w:t>
      </w:r>
      <w:r>
        <w:rPr>
          <w:rFonts w:ascii="Georgia" w:hAnsi="Georgia" w:cs="Georgia" w:eastAsia="Georgia"/>
          <w:b w:val="0"/>
          <w:sz w:val="22"/>
          <w:i/>
          <w:iCs/>
        </w:rPr>
        <w:t>Journal of English Education and Teaching, 8</w:t>
      </w:r>
      <w:r>
        <w:rPr>
          <w:rFonts w:ascii="Georgia" w:hAnsi="Georgia" w:cs="Georgia" w:eastAsia="Georgia"/>
          <w:b w:val="0"/>
          <w:sz w:val="22"/>
          <w:i w:val="0"/>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cs="Georgia" w:eastAsia="Georgia"/>
          <w:b w:val="0"/>
          <w:sz w:val="22"/>
          <w:i w:val="0"/>
        </w:rPr>
        <w:t xml:space="preserve">Petchkij, W. (2019). Explicit teaching of hedges: Bringing hedging in academic writing into the Thai EFL classroom. </w:t>
      </w:r>
      <w:r>
        <w:rPr>
          <w:rFonts w:ascii="Georgia" w:hAnsi="Georgia" w:cs="Georgia" w:eastAsia="Georgia"/>
          <w:b w:val="0"/>
          <w:sz w:val="22"/>
          <w:i/>
          <w:iCs/>
        </w:rPr>
        <w:t>Electronic Journal of Foreign Language Teaching, 16</w:t>
      </w:r>
      <w:r>
        <w:rPr>
          <w:rFonts w:ascii="Georgia" w:hAnsi="Georgia" w:cs="Georgia" w:eastAsia="Georgia"/>
          <w:b w:val="0"/>
          <w:sz w:val="22"/>
          <w:i w:val="0"/>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cs="Georgia" w:eastAsia="Georgia"/>
          <w:b w:val="0"/>
          <w:sz w:val="22"/>
          <w:i w:val="0"/>
        </w:rPr>
        <w:t xml:space="preserve">Salager-Meyer, F. (1994). Hedges and textual communicative function in medical English written discourse. </w:t>
      </w:r>
      <w:r>
        <w:rPr>
          <w:rFonts w:ascii="Georgia" w:hAnsi="Georgia" w:cs="Georgia" w:eastAsia="Georgia"/>
          <w:b w:val="0"/>
          <w:sz w:val="22"/>
          <w:i/>
          <w:iCs/>
        </w:rPr>
        <w:t>English for Specific Purposes, 13</w:t>
      </w:r>
      <w:r>
        <w:rPr>
          <w:rFonts w:ascii="Georgia" w:hAnsi="Georgia" w:cs="Georgia" w:eastAsia="Georgia"/>
          <w:b w:val="0"/>
          <w:sz w:val="22"/>
          <w:i w:val="0"/>
        </w:rPr>
        <w:t>(2), 149–170. https://doi.org/10.1016/0889-4906(94)90013-2</w:t>
      </w:r>
    </w:p>
    <w:p w:rsidR="00000000" w:rsidDel="00000000" w:rsidP="00000000" w:rsidRDefault="00000000" w:rsidRPr="00000000" w14:paraId="00000197">
      <w:pPr>
        <w:spacing w:before="0" w:after="0" w:line="480" w:lineRule="auto"/>
        <w:ind w:left="720" w:hanging="720"/>
        <w:jc w:val="left"/>
        <w:rPr/>
      </w:pPr>
      <w:r>
        <w:rPr>
          <w:rFonts w:ascii="Georgia" w:hAnsi="Georgia" w:cs="Georgia" w:eastAsia="Georgia"/>
          <w:b w:val="0"/>
          <w:sz w:val="22"/>
          <w:i w:val="0"/>
        </w:rPr>
        <w:t xml:space="preserve">Suratno, A., &amp; Aydawati, E. N. (2025). Hedging strategies in non-science theses: A corpus-based analysis of discussion sections. </w:t>
      </w:r>
      <w:r>
        <w:rPr>
          <w:rFonts w:ascii="Georgia" w:hAnsi="Georgia" w:cs="Georgia" w:eastAsia="Georgia"/>
          <w:b w:val="0"/>
          <w:sz w:val="22"/>
          <w:i/>
          <w:iCs/>
        </w:rPr>
        <w:t>ETERNAL (English Teaching Journal), 16</w:t>
      </w:r>
      <w:r>
        <w:rPr>
          <w:rFonts w:ascii="Georgia" w:hAnsi="Georgia" w:cs="Georgia" w:eastAsia="Georgia"/>
          <w:b w:val="0"/>
          <w:sz w:val="22"/>
          <w:i w:val="0"/>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cs="Georgia" w:eastAsia="Georgia"/>
          <w:b w:val="0"/>
          <w:sz w:val="22"/>
          <w:i w:val="0"/>
        </w:rPr>
        <w:t xml:space="preserve">Villanueva, V. S. (2014). Hedging devices in Philippine newspaper editorials. </w:t>
      </w:r>
      <w:r>
        <w:rPr>
          <w:rFonts w:ascii="Georgia" w:hAnsi="Georgia" w:cs="Georgia" w:eastAsia="Georgia"/>
          <w:b w:val="0"/>
          <w:sz w:val="22"/>
          <w:i/>
          <w:iCs/>
        </w:rPr>
        <w:t>Asian Journal of English Language Studies, 2</w:t>
      </w:r>
      <w:r>
        <w:rPr>
          <w:rFonts w:ascii="Georgia" w:hAnsi="Georgia" w:cs="Georgia" w:eastAsia="Georgia"/>
          <w:b w:val="0"/>
          <w:sz w:val="22"/>
          <w:i w:val="0"/>
        </w:rPr>
        <w:t>, 103–117. https://doi.org/10.59960/2.a5</w:t>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hAnsi="Georgia" w:cs="Georgia" w:eastAsia="Georgia"/>
          <w:b w:val="0"/>
          <w:sz w:val="22"/>
          <w:i w:val="0"/>
        </w:rPr>
        <w:t xml:space="preserve">Wang, X. (2022). </w:t>
      </w:r>
      <w:r>
        <w:rPr>
          <w:rFonts w:ascii="Georgia" w:hAnsi="Georgia" w:cs="Georgia" w:eastAsia="Georgia"/>
          <w:b w:val="0"/>
          <w:sz w:val="22"/>
          <w:i/>
          <w:iCs/>
        </w:rPr>
        <w:t>Hedging in academic writing: Cross-disciplinary comparisons in the Michigan Corpus of Upper-Level Student Papers (MICUSP)</w:t>
      </w:r>
      <w:r>
        <w:rPr>
          <w:rFonts w:ascii="Georgia" w:hAnsi="Georgia" w:cs="Georgia" w:eastAsia="Georgia"/>
          <w:b w:val="0"/>
          <w:sz w:val="22"/>
          <w:i w:val="0"/>
        </w:rPr>
        <w:t xml:space="preserve"> [Preprint]. OSF Preprints. https://osf.io/preprints/edarxiv/5xj27</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sites.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hAnsi="Georgia" w:cs="Georgia" w:eastAsia="Georgia"/>
          <w:b w:val="0"/>
          <w:bCs w:val="0"/>
          <w:i w:val="1"/>
          <w:iCs w:val="1"/>
          <w:color w:val="000000"/>
          <w:sz w:val="22"/>
          <w:szCs w:val="22"/>
          <w:rtl w:val="0"/>
        </w:rPr>
        <w:t>Unhedged-site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0" w:after="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120" w:after="6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 SITES (OPTIONAL,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Unhedged sites: claim clauses with no hedge. Reverse test: a hedge could be inserted without changing the facts. Procedural statements never markable. Example: “Results showed X” → could be “Results suggested X.”</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sites = grey highlight + [R]/[G]/[C] bracket.</w:t>
      </w:r>
      <w:r>
        <w:rPr>
          <w:rtl w:val="0"/>
        </w:rPr>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w:t>
      </w:r>
      <w:r>
        <w:rPr>
          <w:rFonts w:ascii="Georgia" w:hAnsi="Georgia" w:cs="Georgia" w:eastAsia="Georgia"/>
          <w:sz w:val="22"/>
          <w:szCs w:val="22"/>
          <w:b w:val="0"/>
          <w:bCs w:val="0"/>
          <w:strike w:val="0"/>
          <w:shd w:val="clear" w:fill="BFBFBF"/>
          <w:color w:val="000000"/>
        </w:rPr>
        <w:t>The result of antibacterial testing revealed that the Partial Fraction of Balitbitan (Cynometra ramiflora) did not possess the property to inhibit the growth of Staphylococcus aureus and Escherichia coli.</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There was no zone of inhibition when treated with the partial fraction of Balitbitan.</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w:t>
      </w:r>
      <w:r>
        <w:rPr>
          <w:rFonts w:ascii="Georgia" w:hAnsi="Georgia" w:cs="Georgia" w:eastAsia="Georgia"/>
          <w:sz w:val="22"/>
          <w:szCs w:val="22"/>
          <w:b w:val="0"/>
          <w:bCs w:val="0"/>
          <w:strike w:val="0"/>
          <w:shd w:val="clear" w:fill="BFBFBF"/>
          <w:color w:val="000000"/>
        </w:rPr>
        <w:t>A drop test was also performed, which revealed that the eco-bricks from all treatments were significantly damaged at the height of one meter, making them a weak, unsuitable material to use in building walkways.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This study is essential for getting insights into eco-brick manufacture because the workability of SUPs and UCOs as raw materials is proven. </w:t>
      </w:r>
      <w:r>
        <w:rPr>
          <w:rFonts w:ascii="Georgia" w:hAnsi="Georgia" w:cs="Georgia" w:eastAsia="Georgia"/>
          <w:sz w:val="22"/>
          <w:szCs w:val="22"/>
          <w:b w:val="0"/>
          <w:bCs w:val="0"/>
          <w:strike w:val="0"/>
          <w:shd w:val="clear" w:fill="BFBFBF"/>
          <w:color w:val="000000"/>
        </w:rPr>
        <w:t>The research findings do not apply to buildings.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Therefore, further research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cs="Georgia" w:eastAsia="Georgia"/>
          <w:sz w:val="22"/>
          <w:szCs w:val="22"/>
          <w:b w:val="0"/>
          <w:bCs w:val="0"/>
          <w:strike w:val="0"/>
          <w:shd w:val="clear" w:fill="BFBFBF"/>
          <w:color w:val="000000"/>
        </w:rPr>
        <w:t>All mice treated with pure leaf extract of Z. talanai, monosodium glutamate, distilled water and L-Taurine showed a significant effect (lesions / aberrations) to the cytoarchitecture of liver and kidney.</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w:t>
      </w:r>
      <w:r>
        <w:rPr>
          <w:rFonts w:ascii="Georgia" w:hAnsi="Georgia" w:cs="Georgia" w:eastAsia="Georgia"/>
          <w:sz w:val="22"/>
          <w:szCs w:val="22"/>
          <w:b w:val="0"/>
          <w:bCs w:val="0"/>
          <w:strike w:val="0"/>
          <w:shd w:val="clear" w:fill="BFBFBF"/>
          <w:color w:val="000000"/>
        </w:rPr>
        <w:t>Based on the results of this study, pure MSG and pure ethanolic leaf extract of Z. talanai caused the lesions / aberrations to the liver and kidney.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w:t>
      </w:r>
      <w:r>
        <w:rPr>
          <w:rFonts w:ascii="Georgia" w:hAnsi="Georgia" w:cs="Georgia" w:eastAsia="Georgia"/>
          <w:sz w:val="22"/>
          <w:szCs w:val="22"/>
          <w:b w:val="0"/>
          <w:bCs w:val="0"/>
          <w:strike w:val="0"/>
          <w:shd w:val="clear" w:fill="BFBFBF"/>
          <w:color w:val="000000"/>
        </w:rPr>
        <w:t>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w:t>
      </w:r>
      <w:r>
        <w:rPr>
          <w:rFonts w:ascii="Georgia" w:hAnsi="Georgia" w:cs="Georgia" w:eastAsia="Georgia"/>
          <w:sz w:val="22"/>
          <w:szCs w:val="22"/>
          <w:b w:val="0"/>
          <w:bCs w:val="0"/>
          <w:strike w:val="0"/>
          <w:shd w:val="clear" w:fill="BFBFBF"/>
          <w:color w:val="000000"/>
        </w:rPr>
        <w:t xml:space="preserve">Overall, the combination of Ziehl-Neelsen staining, biochemical testing like the catalase test, and evaluating growth in the presence of the Salt Tolerance Test provides a comprehensive approach for diagnosing and studying mycobacteriosis in cultivated milkfish, offering insights that </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cs="Georgia" w:eastAsia="Georgia"/>
          <w:sz w:val="22"/>
          <w:szCs w:val="22"/>
          <w:b w:val="0"/>
          <w:bCs w:val="0"/>
          <w:strike w:val="0"/>
          <w:shd w:val="clear" w:fill="BFBFBF"/>
          <w:color w:val="000000"/>
        </w:rPr>
        <w:t>Nine out of ten isolates exhibit quorum quenching activities by inhibiting the swarming motility of Pseudomonas aeruginosa.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metabolic compounds of the isolates were subjected to initial characterization using enzyme and pH neutralization, which revealed that organic acids were responsible for the inhibitory activity. </w:t>
      </w:r>
      <w:r>
        <w:rPr>
          <w:rFonts w:ascii="Georgia" w:hAnsi="Georgia" w:cs="Georgia" w:eastAsia="Georgia"/>
          <w:sz w:val="22"/>
          <w:szCs w:val="22"/>
          <w:b w:val="0"/>
          <w:bCs w:val="0"/>
          <w:strike w:val="0"/>
          <w:shd w:val="clear" w:fill="BFBFBF"/>
          <w:color w:val="000000"/>
        </w:rPr>
        <w:t>The inhibition activity of LAB isolates against the quorum sensing-mediated swarming motility in P. aeruginosa was due to strong antibacterial activity.</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cs="Georgia" w:eastAsia="Georgia"/>
          <w:sz w:val="22"/>
          <w:szCs w:val="22"/>
          <w:b w:val="0"/>
          <w:bCs w:val="0"/>
          <w:strike w:val="0"/>
          <w:shd w:val="clear" w:fill="BFBFBF"/>
          <w:color w:val="000000"/>
        </w:rPr>
        <w:t>T1 revealed that Zoletil® alone is not enough to fully induce Stage 3 anesthesia in zebrafish.</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when sodium bicarbonate was added, Stage 3 was achieved, while using only a small amount of Zoletil®.</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w:t>
      </w:r>
      <w:r>
        <w:rPr>
          <w:rFonts w:ascii="Georgia" w:hAnsi="Georgia" w:cs="Georgia" w:eastAsia="Georgia"/>
          <w:sz w:val="22"/>
          <w:szCs w:val="22"/>
          <w:b w:val="0"/>
          <w:bCs w:val="0"/>
          <w:strike w:val="0"/>
          <w:shd w:val="clear" w:fill="BFBFBF"/>
          <w:color w:val="000000"/>
        </w:rPr>
        <w:t>On the other hand, the evaluation of retail egg vendors showed a major issue of reusing the egg trays across vendors which has been strongly linked to bacterial growth on eggshells, yolks and albumen, with p-values of 0.030 and 0.014, respectively.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findings </w:t>
      </w:r>
      <w:r>
        <w:rPr>
          <w:rFonts w:ascii="Georgia" w:hAnsi="Georgia" w:cs="Georgia" w:eastAsia="Georgia"/>
          <w:sz w:val="22"/>
          <w:szCs w:val="22"/>
          <w:b w:val="0"/>
          <w:bCs w:val="0"/>
          <w:color w:val="000000"/>
          <w:strike w:val="1"/>
        </w:rPr>
        <w:t>suggests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cs="Georgia" w:eastAsia="Georgia"/>
          <w:sz w:val="22"/>
          <w:szCs w:val="22"/>
          <w:b w:val="0"/>
          <w:bCs w:val="0"/>
          <w:strike w:val="0"/>
          <w:shd w:val="clear" w:fill="BFBFBF"/>
          <w:color w:val="000000"/>
        </w:rPr>
        <w:t>Results indicated that most vendors lacked formal training in milk-handling (100 %) did not use refrigeration, new bottles, or any preservation methods (100%).</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w:t>
      </w:r>
      <w:r>
        <w:rPr>
          <w:rFonts w:ascii="Georgia" w:hAnsi="Georgia" w:cs="Georgia" w:eastAsia="Georgia"/>
          <w:sz w:val="22"/>
          <w:szCs w:val="22"/>
          <w:b w:val="0"/>
          <w:bCs w:val="0"/>
          <w:strike w:val="0"/>
          <w:shd w:val="clear" w:color="auto" w:fill="BFBFBF"/>
        </w:rPr>
        <w:t xml:space="preserve">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Pr>
          <w:rFonts w:ascii="Georgia" w:hAnsi="Georgia" w:cs="Georgia" w:eastAsia="Georgia"/>
          <w:sz w:val="22"/>
          <w:szCs w:val="22"/>
          <w:b w:val="0"/>
          <w:bCs w:val="0"/>
          <w:strike w:val="0"/>
        </w:rPr>
        <w:t xml:space="preserve"> [R]</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cs="Georgia" w:eastAsia="Georgia"/>
          <w:sz w:val="22"/>
          <w:szCs w:val="22"/>
          <w:b w:val="0"/>
          <w:bCs w:val="0"/>
          <w:strike w:val="0"/>
          <w:shd w:val="clear" w:fill="BFBFBF"/>
          <w:color w:val="000000"/>
        </w:rPr>
        <w:t>A total of 181 microplastics were detected across all samples, wherein the concentration of microplastics was higher in Treatment 1 (74.03%).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cs="Georgia" w:eastAsia="Georgia"/>
          <w:sz w:val="22"/>
          <w:szCs w:val="22"/>
          <w:b w:val="0"/>
          <w:bCs w:val="0"/>
          <w:strike w:val="0"/>
          <w:shd w:val="clear" w:fill="BFBFBF"/>
          <w:color w:val="000000"/>
        </w:rPr>
        <w:t>In general, lung samples were sensitive to all antibiotics except amoxicillin-clavulanic acid.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w:t>
      </w:r>
      <w:r>
        <w:rPr>
          <w:rFonts w:ascii="Georgia" w:hAnsi="Georgia" w:cs="Georgia" w:eastAsia="Georgia"/>
          <w:sz w:val="22"/>
          <w:szCs w:val="22"/>
          <w:b w:val="0"/>
          <w:bCs w:val="0"/>
          <w:strike w:val="0"/>
          <w:shd w:val="clear" w:fill="BFBFBF"/>
          <w:color w:val="000000"/>
        </w:rPr>
        <w:t>In contrast, the data showed that lung and chick samples exhibited marked resistance.</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w:t>
      </w:r>
      <w:r>
        <w:rPr>
          <w:rFonts w:ascii="Georgia" w:hAnsi="Georgia" w:cs="Georgia" w:eastAsia="Georgia"/>
          <w:sz w:val="22"/>
          <w:szCs w:val="22"/>
          <w:b w:val="0"/>
          <w:bCs w:val="0"/>
          <w:strike w:val="0"/>
          <w:shd w:val="clear" w:fill="BFBFBF"/>
          <w:color w:val="000000"/>
        </w:rPr>
        <w:t>One way ANOVA was used and the differences between the groups were statistically significant.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cs="Georgia" w:eastAsia="Georgia"/>
          <w:sz w:val="22"/>
          <w:szCs w:val="22"/>
          <w:b w:val="0"/>
          <w:bCs w:val="0"/>
          <w:strike w:val="0"/>
          <w:shd w:val="clear" w:fill="BFBFBF"/>
          <w:color w:val="000000"/>
        </w:rPr>
        <w:t>Results revealed that Treatment 3, with 40% concentration of Noni had the highest zone of inhibition in vitro with comparable antibacterial activity as the positive control against S. aureus.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t>
      </w:r>
      <w:r>
        <w:rPr>
          <w:rFonts w:ascii="Georgia" w:hAnsi="Georgia" w:cs="Georgia" w:eastAsia="Georgia"/>
          <w:sz w:val="22"/>
          <w:szCs w:val="22"/>
          <w:b w:val="0"/>
          <w:bCs w:val="0"/>
          <w:strike w:val="0"/>
          <w:shd w:val="clear" w:fill="BFBFBF"/>
          <w:color w:val="000000"/>
        </w:rPr>
        <w:t>With the in vitro and in vivo results, Noni fruit ethanolic extract with 40% concentration has antibacterial property.</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cs="Georgia" w:eastAsia="Georgia"/>
          <w:sz w:val="22"/>
          <w:szCs w:val="22"/>
          <w:b w:val="0"/>
          <w:bCs w:val="0"/>
          <w:strike w:val="0"/>
          <w:shd w:val="clear" w:fill="BFBFBF"/>
          <w:color w:val="000000"/>
        </w:rPr>
        <w:t>Participants exhibited an overall moderate level of awareness (mean=3.30) on canine zoonotic diseases.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w:t>
      </w:r>
      <w:r>
        <w:rPr>
          <w:rFonts w:ascii="Georgia" w:hAnsi="Georgia" w:cs="Georgia" w:eastAsia="Georgia"/>
          <w:sz w:val="22"/>
          <w:szCs w:val="22"/>
          <w:b w:val="0"/>
          <w:bCs w:val="0"/>
          <w:strike w:val="0"/>
          <w:shd w:val="clear" w:fill="BFBFBF"/>
          <w:color w:val="000000"/>
        </w:rPr>
        <w:t>Using Pearson’s correlation, significant associations (p&lt;0.05) were found between awareness on zoonotic diseases and sociodemographic factors, such as educational attainment (p-value=0.000), monthly income (p-value=0.007), and years of dog ownership (p-value=0.001).</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cs="Georgia" w:eastAsia="Georgia"/>
          <w:sz w:val="22"/>
          <w:szCs w:val="22"/>
          <w:b w:val="0"/>
          <w:bCs w:val="0"/>
          <w:strike w:val="0"/>
          <w:shd w:val="clear" w:fill="BFBFBF"/>
          <w:color w:val="000000"/>
        </w:rPr>
        <w:t>The results indicated that most respondents demonstrated high knowledge about rabies (69.3%), particularly regarding transmission and prevention, However, misconceptions persisted, notably about rabies’ incurability (39.8%) and the role of neutering in disease control (50.3%).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cs="Georgia" w:eastAsia="Georgia"/>
          <w:sz w:val="22"/>
          <w:szCs w:val="22"/>
          <w:b w:val="0"/>
          <w:bCs w:val="0"/>
          <w:strike w:val="0"/>
          <w:shd w:val="clear" w:fill="BFBFBF"/>
          <w:color w:val="000000"/>
        </w:rPr>
        <w:t>Multiple linear regression analysis confirmed interrelationships among KAP dimensions, revealing that higher knowledge scores significantly predicted better preventive behaviors (p &lt; 0.001).</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w:t>
      </w:r>
      <w:r>
        <w:rPr>
          <w:rFonts w:ascii="Georgia" w:hAnsi="Georgia" w:cs="Georgia" w:eastAsia="Georgia"/>
          <w:sz w:val="22"/>
          <w:szCs w:val="22"/>
          <w:b w:val="0"/>
          <w:bCs w:val="0"/>
          <w:strike w:val="0"/>
          <w:shd w:val="clear" w:fill="BFBFBF"/>
          <w:color w:val="000000"/>
        </w:rPr>
        <w:t>Based on the results, there was no significant difference among the different methods of kuhol amino acid app in terms of plant height, weight of marketable and weight of non-marketable fruit, number of marketable and non-marketable fruits, and computed yield.</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Different methods of kuhol amino acid application influenced the plant height, weight of fruits, number of marketable and non-marketable fruits, and computed yield.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researcher </w:t>
      </w:r>
      <w:r>
        <w:rPr>
          <w:rFonts w:ascii="Georgia" w:hAnsi="Georgia" w:cs="Georgia" w:eastAsia="Georgia"/>
          <w:sz w:val="22"/>
          <w:szCs w:val="22"/>
          <w:b w:val="0"/>
          <w:bCs w:val="0"/>
          <w:color w:val="000000"/>
          <w:strike w:val="1"/>
        </w:rPr>
        <w:t>recommends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w:t>
      </w:r>
      <w:r>
        <w:rPr>
          <w:rFonts w:ascii="Georgia" w:hAnsi="Georgia" w:cs="Georgia" w:eastAsia="Georgia"/>
          <w:sz w:val="22"/>
          <w:szCs w:val="22"/>
          <w:b w:val="0"/>
          <w:bCs w:val="0"/>
          <w:strike w:val="0"/>
          <w:shd w:val="clear" w:fill="BFBFBF"/>
          <w:color w:val="000000"/>
        </w:rPr>
        <w:t>The results of the study revealed the following: a significant difference was observed in the number of productive tillers, actual yield per sample area, and computed yield per ton/ha.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No significant differences were observed in terms of the number of days from transplanting to flowering, plant height, number of unproductive tillers, length of panicle, number of filled grains, number of unfilled grains, and weight of 1,000 seeds. </w:t>
      </w:r>
      <w:r>
        <w:rPr>
          <w:rFonts w:ascii="Georgia" w:hAnsi="Georgia" w:cs="Georgia" w:eastAsia="Georgia"/>
          <w:sz w:val="22"/>
          <w:szCs w:val="22"/>
          <w:b w:val="0"/>
          <w:bCs w:val="0"/>
          <w:strike w:val="0"/>
          <w:shd w:val="clear" w:fill="BFBFBF"/>
          <w:color w:val="000000"/>
        </w:rPr>
        <w:t>In conclusion, T3: NPK+14-14-14 was the most compelling treatment among all treatments in terms of producing the highest number of productive tillers and obtaining the heaviest yield per ton/ha.</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w:t>
      </w:r>
      <w:r>
        <w:rPr>
          <w:rFonts w:ascii="Georgia" w:hAnsi="Georgia" w:cs="Georgia" w:eastAsia="Georgia"/>
          <w:sz w:val="22"/>
          <w:szCs w:val="22"/>
          <w:b w:val="0"/>
          <w:bCs w:val="0"/>
          <w:strike w:val="0"/>
          <w:shd w:val="clear" w:fill="BFBFBF"/>
          <w:color w:val="000000"/>
        </w:rPr>
        <w:t>The results of the study revealed the following: No significant differences were observed in terms of mean initial weight (kg), mean final weight (kg), mean gain in weight (kg), mean DM intake (kg), or feed conversion ratio.</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 student researcher concluded that T2 (20% GA Leaves + 40% Paragrass + 40% Concentrate Feeds) was the most compelling treatment among all treatments for the rabbits in terms of outperforming the data numerically.</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w:t>
      </w:r>
      <w:r>
        <w:rPr>
          <w:rFonts w:ascii="Georgia" w:hAnsi="Georgia" w:cs="Georgia" w:eastAsia="Georgia"/>
          <w:sz w:val="22"/>
          <w:szCs w:val="22"/>
          <w:b w:val="0"/>
          <w:bCs w:val="0"/>
          <w:strike w:val="0"/>
          <w:shd w:val="clear" w:fill="BFBFBF"/>
          <w:color w:val="000000"/>
        </w:rPr>
        <w:t>But when it came to mean ultimate weight in the treated birds, the fermented okara extract had the biggest impact, resulting in the heaviest weight.</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Additionally, the total return result showed a promising future for fermented okara extract at a level of 60 ml (166.00 PHP).</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cs="Georgia" w:eastAsia="Georgia"/>
          <w:sz w:val="22"/>
          <w:szCs w:val="22"/>
          <w:b w:val="0"/>
          <w:bCs w:val="0"/>
          <w:strike w:val="0"/>
          <w:shd w:val="clear" w:fill="BFBFBF"/>
          <w:color w:val="000000"/>
        </w:rPr>
        <w:t>It was found to have a significant effect on the growth and germination rate of pigeon pea in terms of days to germinate, plant height, a number of leaves, and length of leaves.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cs="Georgia" w:eastAsia="Georgia"/>
          <w:sz w:val="22"/>
          <w:szCs w:val="22"/>
          <w:b w:val="0"/>
          <w:bCs w:val="0"/>
          <w:strike w:val="0"/>
          <w:shd w:val="clear" w:fill="BFBFBF"/>
          <w:color w:val="000000"/>
        </w:rPr>
        <w:t>The results disclosed that the percentage of mortality and moisture content were statistically significant at 1% (P&lt;0.01) and (P&lt;0.05) level with 48 hours after the post-treatment.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mortality rate and moisture content were not significant after 6 hours and 24 hours.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Therefore,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