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eastAsia="Georgia"/>
          <w:sz w:val="22"/>
        </w:rPr>
        <w:t>English is the medium of academic writing at PSAU, but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had greater difficulty conveying a precise degree of certainty than their L1 peers. That pattern set the baseline still cited across EFL research: L2 academic writers often under-qualify claims or overuse a small set of strong forms.</w:t>
      </w:r>
    </w:p>
    <w:p>
      <w:pPr>
        <w:spacing w:line="480" w:lineRule="auto" w:before="0" w:after="0"/>
        <w:ind w:firstLine="720"/>
        <w:jc w:val="both"/>
      </w:pPr>
      <w:r>
        <w:rPr>
          <w:rFonts w:ascii="Georgia" w:hAnsi="Georgia" w:eastAsia="Georgia"/>
          <w:sz w:val="22"/>
        </w:rPr>
        <w:t>Hinkel (2005) sharpens the formal picture with a large student-essay corpus (745 essays,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eastAsia="Georgia"/>
          <w:sz w:val="22"/>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reaches a similar aggregate conclusion in a systematic review of undergraduate English language learners’ hedging: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eastAsia="Georgia"/>
          <w:sz w:val="22"/>
        </w:rPr>
        <w:t>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already noted for thesis abstracts, attributed native–non-native differences in applied-linguistics master’s abstracts to rhetorical sensitivity and cultural background as well as to form. Ghia et al. (2022) showed that advanced Italian EFL undergraduates writing English thesis abstracts still used fewer hedges and more boosters and certainty modals than L1 student writing in MICUSP, even while displaying partial awareness of academic caution.</w:t>
      </w:r>
    </w:p>
    <w:p>
      <w:pPr>
        <w:spacing w:line="480" w:lineRule="auto" w:before="0" w:after="0"/>
        <w:ind w:firstLine="720"/>
        <w:jc w:val="both"/>
      </w:pPr>
      <w:r>
        <w:rPr>
          <w:rFonts w:ascii="Georgia" w:hAnsi="Georgia" w:eastAsia="Georgia"/>
          <w:sz w:val="22"/>
        </w:rPr>
        <w:t>Instruction and regional student populations push the same themes into classroom-facing research. Petchkij (2019) argues that explicit teaching of hedges can raise their use in Thai EFL contexts, though modal forms often remain dominant. Ningrum et al. (2024) examine hedges and boosters in the academic writing of ASEAN EFL learners and document limited inventories under regional L2 conditions. Lopez et al. (2025) and Escalona (2025) extend the Philippine and college-essay evidence on caution, certainty, and proficiency-related patterns in student writing. Bayraktar-Çepni and Kulaksız (2022) compare hedging in discussion sections of ELT MA and PhD theses and find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eastAsia="Georgia"/>
          <w:sz w:val="22"/>
        </w:rPr>
        <w:t>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