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used for classification after a token is retained. They are not treated as mutually exclusive categories in the wider literature. Interpersonal or deferential wording can overlap with epistemic stance in context. Retention depends on the Working Test: the item must change the epistemic weight of the claim. Interpersonal coloring alone is not enough. Discourse-organizing expressions are not ruled out in advance, but they are retained only when their use in context changes commitment to the proposition. Expressions that only sequence, label, or direct attention are not classified as hedges. This inclusion rule is consistent with Crompton (1997), who defines a hedge as language that explicitly qualifies the writer's lack of commitment to the truth of a proposition, and who tests for hedging by asking whether the proposition can be restated with greater author commitment without changing its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only to support an epistemically focused identification screen.</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also code mitigation more broadly, without the epistemic-only filter used here.</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the Working Test treats a change in epistemic weight as the criterion for coding a hedge.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softening may be epistemic, interpersonal, or discourse-managing; only epistemic softening that changes epistemic weight counts as a hedge under this study’s Working Test.</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ageBreakBefore/>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under the Working Test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The absence of Politeness and Discourse Organization assignments among the 65 retained hedges should not be read as evidence that those functions are absent from PSAU student writing overall. The Working Test retains items that change epistemic weight, so the identification procedure is epistemically focused. Tokens that soften a claim without altering epistemic commitment may be excluded before functional classification. The compressed abstract genre may also limit rhetorical space for interactional or discourse-organizational mitigation. The present data cannot separate a coding effect from a genre effect. Both remain plausible accounts of the observed uniformity. That limitation is noted in Scope. The narrow functional range among retained hedges is consistent with restricted epistemic repertoires reported for developing L2 writers (Hyland &amp; Milton, 1997), though genre compression and supervisory practice remain proximate accounts in this corpus.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screen itself selects for tokens that change epistemic weight, so a single function label is partly built into the method.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Future research could adopt a broader mitigation coding scheme to study interpersonal and discourse-organizing functions alongside epistemic ones. This study defined hedging as epistemic stance management, drawing mainly on Hyland (1998) and Salager-Meyer (1994), and applied the Working Test so that retained hedges are those that change the epistemic weight of a claim. That focus aligns with Crompton (1997) in reserving hedge for explicit qualification of commitment to a proposition. All retained hedges were coded Epistemic Caution under that screen. The uniform function label is therefore partly a result of how hedges were identified, not a claim that Politeness or Discourse Organization never appear in developing-researcher writing. A future study could code mitigation more broadly, including devices that soften or qualify claims even when they do not pass a strict epistemic filter, and then classify epistemic, politeness, and discourse-organizing uses under that wider net. Such work would test whether interactional and textual mitigation appear in the abstract genre when the coding scheme is designed to capture them.</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becomes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becomes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becomes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becomes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 Worked examples for EC, P, and DO (pass and fail) appear under Working Examples in the full codebook below.</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Softening is broader than epistemic qualification. A device may soften presentation interpersonally or guide the reader without changing how certain the claim is. The Working Test counts only expressions that change epistemic weight (commitment to the proposition). P-only or DO-only softening that leaves certainty unchanged is not coded as a hedge.</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1"/>
          <w:bCs w:val="0"/>
          <w:i w:val="0"/>
          <w:iCs w:val="0"/>
          <w:sz w:val="22"/>
          <w:szCs w:val="22"/>
          <w:rtl w:val="0"/>
        </w:rPr>
        <w:t xml:space="preserve">WORKING EXAMPLES: EC, P, AND DO UNDER THE WORKING TEST</w:t>
      </w:r>
      <w:r>
        <w:rPr>
          <w:rtl w:val="0"/>
          <w:b w:val="1"/>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Function labels (EC, P, DO) are applied only after a token passes the hedge screen. P or DO alone does not make an expression a hedge. The Working Test asks whether removing the expression changes the epistemic weight of the proposition. The examples below separate interpersonal or discourse function from hedge status.</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Politeness / Deference (P) without epistemic change. “As suggested by previous researchers, the treatment is effective.” Removing As suggested by previous researchers changes interpersonal positioning, not the certainty of the treatment is effective. Working Test: fail. May be noted as P in a scan log; not counted as a hedge.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Politeness-related form that passes as hedge. “The results may be beneficial, although this reading differs from earlier studies.” Removing may changes certainty about beneficial. Working Test: pass. Code as hedge; function is primarily EC (interpersonal softening may co-occur).</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Discourse Organization (DO) without epistemic change. “It should be noted that the treatment increased plant height.” Removing It should be noted that directs attention only; the finding remains equally certain. Working Test: fail. Tag DO in the scan log if useful; not counted as a hedge. The same applies to Thus, Therefore, Hence, and In conclusion when they only sequence moves.</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Summary rule. P-only or DO-only expressions that do not change propositional certainty are not hedges under this codebook. Expressions that change certainty are retained as hedges and then labeled EC, P, or DO by dominant function. In this corpus, every retained token was labeled EC.</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