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the coding retained 65 hedge tokens, or about 1.08 hedges per abstract. That rate is lower than the 2.04 hedges per abstract Hu and Cao (2011) reported for English-medium applied-linguistics journal abstracts, though the fields and the writers are not the same. The comparison is useful only as a rough external benchmark: it situates this undergraduate life-science sample as leaner in hedge use than that published linguistics baseline,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Lexical hedges account for most of the inventory (42 of 65 tokens). Modal verbs follow with 20 tokens. Adverbial hedges are rare (3 tokens, all potentially, and all in Biology). Clause-level hedges do not appear at all. Within the lexical set, potential is the single most frequent form (19 instances), followed by the suggest family (suggest / suggests / suggesting, 13 instances). Modal use is concentrated in can, could, may, and might, with Agriculture supplying most of the can tokens.</w:t>
      </w:r>
    </w:p>
    <w:p>
      <w:pPr>
        <w:spacing w:line="480" w:lineRule="auto" w:before="0" w:after="0"/>
        <w:ind w:firstLine="720"/>
        <w:jc w:val="both"/>
      </w:pPr>
      <w:r>
        <w:rPr>
          <w:rFonts w:ascii="Georgia" w:hAnsi="Georgia" w:eastAsia="Georgia"/>
          <w:sz w:val="22"/>
        </w:rPr>
        <w:t>The three programs do not share the same type mix. Agriculture is nearly balanced between modal verbs (13) and lexical hedges (14). Biology is strongly lexical (20 of 28 tokens), with only five modal verbs. Veterinary Medicine’s total is small (10 tokens) and also mainly lexical (8), with only two modal verbs. In short, the formal repertoire is narrow corpus-wide, and the main cross-program difference at this level is how much of that small repertoire is modal rather than lexical, not whether writers draw on a wide set of hedge types.</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The question is comparative: how dense are retained hedges across Agriculture, Veterinary Medicine, and Biology, and what else sits beside those counts on the same ledger. Table 4 reports, for each discipline, abstract and word totals, retained hedges, hedges per 100 words, zero-hedge abstracts, false positives, and unhedged claims.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On density, Biology and Agriculture sit close together. Biology shows 0.62 hedges per 100 words (28 hedges across 4,509 words). Agriculture shows 0.63 (27 hedges across 4,300 words). Veterinary Medicine sits well below both, at 0.20 (10 hedges across 5,060 words). The corpus as a whole averages 0.47 hedges per 100 words. For practical reading of the table, the Agriculture–Biology gap is negligible. Veterinary Medicine is the low-density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Zero-hedge abstracts make that contrast sharper. Of the 60 abstracts, 25 contain no retained hedge token. Veterinary Medicine accounts for 12 of those 25 (12 of 20 VM abstracts). Agriculture accounts for 8 (8 of 20), and Biology for 5 (5 of 20). The overrepresentation of Veterinary Medicine in the zero-hedge set is the main structural reason its density stays low: more than half of the VM abstracts contribute nothing to the hedge count, while Biology and Agriculture more often contribute at least one token.</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5 illustrates the two subtypes with excerpts from the coded corpus.</w:t>
      </w:r>
    </w:p>
    <w:p>
      <w:pPr>
        <w:spacing w:line="480" w:lineRule="auto"/>
        <w:ind w:firstLine="0"/>
        <w:jc w:val="center"/>
      </w:pPr>
      <w:r>
        <w:rPr>
          <w:b/>
          <w:sz w:val="22"/>
        </w:rPr>
        <w:t>Table 5</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A limited count of assertive reporting forms in the 25 zero-hedge abstracts found recurring items such as showed, revealed, observed, and highest (79 tokens in total, about 3.2 per abstract). These are reporting verbs and a superlative, not a closed booster checklist. The same count was not run on the 35 abstracts that contain at least one hedge, so the figure describes the zero-hedge subset only. It shows how those abstracts often report findings in direct, unqualified wording. It does not support a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Per-abstract counts are skewed, especially in Agriculture. Agriculture averages 1.35 hedges per abstract (median 1, range 0–8). Biology averages 1.40 (median 1, range 0–5). Veterinary Medicine averages 0.50 (median 0, range 0–3). Agriculture’s high standard deviation (1.87) is driven largely by Acs2, which alone carries 8 hedges. When Acs2 is set aside as a sensitivity check, Agriculture’s density falls to 0.46 hedges per 100 words and no longer sits above Biology. Any simple ranking that places Agriculture above Biology on density is therefore partly an Acs2 effect.</w:t>
      </w:r>
    </w:p>
    <w:p>
      <w:pPr>
        <w:spacing w:line="480" w:lineRule="auto" w:before="0" w:after="0"/>
        <w:ind w:firstLine="720"/>
        <w:jc w:val="both"/>
      </w:pPr>
      <w:r>
        <w:rPr>
          <w:rFonts w:ascii="Georgia" w:hAnsi="Georgia" w:eastAsia="Georgia"/>
          <w:sz w:val="22"/>
        </w:rPr>
        <w:t>Two further cautions apply to reading the discipline means. Abstracts within a program may share advisers, so the observations are not fully independent, and within-discipline spread remains larger than the gaps between means. Removing all 19 instances of potential leaves 46 hedges in the corpus, and Veterinary Medicine’s share of zero-hedge abstracts rises further. Low hedge density is widely reported in undergraduate and L2 academic writing (Hyland &amp; Milton, 1997; Qiu et al., 2024). In this PSAU sample the sharpest descriptive contrast is between Biology and Veterinary Medicine. It is a local pattern in ratified English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frequency pattern only partly matches prior cross-disciplinary work. Afshar et al. (2014) found agriculture using the fewest hedges among expert research articles. Here Agriculture is level with Biology in the full sample and ranks first only because of Acs2. Without that abstract it falls below Biology, which sits closer to Afshar et al.’s direction. Expert research articles and undergraduate abstracts are different genres, so the comparison stays loose. What the present table can support is a local ranking under one institutional coding scheme, not a general claim about agricultural writing worldwide.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low density needs a careful reading. Many VM abstracts in this corpus report clinical findings from animal studies, including drug-efficacy trials, disease detection, and hematological profiling. Binary or presence-style results are common in that set, but they do not fully explain the gap: Biology abstracts with binary results still show more epistemic softening than VM abstracts with a similar results style. The low rate is better treated as a VM pattern in this institutional corpus. It is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discipline, and the direction is not the same as for retained hedges. Biology produced 34 false positives, compared with 17 in Agriculture and 14 in Veterinary Medicine. The Biology excess is tied in part to more instances of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is both relatively dense in retained hedges and rich in rejected lookalikes, while Veterinary Medicine is low on both retained hedges and false positives.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6 reports the Step 2 outcomes for the candidate pool. Of the retained hedges, all 65 were coded as epistemic caution. Politeness/deference is null (0). False positives totaled 65. Those 65 failed the claim condition or both removal checks. The functional profile of this corpus is therefore uniform on the retained side: when a token counts as a hedge,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6</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val="1"/>
          <w:tblHeader w:val="0"/>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val="1"/>
          <w:tblHeader w:val="0"/>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val="1"/>
          <w:tblHeader w:val="0"/>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val="1"/>
          <w:tblHeader w:val="0"/>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No retained hedge was independently labeled politeness/deference. Under the Step 2 rule, only tokens attached to claims that pass the claim condition and at least one removal check enter the retained set. Recommendations and other non-claims are logged as false positives and never reach a politeness/deference label under this scheme. Fifteen recommendation-framed tokens sit in that false-positive pool. A wider definition of interpersonal softening could treat some of them differently. The zero count here is the outcome of the epistemic definition adopted for this study, not a claim that abstracts never soften directives in any linguistic sense. An all–epistemic-caution profile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Forms such as potential and the suggest family typically qualify applications or interpretations. Results sentences in the same abstracts more often use factive reporting verbs without qualification. Table 7 shows how the same surface forms are kept or rejected once the claim condition and removal checks are applied. Table 8 then samples retained hedges across the three programs.</w:t>
      </w:r>
    </w:p>
    <w:p w:rsidR="00000000" w:rsidDel="00000000" w:rsidP="00000000" w:rsidRDefault="00000000" w:rsidRPr="00000000" w14:paraId="00000176">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pPr>
        <w:spacing w:line="480" w:lineRule="auto"/>
        <w:ind w:firstLine="0"/>
        <w:jc w:val="center"/>
      </w:pPr>
      <w:r>
        <w:rPr>
          <w:i/>
          <w:sz w:val="22"/>
        </w:rPr>
        <w:t>Illustrative Retained Hedges by Program</w:t>
      </w:r>
    </w:p>
    <w:p>
      <w:pPr>
        <w:spacing w:line="480" w:lineRule="auto"/>
        <w:ind w:firstLine="0"/>
        <w:jc w:val="center"/>
      </w:pPr>
      <w:r>
        <w:rPr>
          <w:b/>
          <w:sz w:val="22"/>
        </w:rPr>
        <w:t>Table 8</w:t>
      </w:r>
    </w:p>
    <w:p>
      <w:pPr>
        <w:spacing w:line="480" w:lineRule="auto" w:before="0" w:after="0"/>
        <w:ind w:firstLine="720"/>
        <w:jc w:val="both"/>
      </w:pPr>
      <w:r>
        <w:rPr>
          <w:rFonts w:ascii="Georgia" w:hAnsi="Georgia" w:eastAsia="Georgia"/>
          <w:sz w:val="22"/>
        </w:rPr>
        <w:t>The pairs in Table 7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ind w:firstLine="0"/>
        <w:jc w:val="center"/>
      </w:pPr>
      <w:r>
        <w:rPr>
          <w:i/>
          <w:sz w:val="22"/>
        </w:rPr>
        <w:t>Retained Hedge versus False Positive: Coding Contrasts</w:t>
      </w:r>
    </w:p>
    <w:p>
      <w:pPr>
        <w:spacing w:line="480" w:lineRule="auto"/>
        <w:ind w:firstLine="0"/>
        <w:jc w:val="center"/>
      </w:pPr>
      <w:r>
        <w:rPr>
          <w:b/>
          <w:sz w:val="22"/>
        </w:rPr>
        <w:t>Table 7</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reads the density and function findings against outcome type and program contrast. The discussion draws on Salager-Meyer’s (1994) claim-responsibility framework and Hyland’s (2005) stance model. Table 9 classifies how each abstract reports its main results. Table 10 samples how the programs word caution in concrete excerpts.</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9</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val="1"/>
          <w:tblHeader w:val="0"/>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covers presence/absence or clear yes/no outcomes. Continuous covers graded quantities. Mixed combines both. Null/NS marks non-significant or null findings. Other covers residual formats. Table 9 shows that outcome mix alone does not line up neatly with the density ranking: Veterinary Medicine is not simply a binary-only set, and Biology is not simply continuous-only.</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An informal reading of the tokens still suggests that hedges cluster in implication and conclusion sentences more than in direct results reporting. That pattern is strongest in Agriculture and weakest in Veterinary Medicine. A formal move analysis would be needed to quantify it. Under Salager-Meyer’s (1994) account, writers who hedge implications take partial distance from conclusions that go beyond the measured finding. Veterinary Medicine’s lower density is readable as thinner explicit softening where abstracts turn from results to implications. Unhedged claims were 6 in Agriculture, 4 in Biology, and 4 in Veterinary Medicine (Table 4), so the VM subset does not show more overclaiming on that inventory. Hyland’s (2005) stance model fits the density reading: fewer hedges mean less explicit softening of authorial commitment in the ratified text.</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Outcome type does not remove the Biology–Veterinary Medicine gap. When results are reported as presence/absence findings, VM abstracts still use fewer epistemic softeners than Biology abstracts of the same broad outcome class. That is consistent with programs managing claim responsibility differently, not with a rule that binary evidence needs no hedge. Acs2 illustrates the opposite pole inside Agriculture: after non-significance, residual benefits are still hedged, which redistributes responsibility for a softened positive reading. Table 10 places concrete excerpts beside one another so the contrast is visible in the wording, not only in the counts.</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Among these three programs, the descriptive density contrast that stands out is Biology versus Veterinary Medicine. What differs is how these ratified abstracts use English to mark caution around findings and implications: more sustained epistemic softening in the Biology subset, thinner softening in the Veterinary Medicine subset, under overlapping outcome styles.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to hedge. A move-structured count of the VM subset would test that. Second, advisers may filter interpersonal softening out of final abstracts, which would help explain the all–epistemic-caution profile.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pPr>
        <w:spacing w:line="480" w:lineRule="auto"/>
        <w:ind w:firstLine="0"/>
        <w:jc w:val="center"/>
      </w:pPr>
      <w:r>
        <w:rPr>
          <w:i/>
          <w:sz w:val="22"/>
        </w:rPr>
        <w:t>Program Contrast: Sample Excerpts</w:t>
      </w:r>
    </w:p>
    <w:p>
      <w:pPr>
        <w:spacing w:line="480" w:lineRule="auto"/>
        <w:ind w:firstLine="0"/>
        <w:jc w:val="center"/>
      </w:pPr>
      <w:r>
        <w:rPr>
          <w:b/>
          <w:sz w:val="22"/>
        </w:rPr>
        <w:t>Table 10</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