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dapat,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Times New Roman" w:hAnsi="Times New Roman"/>
          <w:sz w:val="24"/>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4"/>
          <w:szCs w:val="24"/>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cs="Georgia" w:eastAsia="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szCs w:val="22"/>
          <w:b/>
          <w:bCs/>
        </w:rPr>
        <w:t xml:space="preserve">Kruskal-Wallis Test, </w:t>
      </w:r>
      <w:r>
        <w:rPr>
          <w:rFonts w:ascii="Georgia" w:hAnsi="Georgia" w:cs="Georgia" w:eastAsia="Georgia"/>
          <w:sz w:val="22"/>
          <w:szCs w:val="22"/>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pPr>
        <w:spacing w:before="0" w:after="0" w:line="480" w:lineRule="auto"/>
        <w:ind w:firstLine="720"/>
        <w:jc w:val="both"/>
        <w:rPr/>
      </w:pPr>
      <w:r>
        <w:rPr>
          <w:rFonts w:ascii="Georgia" w:hAnsi="Georgia" w:cs="Georgia" w:eastAsia="Georgia"/>
          <w:i w:val="0"/>
          <w:iCs w:val="0"/>
          <w:sz w:val="22"/>
          <w:szCs w:val="22"/>
          <w:rtl w:val="0"/>
          <w:b/>
          <w:bCs/>
        </w:rPr>
        <w:t xml:space="preserve">Operational Restatement (Threshold Restatement), </w:t>
      </w:r>
      <w:r>
        <w:rPr>
          <w:rFonts w:ascii="Georgia" w:hAnsi="Georgia" w:cs="Georgia" w:eastAsia="Georgia"/>
          <w:i w:val="0"/>
          <w:iCs w:val="0"/>
          <w:sz w:val="22"/>
          <w:szCs w:val="22"/>
          <w:rtl w:val="0"/>
          <w:b w:val="0"/>
          <w:bCs w:val="0"/>
        </w:rPr>
        <w:t xml:space="preserve">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szCs w:val="22"/>
          <w:b/>
          <w:bCs/>
        </w:rPr>
        <w:t xml:space="preserve">e. Data Analysis. </w:t>
      </w:r>
      <w:r>
        <w:rPr>
          <w:rFonts w:ascii="Georgia" w:hAnsi="Georgia" w:cs="Georgia" w:eastAsia="Georgia"/>
          <w:sz w:val="22"/>
          <w:szCs w:val="22"/>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keepNext w:val="1"/>
      </w:pPr>
      <w:r>
        <w:rPr>
          <w:rFonts w:ascii="Georgia" w:hAnsi="Georgia" w:cs="Georgia" w:eastAsia="Georgia"/>
          <w:sz w:val="22"/>
          <w:szCs w:val="22"/>
          <w:b/>
          <w:bCs/>
        </w:rPr>
        <w:t xml:space="preserve">Inclusion Criteria. </w:t>
      </w:r>
      <w:r>
        <w:rPr>
          <w:rFonts w:ascii="Georgia" w:hAnsi="Georgia" w:cs="Georgia" w:eastAsia="Georgia"/>
          <w:sz w:val="22"/>
          <w:szCs w:val="22"/>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szCs w:val="22"/>
          <w:b/>
          <w:bCs/>
        </w:rPr>
        <w:t xml:space="preserve">Exclusion Criteria. </w:t>
      </w:r>
      <w:r>
        <w:rPr>
          <w:rFonts w:ascii="Georgia" w:hAnsi="Georgia" w:cs="Georgia" w:eastAsia="Georgia"/>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szCs w:val="22"/>
          <w:b/>
          <w:bCs/>
        </w:rPr>
        <w:t xml:space="preserve">Ethical Considerations. </w:t>
      </w:r>
      <w:r>
        <w:rPr>
          <w:rFonts w:ascii="Georgia" w:hAnsi="Georgia" w:cs="Georgia" w:eastAsia="Georgia"/>
          <w:sz w:val="22"/>
          <w:szCs w:val="22"/>
        </w:rPr>
        <w:t xml:space="preserve">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4"/>
          <w:szCs w:val="24"/>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Layer 3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subset—not as proof of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cs="Georgia" w:eastAsia="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hAnsi="Georgia" w:cs="Georgia" w:eastAsia="Georgia"/>
          <w:b w:val="0"/>
          <w:bCs w:val="0"/>
          <w:i w:val="0"/>
          <w:iCs w:val="0"/>
          <w:sz w:val="22"/>
          <w:szCs w:val="22"/>
          <w:rtl w:val="0"/>
        </w:rPr>
        <w:t>The coding methodology developed in this study, including the codebook’s decision rules and the unhedged assertion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Times New Roman" w:hAnsi="Times New Roman" w:eastAsia="Times New Roman"/>
          <w:i w:val="0"/>
          <w:sz w:val="24"/>
        </w:rPr>
        <w:t xml:space="preserve">Afshar, H. S., Moradi, M., &amp; Hamzavi, R. (2014). Frequency and type of hedging devices used in the research articles of humanities, basic sciences and agriculture. </w:t>
      </w:r>
      <w:r>
        <w:rPr>
          <w:rFonts w:ascii="Times New Roman" w:hAnsi="Times New Roman" w:eastAsia="Times New Roman"/>
          <w:i/>
          <w:sz w:val="24"/>
        </w:rPr>
        <w:t>Procedia – Social and Behavioral Sciences, 136</w:t>
      </w:r>
      <w:r>
        <w:rPr>
          <w:rFonts w:ascii="Times New Roman" w:hAnsi="Times New Roman" w:eastAsia="Times New Roman"/>
          <w:i w:val="0"/>
          <w:sz w:val="24"/>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Times New Roman" w:hAnsi="Times New Roman" w:eastAsia="Times New Roman"/>
          <w:i w:val="0"/>
          <w:sz w:val="24"/>
        </w:rPr>
        <w:t xml:space="preserve">Biber, D., Conrad, S., &amp; Reppen, R. (1998). </w:t>
      </w:r>
      <w:r>
        <w:rPr>
          <w:rFonts w:ascii="Times New Roman" w:hAnsi="Times New Roman" w:eastAsia="Times New Roman"/>
          <w:i/>
          <w:sz w:val="24"/>
        </w:rPr>
        <w:t>Corpus linguistics: Investigating language structure and use</w:t>
      </w:r>
      <w:r>
        <w:rPr>
          <w:rFonts w:ascii="Times New Roman" w:hAnsi="Times New Roman" w:eastAsia="Times New Roman"/>
          <w:i w:val="0"/>
          <w:sz w:val="24"/>
        </w:rPr>
        <w:t>. Cambridge University Press.</w:t>
      </w:r>
    </w:p>
    <w:p>
      <w:pPr>
        <w:spacing w:before="0" w:after="0" w:line="480" w:lineRule="auto"/>
        <w:ind w:left="720" w:hanging="720"/>
        <w:jc w:val="left"/>
        <w:rPr/>
      </w:pPr>
      <w:r>
        <w:rPr>
          <w:rFonts w:ascii="Times New Roman" w:hAnsi="Times New Roman" w:eastAsia="Times New Roman"/>
          <w:i w:val="0"/>
          <w:sz w:val="24"/>
        </w:rPr>
        <w:t xml:space="preserve">Crompton, P. (1997). Hedging in academic writing: Some theoretical problems. </w:t>
      </w:r>
      <w:r>
        <w:rPr>
          <w:rFonts w:ascii="Times New Roman" w:hAnsi="Times New Roman" w:eastAsia="Times New Roman"/>
          <w:i/>
          <w:sz w:val="24"/>
        </w:rPr>
        <w:t>English for Specific Purposes, 16</w:t>
      </w:r>
      <w:r>
        <w:rPr>
          <w:rFonts w:ascii="Times New Roman" w:hAnsi="Times New Roman" w:eastAsia="Times New Roman"/>
          <w:i w:val="0"/>
          <w:sz w:val="24"/>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Times New Roman" w:hAnsi="Times New Roman" w:eastAsia="Times New Roman"/>
          <w:i w:val="0"/>
          <w:sz w:val="24"/>
        </w:rPr>
        <w:t xml:space="preserve">Demir, C. (2018). Hedging and academic writing: An analysis of lexical hedges. </w:t>
      </w:r>
      <w:r>
        <w:rPr>
          <w:rFonts w:ascii="Times New Roman" w:hAnsi="Times New Roman" w:eastAsia="Times New Roman"/>
          <w:i/>
          <w:sz w:val="24"/>
        </w:rPr>
        <w:t>Journal of Language and Linguistic Studies, 14</w:t>
      </w:r>
      <w:r>
        <w:rPr>
          <w:rFonts w:ascii="Times New Roman" w:hAnsi="Times New Roman" w:eastAsia="Times New Roman"/>
          <w:i w:val="0"/>
          <w:sz w:val="24"/>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Times New Roman" w:hAnsi="Times New Roman" w:eastAsia="Times New Roman"/>
          <w:i w:val="0"/>
          <w:sz w:val="24"/>
        </w:rPr>
        <w:t xml:space="preserve">Escalona, S. L. (2025). Hedges and boosters in college essays: A study of linguistic modulation in student writing. </w:t>
      </w:r>
      <w:r>
        <w:rPr>
          <w:rFonts w:ascii="Times New Roman" w:hAnsi="Times New Roman" w:eastAsia="Times New Roman"/>
          <w:i/>
          <w:sz w:val="24"/>
        </w:rPr>
        <w:t>International Journal of English Literature and Social Sciences, 10</w:t>
      </w:r>
      <w:r>
        <w:rPr>
          <w:rFonts w:ascii="Times New Roman" w:hAnsi="Times New Roman" w:eastAsia="Times New Roman"/>
          <w:i w:val="0"/>
          <w:sz w:val="24"/>
        </w:rPr>
        <w:t>(1), 7–17. https://doi.org/10.22161/ijels.101.2</w:t>
      </w:r>
    </w:p>
    <w:p>
      <w:pPr>
        <w:spacing w:before="0" w:after="0" w:line="480" w:lineRule="auto"/>
        <w:ind w:left="720" w:hanging="720"/>
        <w:jc w:val="left"/>
        <w:rPr/>
      </w:pPr>
      <w:r>
        <w:rPr>
          <w:rFonts w:ascii="Times New Roman" w:hAnsi="Times New Roman" w:eastAsia="Times New Roman"/>
          <w:i w:val="0"/>
          <w:sz w:val="24"/>
        </w:rPr>
        <w:t xml:space="preserve">Ghia, E., Petrocelli, E., &amp; Pizziconi, S. (2022). Data possibly suggest… Hedging in second language writing: A study on advanced Italian EFL learners. </w:t>
      </w:r>
      <w:r>
        <w:rPr>
          <w:rFonts w:ascii="Times New Roman" w:hAnsi="Times New Roman" w:eastAsia="Times New Roman"/>
          <w:i/>
          <w:sz w:val="24"/>
        </w:rPr>
        <w:t>Belgrade English Language and Literature Studies, 14</w:t>
      </w:r>
      <w:r>
        <w:rPr>
          <w:rFonts w:ascii="Times New Roman" w:hAnsi="Times New Roman" w:eastAsia="Times New Roman"/>
          <w:i w:val="0"/>
          <w:sz w:val="24"/>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Times New Roman" w:hAnsi="Times New Roman" w:eastAsia="Times New Roman"/>
          <w:i w:val="0"/>
          <w:sz w:val="24"/>
        </w:rPr>
        <w:t xml:space="preserve">Hamidi, H., Najafi Sarem, S., &amp; Lotfi, A. H. (2025). Exploring hedging devices in scientific research papers: A content analysis study of the Medical Journal of the Islamic Republic of Iran. </w:t>
      </w:r>
      <w:r>
        <w:rPr>
          <w:rFonts w:ascii="Times New Roman" w:hAnsi="Times New Roman" w:eastAsia="Times New Roman"/>
          <w:i/>
          <w:sz w:val="24"/>
        </w:rPr>
        <w:t>Medical Journal of the Islamic Republic of Iran, 39</w:t>
      </w:r>
      <w:r>
        <w:rPr>
          <w:rFonts w:ascii="Times New Roman" w:hAnsi="Times New Roman" w:eastAsia="Times New Roman"/>
          <w:i w:val="0"/>
          <w:sz w:val="24"/>
        </w:rPr>
        <w:t>, Article 125. https://pmc.ncbi.nlm.nih.gov/articles/PMC12584097/</w:t>
      </w:r>
    </w:p>
    <w:p>
      <w:pPr>
        <w:spacing w:before="0" w:after="0" w:line="480" w:lineRule="auto"/>
        <w:ind w:left="720" w:hanging="720"/>
        <w:jc w:val="left"/>
        <w:rPr/>
      </w:pPr>
      <w:r>
        <w:rPr>
          <w:rFonts w:ascii="Times New Roman" w:hAnsi="Times New Roman" w:eastAsia="Times New Roman"/>
          <w:i w:val="0"/>
          <w:sz w:val="24"/>
        </w:rPr>
        <w:t xml:space="preserve">Hu, G., &amp; Cao, F. (2011). Hedging and boosting in abstracts of applied linguistics articles: A comparative study of English- and Chinese-medium journals. </w:t>
      </w:r>
      <w:r>
        <w:rPr>
          <w:rFonts w:ascii="Times New Roman" w:hAnsi="Times New Roman" w:eastAsia="Times New Roman"/>
          <w:i/>
          <w:sz w:val="24"/>
        </w:rPr>
        <w:t>Journal of Pragmatics, 43</w:t>
      </w:r>
      <w:r>
        <w:rPr>
          <w:rFonts w:ascii="Times New Roman" w:hAnsi="Times New Roman" w:eastAsia="Times New Roman"/>
          <w:i w:val="0"/>
          <w:sz w:val="24"/>
        </w:rPr>
        <w:t>(11), 2795–2809. https://doi.org/10.1016/j.pragma.2011.04.007</w:t>
      </w:r>
    </w:p>
    <w:p>
      <w:pPr>
        <w:spacing w:before="0" w:after="0" w:line="480" w:lineRule="auto"/>
        <w:ind w:left="720" w:hanging="720"/>
        <w:jc w:val="left"/>
        <w:rPr/>
      </w:pPr>
      <w:r>
        <w:rPr>
          <w:rFonts w:ascii="Times New Roman" w:hAnsi="Times New Roman" w:eastAsia="Times New Roman"/>
          <w:i w:val="0"/>
          <w:sz w:val="24"/>
        </w:rPr>
        <w:t xml:space="preserve">Hyland, K. (1996). Writing without conviction? Hedging in science research articles. </w:t>
      </w:r>
      <w:r>
        <w:rPr>
          <w:rFonts w:ascii="Times New Roman" w:hAnsi="Times New Roman" w:eastAsia="Times New Roman"/>
          <w:i/>
          <w:sz w:val="24"/>
        </w:rPr>
        <w:t>Applied Linguistics, 17</w:t>
      </w:r>
      <w:r>
        <w:rPr>
          <w:rFonts w:ascii="Times New Roman" w:hAnsi="Times New Roman" w:eastAsia="Times New Roman"/>
          <w:i w:val="0"/>
          <w:sz w:val="24"/>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Times New Roman" w:hAnsi="Times New Roman" w:eastAsia="Times New Roman"/>
          <w:i w:val="0"/>
          <w:sz w:val="24"/>
        </w:rPr>
        <w:t xml:space="preserve">Hyland, K. (1998). </w:t>
      </w:r>
      <w:r>
        <w:rPr>
          <w:rFonts w:ascii="Times New Roman" w:hAnsi="Times New Roman" w:eastAsia="Times New Roman"/>
          <w:i/>
          <w:sz w:val="24"/>
        </w:rPr>
        <w:t>Hedging in scientific research articles</w:t>
      </w:r>
      <w:r>
        <w:rPr>
          <w:rFonts w:ascii="Times New Roman" w:hAnsi="Times New Roman" w:eastAsia="Times New Roman"/>
          <w:i w:val="0"/>
          <w:sz w:val="24"/>
        </w:rPr>
        <w:t>. John Benjamins Publishing.</w:t>
      </w:r>
    </w:p>
    <w:p w:rsidR="00000000" w:rsidDel="00000000" w:rsidP="00000000" w:rsidRDefault="00000000" w:rsidRPr="00000000" w14:paraId="0000018C">
      <w:pPr>
        <w:spacing w:before="0" w:after="0" w:line="480" w:lineRule="auto"/>
        <w:ind w:left="720" w:hanging="720"/>
        <w:jc w:val="left"/>
        <w:rPr/>
      </w:pPr>
      <w:r>
        <w:rPr>
          <w:rFonts w:ascii="Times New Roman" w:hAnsi="Times New Roman" w:eastAsia="Times New Roman"/>
          <w:i w:val="0"/>
          <w:sz w:val="24"/>
        </w:rPr>
        <w:t xml:space="preserve">Hyland, K. (2005). Stance and engagement: A model of interaction in academic discourse. </w:t>
      </w:r>
      <w:r>
        <w:rPr>
          <w:rFonts w:ascii="Times New Roman" w:hAnsi="Times New Roman" w:eastAsia="Times New Roman"/>
          <w:i/>
          <w:sz w:val="24"/>
        </w:rPr>
        <w:t>Discourse Studies, 7</w:t>
      </w:r>
      <w:r>
        <w:rPr>
          <w:rFonts w:ascii="Times New Roman" w:hAnsi="Times New Roman" w:eastAsia="Times New Roman"/>
          <w:i w:val="0"/>
          <w:sz w:val="24"/>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Times New Roman" w:hAnsi="Times New Roman" w:eastAsia="Times New Roman"/>
          <w:i w:val="0"/>
          <w:sz w:val="24"/>
        </w:rPr>
        <w:t xml:space="preserve">Hyland, K., &amp; Milton, J. (1997). Qualification and certainty in L1 and L2 students’ writing. </w:t>
      </w:r>
      <w:r>
        <w:rPr>
          <w:rFonts w:ascii="Times New Roman" w:hAnsi="Times New Roman" w:eastAsia="Times New Roman"/>
          <w:i/>
          <w:sz w:val="24"/>
        </w:rPr>
        <w:t>Journal of Second Language Writing, 6</w:t>
      </w:r>
      <w:r>
        <w:rPr>
          <w:rFonts w:ascii="Times New Roman" w:hAnsi="Times New Roman" w:eastAsia="Times New Roman"/>
          <w:i w:val="0"/>
          <w:sz w:val="24"/>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Times New Roman" w:hAnsi="Times New Roman" w:eastAsia="Times New Roman"/>
          <w:i w:val="0"/>
          <w:sz w:val="24"/>
        </w:rPr>
        <w:t xml:space="preserve">Imataki, N., &amp; Kobayashi, Y. (2024). Analyzing disciplinary variation in abstracts: Linguistic features across scientific and technical fields. </w:t>
      </w:r>
      <w:r>
        <w:rPr>
          <w:rFonts w:ascii="Times New Roman" w:hAnsi="Times New Roman" w:eastAsia="Times New Roman"/>
          <w:i/>
          <w:sz w:val="24"/>
        </w:rPr>
        <w:t>Linguistics and Literature Studies, 12</w:t>
      </w:r>
      <w:r>
        <w:rPr>
          <w:rFonts w:ascii="Times New Roman" w:hAnsi="Times New Roman" w:eastAsia="Times New Roman"/>
          <w:i w:val="0"/>
          <w:sz w:val="24"/>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Times New Roman" w:hAnsi="Times New Roman" w:eastAsia="Times New Roman"/>
          <w:i w:val="0"/>
          <w:sz w:val="24"/>
        </w:rPr>
        <w:t xml:space="preserve">Khunasathitchai, K., Sittironnarit, S., Sinturat, T., &amp; Kumdee, S. (2025). Move analysis and hedge use in the research paper abstracts of Thai EFL English-majored undergraduates. </w:t>
      </w:r>
      <w:r>
        <w:rPr>
          <w:rFonts w:ascii="Times New Roman" w:hAnsi="Times New Roman" w:eastAsia="Times New Roman"/>
          <w:i/>
          <w:sz w:val="24"/>
        </w:rPr>
        <w:t>rEFLections, 32</w:t>
      </w:r>
      <w:r>
        <w:rPr>
          <w:rFonts w:ascii="Times New Roman" w:hAnsi="Times New Roman" w:eastAsia="Times New Roman"/>
          <w:i w:val="0"/>
          <w:sz w:val="24"/>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Times New Roman" w:hAnsi="Times New Roman" w:eastAsia="Times New Roman"/>
          <w:i w:val="0"/>
          <w:sz w:val="24"/>
        </w:rPr>
        <w:t xml:space="preserve">Landis, J. R., &amp; Koch, G. G. (1977). The measurement of observer agreement for categorical data. </w:t>
      </w:r>
      <w:r>
        <w:rPr>
          <w:rFonts w:ascii="Times New Roman" w:hAnsi="Times New Roman" w:eastAsia="Times New Roman"/>
          <w:i/>
          <w:sz w:val="24"/>
        </w:rPr>
        <w:t>Biometrics, 33</w:t>
      </w:r>
      <w:r>
        <w:rPr>
          <w:rFonts w:ascii="Times New Roman" w:hAnsi="Times New Roman" w:eastAsia="Times New Roman"/>
          <w:i w:val="0"/>
          <w:sz w:val="24"/>
        </w:rPr>
        <w:t>(1), 159–174. https://doi.org/10.2307/2529310</w:t>
      </w:r>
    </w:p>
    <w:p>
      <w:pPr>
        <w:spacing w:before="0" w:after="0" w:line="480" w:lineRule="auto"/>
        <w:ind w:left="720" w:hanging="720"/>
        <w:jc w:val="left"/>
        <w:rPr/>
      </w:pPr>
      <w:r>
        <w:rPr>
          <w:rFonts w:ascii="Times New Roman" w:hAnsi="Times New Roman" w:eastAsia="Times New Roman"/>
          <w:i w:val="0"/>
          <w:sz w:val="24"/>
        </w:rPr>
        <w:t xml:space="preserve">Lopez, R. M. C., Pedida, J. A., Alzate, L. J. A., &amp; Eustaquio, M. T. L. (2025). Language of caution and certainty: Writing proficiency in hedges and boosters in student essays. </w:t>
      </w:r>
      <w:r>
        <w:rPr>
          <w:rFonts w:ascii="Times New Roman" w:hAnsi="Times New Roman" w:eastAsia="Times New Roman"/>
          <w:i/>
          <w:sz w:val="24"/>
        </w:rPr>
        <w:t>International Journal of Research and Innovation in Social Science, 9</w:t>
      </w:r>
      <w:r>
        <w:rPr>
          <w:rFonts w:ascii="Times New Roman" w:hAnsi="Times New Roman" w:eastAsia="Times New Roman"/>
          <w:i w:val="0"/>
          <w:sz w:val="24"/>
        </w:rPr>
        <w:t>(11), 6176–6196. https://doi.org/10.47772/IJRISS.2025.91100485</w:t>
      </w:r>
    </w:p>
    <w:p>
      <w:pPr>
        <w:spacing w:before="0" w:after="0" w:line="480" w:lineRule="auto"/>
        <w:ind w:left="720" w:hanging="720"/>
        <w:jc w:val="left"/>
        <w:rPr/>
      </w:pPr>
      <w:r>
        <w:rPr>
          <w:rFonts w:ascii="Times New Roman" w:hAnsi="Times New Roman" w:eastAsia="Times New Roman"/>
          <w:i w:val="0"/>
          <w:sz w:val="24"/>
        </w:rPr>
        <w:t xml:space="preserve">Mazidah, E. N., Cahyani, W. I., &amp; Masruroh, L. (2022). Hedges and boosters in undergraduate thesis abstracts of Qomaruddin University students. </w:t>
      </w:r>
      <w:r>
        <w:rPr>
          <w:rFonts w:ascii="Times New Roman" w:hAnsi="Times New Roman" w:eastAsia="Times New Roman"/>
          <w:i/>
          <w:sz w:val="24"/>
        </w:rPr>
        <w:t>Journal of Education, Humaniora and Social Sciences (JEHSS), 4</w:t>
      </w:r>
      <w:r>
        <w:rPr>
          <w:rFonts w:ascii="Times New Roman" w:hAnsi="Times New Roman" w:eastAsia="Times New Roman"/>
          <w:i w:val="0"/>
          <w:sz w:val="24"/>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Times New Roman" w:hAnsi="Times New Roman" w:eastAsia="Times New Roman"/>
          <w:i w:val="0"/>
          <w:sz w:val="24"/>
        </w:rPr>
        <w:t xml:space="preserve">Mohammed, S. J. (2011). </w:t>
      </w:r>
      <w:r>
        <w:rPr>
          <w:rFonts w:ascii="Times New Roman" w:hAnsi="Times New Roman" w:eastAsia="Times New Roman"/>
          <w:i/>
          <w:sz w:val="24"/>
        </w:rPr>
        <w:t>Lexical hedges: A study of cultural and disciplinary variation in academic research articles</w:t>
      </w:r>
      <w:r>
        <w:rPr>
          <w:rFonts w:ascii="Times New Roman" w:hAnsi="Times New Roman" w:eastAsia="Times New Roman"/>
          <w:i w:val="0"/>
          <w:sz w:val="24"/>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Times New Roman" w:hAnsi="Times New Roman" w:eastAsia="Times New Roman"/>
          <w:i w:val="0"/>
          <w:sz w:val="24"/>
        </w:rPr>
        <w:t xml:space="preserve">Ningrum, S., Puspita, H., &amp; Mulyadi, A. I. (2024). Hedges and boosters in academic writing of ASEAN EFL learners. </w:t>
      </w:r>
      <w:r>
        <w:rPr>
          <w:rFonts w:ascii="Times New Roman" w:hAnsi="Times New Roman" w:eastAsia="Times New Roman"/>
          <w:i/>
          <w:sz w:val="24"/>
        </w:rPr>
        <w:t>Journal of English Education and Teaching, 8</w:t>
      </w:r>
      <w:r>
        <w:rPr>
          <w:rFonts w:ascii="Times New Roman" w:hAnsi="Times New Roman" w:eastAsia="Times New Roman"/>
          <w:i w:val="0"/>
          <w:sz w:val="24"/>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Times New Roman" w:hAnsi="Times New Roman" w:eastAsia="Times New Roman"/>
          <w:i w:val="0"/>
          <w:sz w:val="24"/>
        </w:rPr>
        <w:t xml:space="preserve">Petchkij, W. (2019). Explicit teaching of hedges: Bringing hedging in academic writing into the Thai EFL classroom. </w:t>
      </w:r>
      <w:r>
        <w:rPr>
          <w:rFonts w:ascii="Times New Roman" w:hAnsi="Times New Roman" w:eastAsia="Times New Roman"/>
          <w:i/>
          <w:sz w:val="24"/>
        </w:rPr>
        <w:t>Electronic Journal of Foreign Language Teaching, 16</w:t>
      </w:r>
      <w:r>
        <w:rPr>
          <w:rFonts w:ascii="Times New Roman" w:hAnsi="Times New Roman" w:eastAsia="Times New Roman"/>
          <w:i w:val="0"/>
          <w:sz w:val="24"/>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Times New Roman" w:hAnsi="Times New Roman" w:eastAsia="Times New Roman"/>
          <w:i w:val="0"/>
          <w:sz w:val="24"/>
        </w:rPr>
        <w:t xml:space="preserve">Salager-Meyer, F. (1994). Hedges and textual communicative function in medical English written discourse. </w:t>
      </w:r>
      <w:r>
        <w:rPr>
          <w:rFonts w:ascii="Times New Roman" w:hAnsi="Times New Roman" w:eastAsia="Times New Roman"/>
          <w:i/>
          <w:sz w:val="24"/>
        </w:rPr>
        <w:t>English for Specific Purposes, 13</w:t>
      </w:r>
      <w:r>
        <w:rPr>
          <w:rFonts w:ascii="Times New Roman" w:hAnsi="Times New Roman" w:eastAsia="Times New Roman"/>
          <w:i w:val="0"/>
          <w:sz w:val="24"/>
        </w:rPr>
        <w:t>(2), 149–170. https://doi.org/10.1016/0889-4906(94)90013-2</w:t>
      </w:r>
    </w:p>
    <w:p>
      <w:pPr>
        <w:spacing w:before="0" w:after="0" w:line="480" w:lineRule="auto"/>
        <w:ind w:left="720" w:hanging="720"/>
        <w:jc w:val="left"/>
        <w:rPr/>
      </w:pPr>
      <w:r>
        <w:rPr>
          <w:rFonts w:ascii="Times New Roman" w:hAnsi="Times New Roman" w:eastAsia="Times New Roman"/>
          <w:i w:val="0"/>
          <w:sz w:val="24"/>
        </w:rPr>
        <w:t xml:space="preserve">Souici, F., &amp; Slougui, D. (2022). Hedges in biology research articles: What types and frequency do Algerian authors use? </w:t>
      </w:r>
      <w:r>
        <w:rPr>
          <w:rFonts w:ascii="Times New Roman" w:hAnsi="Times New Roman" w:eastAsia="Times New Roman"/>
          <w:i/>
          <w:sz w:val="24"/>
        </w:rPr>
        <w:t>Journal of Human Sciences, 33</w:t>
      </w:r>
      <w:r>
        <w:rPr>
          <w:rFonts w:ascii="Times New Roman" w:hAnsi="Times New Roman" w:eastAsia="Times New Roman"/>
          <w:i w:val="0"/>
          <w:sz w:val="24"/>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Times New Roman" w:hAnsi="Times New Roman" w:eastAsia="Times New Roman"/>
          <w:i w:val="0"/>
          <w:sz w:val="24"/>
        </w:rPr>
        <w:t xml:space="preserve">Suratno, A., &amp; Aydawati, E. N. (2025). Hedging strategies in non-science theses: A corpus-based analysis of discussion sections. </w:t>
      </w:r>
      <w:r>
        <w:rPr>
          <w:rFonts w:ascii="Times New Roman" w:hAnsi="Times New Roman" w:eastAsia="Times New Roman"/>
          <w:i/>
          <w:sz w:val="24"/>
        </w:rPr>
        <w:t>ETERNAL (English Teaching Journal), 16</w:t>
      </w:r>
      <w:r>
        <w:rPr>
          <w:rFonts w:ascii="Times New Roman" w:hAnsi="Times New Roman" w:eastAsia="Times New Roman"/>
          <w:i w:val="0"/>
          <w:sz w:val="24"/>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Times New Roman" w:hAnsi="Times New Roman" w:eastAsia="Times New Roman"/>
          <w:i w:val="0"/>
          <w:sz w:val="24"/>
        </w:rPr>
        <w:t xml:space="preserve">Villanueva, V. S. (2014). Hedging devices in Philippine newspaper editorials. </w:t>
      </w:r>
      <w:r>
        <w:rPr>
          <w:rFonts w:ascii="Times New Roman" w:hAnsi="Times New Roman" w:eastAsia="Times New Roman"/>
          <w:i/>
          <w:sz w:val="24"/>
        </w:rPr>
        <w:t>Asian Journal of English Language Studies, 2</w:t>
      </w:r>
      <w:r>
        <w:rPr>
          <w:rFonts w:ascii="Times New Roman" w:hAnsi="Times New Roman" w:eastAsia="Times New Roman"/>
          <w:i w:val="0"/>
          <w:sz w:val="24"/>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Times New Roman" w:hAnsi="Times New Roman" w:eastAsia="Times New Roman"/>
          <w:i w:val="0"/>
          <w:sz w:val="24"/>
        </w:rPr>
        <w:t xml:space="preserve">Wang, X. (2022). </w:t>
      </w:r>
      <w:r>
        <w:rPr>
          <w:rFonts w:ascii="Times New Roman" w:hAnsi="Times New Roman" w:eastAsia="Times New Roman"/>
          <w:i/>
          <w:sz w:val="24"/>
        </w:rPr>
        <w:t>Hedging in academic writing: Cross-disciplinary comparisons in the Michigan Corpus of Upper-Level Student Papers (MICUSP)</w:t>
      </w:r>
      <w:r>
        <w:rPr>
          <w:rFonts w:ascii="Times New Roman" w:hAnsi="Times New Roman" w:eastAsia="Times New Roman"/>
          <w:i w:val="0"/>
          <w:sz w:val="24"/>
        </w:rPr>
        <w:t xml:space="preserve"> [Preprint]. OSF Preprints. https://osf.io/preprints/edarxiv/5xj27</w:t>
      </w:r>
    </w:p>
    <w:p>
      <w:pPr>
        <w:spacing w:before="0" w:after="0" w:line="480" w:lineRule="auto"/>
        <w:ind w:left="720" w:hanging="720"/>
        <w:jc w:val="left"/>
        <w:rPr/>
        <w:keepLines w:val="1"/>
        <w:widowControl w:val="1"/>
      </w:pPr>
      <w:r>
        <w:rPr>
          <w:rFonts w:ascii="Times New Roman" w:hAnsi="Times New Roman" w:eastAsia="Times New Roman"/>
          <w:i w:val="0"/>
          <w:sz w:val="24"/>
        </w:rPr>
        <w:t xml:space="preserve">Xie, S., &amp; Mi, C. (2023). Promotion and caution in research article abstracts: The use of positive, negative and hedge words across disciplines and rankings. </w:t>
      </w:r>
      <w:r>
        <w:rPr>
          <w:rFonts w:ascii="Times New Roman" w:hAnsi="Times New Roman" w:eastAsia="Times New Roman"/>
          <w:i/>
          <w:sz w:val="24"/>
        </w:rPr>
        <w:t>Learned Publishing, 36</w:t>
      </w:r>
      <w:r>
        <w:rPr>
          <w:rFonts w:ascii="Times New Roman" w:hAnsi="Times New Roman" w:eastAsia="Times New Roman"/>
          <w:i w:val="0"/>
          <w:sz w:val="24"/>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assertions.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“The results suggested (EC) that C. longa extracts are potential (EC) alternative stains. PCR can (FP-Cap) also detect low concentrations, while a prior line stated flatly that Results showed no infection.”</w:t>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color w:val="ffffff"/>
          <w:sz w:val="22"/>
          <w:szCs w:val="22"/>
          <w:highlight w:val="red"/>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ed7d31"/>
          <w:sz w:val="22"/>
          <w:szCs w:val="22"/>
          <w:rtl w:val="0"/>
        </w:rPr>
        <w:t xml:space="preserve"/>
      </w:r>
      <w:r>
        <w:rPr>
          <w:rFonts w:ascii="Georgia" w:hAnsi="Georgia" w:cs="Georgia" w:eastAsia="Georgia"/>
          <w:color w:val="000000"/>
        </w:rPr>
        <w:t xml:space="preserve"/>
      </w:r>
      <w:r>
        <w:rPr>
          <w:rFonts w:ascii="Georgia" w:hAnsi="Georgia" w:cs="Georgia" w:eastAsia="Georgia"/>
          <w:highlight w:val="red"/>
          <w:color w:val="ffffff"/>
        </w:rPr>
        <w:t/>
      </w:r>
      <w:r>
        <w:rPr>
          <w:rFonts w:ascii="Georgia" w:hAnsi="Georgia" w:cs="Georgia" w:eastAsia="Georgia"/>
          <w:color w:val="000000"/>
        </w:rPr>
        <w:t xml:space="preserve"/>
      </w:r>
      <w:r>
        <w:rPr>
          <w:rFonts w:ascii="Georgia" w:hAnsi="Georgia" w:cs="Georgia" w:eastAsia="Georgia"/>
          <w:color w:val="ed7d31"/>
        </w:rPr>
        <w:t/>
      </w:r>
      <w:r>
        <w:rPr>
          <w:rFonts w:ascii="Georgia" w:hAnsi="Georgia" w:cs="Georgia" w:eastAsia="Georgia"/>
          <w:color w:val="000000"/>
        </w:rPr>
        <w:t xml:space="preserve"/>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color w:val="80808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Colored highlights mark type. Colored text marks function. Grey highlights mark an unhedged assertion. Here, “potential” is retained as a Lexical hedge because it appears in a results/conclusion sentence and qualifies the claim about the extracts.</w:t>
      </w:r>
      <w:r>
        <w:rPr>
          <w:rFonts w:ascii="Georgia" w:cs="Georgia" w:eastAsia="Georgia" w:hAnsi="Georgia"/>
          <w:b w:val="0"/>
          <w:bCs w:val="0"/>
          <w:i w:val="1"/>
          <w:iCs w:val="1"/>
          <w:color w:val="404040"/>
          <w:sz w:val="22"/>
          <w:szCs w:val="22"/>
          <w:rtl w:val="0"/>
        </w:rPr>
        <w:t xml:space="preserve"/>
      </w:r>
      <w:r>
        <w:rPr>
          <w:rtl w:val="0"/>
        </w:rPr>
      </w:r>
    </w:p>
    <w:p w:rsidR="00000000" w:rsidDel="00000000" w:rsidP="00000000" w:rsidRDefault="00000000" w:rsidRPr="00000000" w14:paraId="00000247">
      <w:pPr>
        <w:keepNext w:val="1"/>
        <w:spacing w:before="60" w:after="4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4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40" w:line="288" w:lineRule="auto"/>
        <w:ind w:firstLine="720"/>
        <w:jc w:val="both"/>
        <w:rPr/>
      </w:pPr>
      <w:r>
        <w:rPr>
          <w:rFonts w:ascii="Georgia" w:hAnsi="Georgia" w:cs="Georgia" w:eastAsia="Georgia"/>
          <w:b w:val="0"/>
          <w:bCs w:val="0"/>
          <w:i w:val="1"/>
          <w:iCs w:val="1"/>
          <w:color w:val="000000"/>
          <w:sz w:val="22"/>
          <w:szCs w:val="22"/>
          <w:rtl w:val="0"/>
        </w:rPr>
        <w:t>Unhedged-assertion data, tracked separately so it never inflates RQ2 counts. Layer 3 records only warranted-but-absent caution (generalizations and causal or evaluative overclaims), not every clause where a hedge could be inserted.</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4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20"/>
                <w:szCs w:val="20"/>
              </w:rPr>
              <w:t xml:space="preserve">“</w:t>
            </w:r>
            <w:r>
              <w:rPr>
                <w:rFonts w:ascii="Georgia" w:hAnsi="Georgia"/>
                <w:sz w:val="20"/>
                <w:szCs w:val="20"/>
                <w:shd w:val="clear" w:color="auto" w:fill="bfbfbf"/>
              </w:rPr>
              <w:t xml:space="preserve">was</w:t>
            </w:r>
            <w:r>
              <w:rPr>
                <w:rFonts w:ascii="Georgia" w:hAnsi="Georgia"/>
                <w:sz w:val="20"/>
                <w:szCs w:val="20"/>
              </w:rPr>
              <w:t xml:space="preserve"> [G] the most compelling…” (mark) vs “Yield higher (p &lt; .05)” (omit).</w:t>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20"/>
                <w:szCs w:val="20"/>
              </w:rPr>
              <w:t xml:space="preserve">“This </w:t>
            </w:r>
            <w:r>
              <w:rPr>
                <w:rFonts w:ascii="Georgia" w:hAnsi="Georgia"/>
                <w:sz w:val="20"/>
                <w:szCs w:val="20"/>
                <w:shd w:val="clear" w:color="auto" w:fill="bfbfbf"/>
              </w:rPr>
              <w:t xml:space="preserve">led</w:t>
            </w:r>
            <w:r>
              <w:rPr>
                <w:rFonts w:ascii="Georgia" w:hAnsi="Georgia"/>
                <w:sz w:val="20"/>
                <w:szCs w:val="20"/>
              </w:rPr>
              <w:t xml:space="preserve"> [G] to the conclusion that all farms were free of it.”</w:t>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20"/>
                <w:szCs w:val="20"/>
              </w:rPr>
              <w:t xml:space="preserve">“Extracts </w:t>
            </w:r>
            <w:r>
              <w:rPr>
                <w:rFonts w:ascii="Georgia" w:hAnsi="Georgia"/>
                <w:sz w:val="20"/>
                <w:szCs w:val="20"/>
                <w:shd w:val="clear" w:color="auto" w:fill="bfbfbf"/>
              </w:rPr>
              <w:t xml:space="preserve">produce</w:t>
            </w:r>
            <w:r>
              <w:rPr>
                <w:rFonts w:ascii="Georgia" w:hAnsi="Georgia"/>
                <w:sz w:val="20"/>
                <w:szCs w:val="20"/>
              </w:rPr>
              <w:t xml:space="preserve"> [C] comparable staining because they contain similar compounds.”</w:t>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teal). Discourse connectors (Hence/Thus) are tagged (DO) even when not hedges. Function labels in this appendix are only EC, P, and DO. False positives = strikethrough + reason code in grey (e.g. FP-Rec = recommendation, not a function). Unhedged assertions = grey highlight + [G]/[C] bracket (warranted-but-absent caution only).</w:t>
      </w:r>
      <w:r>
        <w:rPr>
          <w:rtl w:val="0"/>
        </w:rPr>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Bacillus subtilis BIOTECH 1679 was assessed under greenhouse conditions. Results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the zone of inhibition in the evaluation of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Mimosa pudica has promising antitussive properties and a wide safety margin, supporting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its therapeutic effects. Further studies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would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w:t>
      </w:r>
      <w:r>
        <w:rPr>
          <w:rFonts w:ascii="Georgia" w:hAnsi="Georgia" w:cs="Georgia" w:eastAsia="Georgia"/>
          <w:sz w:val="22"/>
          <w:szCs w:val="22"/>
          <w:b w:val="0"/>
          <w:bCs w:val="0"/>
          <w:shd w:val="clear" w:color="auto" w:fill="bfbfbf"/>
          <w:color w:val="000000"/>
        </w:rPr>
        <w:t xml:space="preserve">making</w:t>
      </w:r>
      <w:r>
        <w:rPr>
          <w:rFonts w:ascii="Georgia" w:hAnsi="Georgia" w:cs="Georgia" w:eastAsia="Georgia"/>
          <w:sz w:val="22"/>
          <w:szCs w:val="22"/>
          <w:b w:val="0"/>
          <w:bCs w:val="0"/>
          <w:color w:val="000000"/>
        </w:rPr>
        <w:t xml:space="preserve"> [G]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generally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highlight w:val="red"/>
          <w:color w:val="FFFFFF"/>
        </w:rPr>
        <w:t xml:space="preserve">inferring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control bacterial infections caused by multi-drug resistant pathogens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color w:val="000000"/>
        </w:rPr>
        <w:t xml:space="preserve">This study aimed to identify the histoprotective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hd w:val="clear" w:color="auto" w:fill="bfbfbf"/>
          <w:color w:val="000000"/>
        </w:rPr>
        <w:t xml:space="preserve">caused</w:t>
      </w:r>
      <w:r>
        <w:rPr>
          <w:rFonts w:ascii="Georgia" w:hAnsi="Georgia" w:cs="Georgia" w:eastAsia="Georgia"/>
          <w:sz w:val="22"/>
          <w:szCs w:val="22"/>
          <w:b w:val="0"/>
          <w:bCs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strike/>
          <w:color w:val="000000"/>
        </w:rPr>
        <w:t xml:space="preserve">proposed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hd w:val="clear" w:color="auto" w:fill="bfbfbf"/>
          <w:color w:val="000000"/>
        </w:rPr>
        <w:t xml:space="preserve">provides</w:t>
      </w:r>
      <w:r>
        <w:rPr>
          <w:rFonts w:ascii="Georgia" w:hAnsi="Georgia" w:cs="Georgia" w:eastAsia="Georgia"/>
          <w:sz w:val="22"/>
          <w:szCs w:val="22"/>
          <w:b w:val="0"/>
          <w:bCs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due to [C]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color w:val="000000"/>
        </w:rPr>
        <w:t xml:space="preserve">Methicillin-resistant Staphylococcus aureus (MRSA) is a common and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severe pathogen that has developed resistance to several types of antibiotics. MRSA bacteria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selective antibacterial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address the </w:t>
      </w:r>
      <w:r>
        <w:rPr>
          <w:rFonts w:ascii="Georgia" w:hAnsi="Georgia" w:cs="Georgia" w:eastAsia="Georgia"/>
          <w:sz w:val="22"/>
          <w:szCs w:val="22"/>
          <w:b w:val="0"/>
          <w:bCs w:val="0"/>
          <w:highlight w:val="red"/>
          <w:color w:val="FFFFFF"/>
        </w:rPr>
        <w:t xml:space="preserve">possible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among the four isolates. The results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w:t>
      </w:r>
      <w:r>
        <w:rPr>
          <w:rFonts w:ascii="Georgia" w:hAnsi="Georgia" w:cs="Georgia" w:eastAsia="Georgia"/>
          <w:sz w:val="22"/>
          <w:szCs w:val="22"/>
          <w:b w:val="0"/>
          <w:bCs w:val="0"/>
          <w:shd w:val="clear" w:color="auto" w:fill="bfbfbf"/>
          <w:color w:val="000000"/>
        </w:rPr>
        <w:t xml:space="preserve">achieved</w:t>
      </w:r>
      <w:r>
        <w:rPr>
          <w:rFonts w:ascii="Georgia" w:hAnsi="Georgia" w:cs="Georgia" w:eastAsia="Georgia"/>
          <w:sz w:val="22"/>
          <w:szCs w:val="22"/>
          <w:b w:val="0"/>
          <w:bCs w:val="0"/>
          <w:color w:val="000000"/>
        </w:rPr>
        <w:t xml:space="preserve"> [C],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the evaluation of retail egg vendors showed a major issue of reusing the egg trays across vendors which has been strongly </w:t>
      </w:r>
      <w:r>
        <w:rPr>
          <w:rFonts w:ascii="Georgia" w:hAnsi="Georgia" w:cs="Georgia" w:eastAsia="Georgia"/>
          <w:sz w:val="22"/>
          <w:szCs w:val="22"/>
          <w:b w:val="0"/>
          <w:bCs w:val="0"/>
          <w:shd w:val="clear" w:color="auto" w:fill="bfbfbf"/>
          <w:color w:val="000000"/>
        </w:rPr>
        <w:t xml:space="preserve">linked</w:t>
      </w:r>
      <w:r>
        <w:rPr>
          <w:rFonts w:ascii="Georgia" w:hAnsi="Georgia" w:cs="Georgia" w:eastAsia="Georgia"/>
          <w:sz w:val="22"/>
          <w:szCs w:val="22"/>
          <w:b w:val="0"/>
          <w:bCs w:val="0"/>
          <w:color w:val="000000"/>
        </w:rPr>
        <w:t xml:space="preserve"> [C] to bacterial growth on eggshells, yolks and albumen, with p-values of 0.030 and 0.014, respectively. The findings </w:t>
      </w:r>
      <w:r>
        <w:rPr>
          <w:rFonts w:ascii="Georgia" w:hAnsi="Georgia" w:cs="Georgia" w:eastAsia="Georgia"/>
          <w:sz w:val="22"/>
          <w:szCs w:val="22"/>
          <w:b w:val="0"/>
          <w:bCs w:val="0"/>
          <w:strike/>
          <w:color w:val="000000"/>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strike/>
          <w:color w:val="000000"/>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strike/>
          <w:color w:val="000000"/>
        </w:rPr>
        <w:t xml:space="preserve">needed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strike/>
          <w:color w:val="000000"/>
        </w:rPr>
        <w:t xml:space="preserve">recommend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hd w:val="clear" w:color="auto" w:fill="bfbfbf"/>
          <w:color w:val="000000"/>
        </w:rPr>
        <w:t xml:space="preserve">were</w:t>
      </w:r>
      <w:r>
        <w:rPr>
          <w:rFonts w:ascii="Georgia" w:hAnsi="Georgia" w:cs="Georgia" w:eastAsia="Georgia"/>
          <w:sz w:val="22"/>
          <w:szCs w:val="22"/>
          <w:b w:val="0"/>
          <w:bCs w:val="0"/>
          <w:color w:val="000000"/>
        </w:rPr>
        <w:t xml:space="preserve"> sensitive [G]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strike/>
          <w:color w:val="000000"/>
        </w:rPr>
        <w:t xml:space="preserve">possibility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Pr>
          <w:rFonts w:ascii="Georgia" w:hAnsi="Georgia" w:cs="Georgia" w:eastAsia="Georgia"/>
          <w:sz w:val="20"/>
          <w:szCs w:val="20"/>
          <w:b w:val="0"/>
          <w:bCs w:val="0"/>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hd w:val="clear" w:color="auto" w:fill="bfbfbf"/>
          <w:color w:val="000000"/>
        </w:rPr>
        <w:t xml:space="preserve">has</w:t>
      </w:r>
      <w:r>
        <w:rPr>
          <w:rFonts w:ascii="Georgia" w:hAnsi="Georgia" w:cs="Georgia" w:eastAsia="Georgia"/>
          <w:sz w:val="22"/>
          <w:szCs w:val="22"/>
          <w:b w:val="0"/>
          <w:bCs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color w:val="000000"/>
        </w:rPr>
        <w:t xml:space="preserve">Zoonotic diseases are a significant public health concern, particularly those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statistical significance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observed, the mycorrhiza treatment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still offer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the differences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significant in the study, the researchers believe that mycorrhiza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for plant growth. Further research </w:t>
      </w:r>
      <w:r>
        <w:rPr>
          <w:rFonts w:ascii="Georgia" w:hAnsi="Georgia" w:cs="Georgia" w:eastAsia="Georgia"/>
          <w:sz w:val="22"/>
          <w:szCs w:val="22"/>
          <w:b w:val="0"/>
          <w:bCs w:val="0"/>
          <w:strike/>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survive the water treatment application but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establish roots and die after several days. However, it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Trichoderma and fermented azolla at proper application frequencies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hd w:val="clear" w:color="auto" w:fill="bfbfbf"/>
          <w:color w:val="000000"/>
        </w:rPr>
        <w:t xml:space="preserve">influenced</w:t>
      </w:r>
      <w:r>
        <w:rPr>
          <w:rFonts w:ascii="Georgia" w:hAnsi="Georgia" w:cs="Georgia" w:eastAsia="Georgia"/>
          <w:sz w:val="22"/>
          <w:szCs w:val="22"/>
          <w:b w:val="0"/>
          <w:bCs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strike/>
          <w:color w:val="000000"/>
        </w:rPr>
        <w:t xml:space="preserve">recommends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soaking sugarcane setts in Azospirillum spp. biofertilizer for 24 hours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hd w:val="clear" w:color="auto" w:fill="bfbfbf"/>
          <w:color w:val="000000"/>
        </w:rPr>
        <w:t xml:space="preserve">had</w:t>
      </w:r>
      <w:r>
        <w:rPr>
          <w:rFonts w:ascii="Georgia" w:hAnsi="Georgia" w:cs="Georgia" w:eastAsia="Georgia"/>
          <w:sz w:val="22"/>
          <w:szCs w:val="22"/>
          <w:b w:val="0"/>
          <w:bCs w:val="0"/>
          <w:color w:val="000000"/>
        </w:rPr>
        <w:t xml:space="preserve"> [C] the biggest impact, resulting in the heaviest weight. Additionally, the total return result </w:t>
      </w:r>
      <w:r>
        <w:rPr>
          <w:rFonts w:ascii="Georgia" w:hAnsi="Georgia" w:cs="Georgia" w:eastAsia="Georgia"/>
          <w:sz w:val="22"/>
          <w:szCs w:val="22"/>
          <w:b w:val="0"/>
          <w:bCs w:val="0"/>
          <w:shd w:val="clear" w:color="auto" w:fill="bfbfbf"/>
          <w:color w:val="000000"/>
        </w:rPr>
        <w:t xml:space="preserve">showed</w:t>
      </w:r>
      <w:r>
        <w:rPr>
          <w:rFonts w:ascii="Georgia" w:hAnsi="Georgia" w:cs="Georgia" w:eastAsia="Georgia"/>
          <w:sz w:val="22"/>
          <w:szCs w:val="22"/>
          <w:b w:val="0"/>
          <w:bCs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seen as a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It was found to have a significant effect on the growth and germination rate of pigeon pea in terms of days to germinate, plant height, a number of leaves, and length of leaves. Sulfuric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second [G]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highlight w:val="red"/>
          <w:color w:val="FFFFFF"/>
        </w:rPr>
        <w:t xml:space="preserve">implying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improve final weight, while feeding 10%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superior feed efficiency and improved survivability to T2. Based on the results of the study,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alternative feed ration for rabbits without adverse effects, and considering that azolla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