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Table 1 reports sub-program sample sizes (Crop Science n=10, Animal Science n=10), not hedge counts. No separate inferential comparison between sub-programs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sample and the likelihood of zero inflation. Frequency results are reported in the Results chapter.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The Philippine higher education context is relevant because English is the official medium of academic writing instruction at PSAU despite being a second language for most of the population. Hedging is rarely treated as a distinct rhetorical skill in many Philippine undergraduate writing courses,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content of that frame is consequential: the writer reports that statistical significance was not observed, then hedges that the treatment could still offer potential benefits. That is hedging used to soften or rescue a null result—the overclaiming risk this study's introduction identifies—not merely density inflation.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Times New Roman" w:cs="Times New Roman" w:eastAsia="Georgia" w:hAnsi="Times New Roman"/>
          <w:b w:val="0"/>
          <w:bCs w:val="1"/>
          <w:i w:val="0"/>
          <w:iCs w:val="0"/>
          <w:sz w:val="22"/>
          <w:szCs w:val="22"/>
          <w:rtl w:val="0"/>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Times New Roman" w:cs="Times New Roman" w:eastAsia="Georgia" w:hAnsi="Times New Roman"/>
          <w:b w:val="0"/>
          <w:bCs w:val="0"/>
          <w:i w:val="0"/>
          <w:iCs w:val="0"/>
          <w:sz w:val="22"/>
          <w:szCs w:val="22"/>
          <w:rtl w:val="0"/>
        </w:rPr>
        <w:t>The distribution of hedge types shows cross-disciplinary differences, most clearly in Veterinary Medicine’s small total and low modal share.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Times New Roman" w:cs="Times New Roman" w:eastAsia="Georgia" w:hAnsi="Times New Roman"/>
          <w:b w:val="0"/>
          <w:bCs w:val="0"/>
          <w:i w:val="0"/>
          <w:iCs w:val="0"/>
          <w:sz w:val="22"/>
          <w:szCs w:val="22"/>
          <w:rtl w:val="0"/>
        </w:rPr>
        <w:t>Table 3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Times New Roman" w:cs="Times New Roman" w:eastAsia="Georgia" w:hAnsi="Times New Roman"/>
          <w:b w:val="0"/>
          <w:bCs w:val="0"/>
          <w:i w:val="0"/>
          <w:iCs w:val="0"/>
          <w:sz w:val="22"/>
          <w:szCs w:val="22"/>
          <w:rtl w:val="0"/>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Unhedged sites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Times New Roman" w:cs="Times New Roman" w:eastAsia="Georgia" w:hAnsi="Times New Roman"/>
          <w:b w:val="0"/>
          <w:bCs w:val="0"/>
          <w:i w:val="0"/>
          <w:iCs w:val="0"/>
          <w:sz w:val="22"/>
          <w:szCs w:val="22"/>
          <w:rtl w:val="0"/>
        </w:rPr>
        <w:t>Cross-disciplinary comparison shows differences in hedge density, driven mainly by Veterinary Medicine’s lower rate.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The test was run on raw counts rather than per-100-word rates; abstract lengths vary, so rate-based comparison would be preferable. Kruskal-Wallis also assumes independent observations; abstracts within a program may be clustered by adviser, so discipline is partly confounded with adviser pool. No post-hoc or planned contrast (Veterinary Medicine versus the other two) was performed, even though the narrative focus is the Veterinary Medicine contrast. Within-discipline spread (0–8 hedges per abstract) is also larger than the gaps between discipline means. Given the small sample, zero-inflation, possible clustering, and no multiple-comparison correction, this result is treated as exploratory rather than as confirmatory evidence of a field-level difference. With only 65 tokens across three groups and no correction for multiple tests, the p-values are fragile.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corpus—consistent with departmental or supervisory practice, outcome mix, or both—rather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Times New Roman" w:hAnsi="Times New Roman" w:cs="Times New Roman"/>
          <w:b w:val="0"/>
          <w:sz w:val="22"/>
          <w:rtl w:val="0"/>
        </w:rPr>
        <w:t>The uniform assignment may reflect a restricted repertoire, the compressed abstract genre, the coding scheme, or single-rater interpretation; that limitation is noted in Scope. The narrow functional range is consistent with the restricted set of epistemic devices reported for developing L2 writers (Hyland &amp; Milton, 1997), though in this corpus genre compression and supervisory practice remain the more proximate accounts.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show three observable patterns in the ratified abstracts in this corpus. As reported in Part II, an exploratory Kruskal-Wallis test reached p = .033; the chi-square on zero-hedge rates was p = .079,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 xml:space="preserve">Table 6</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Times New Roman" w:hAnsi="Times New Roman" w:cs="Times New Roman"/>
          <w:b w:val="0"/>
          <w:sz w:val="22"/>
          <w:rtl w:val="0"/>
        </w:rPr>
        <w:t>Outcome type was coded for all 60 abstracts under five categories (Binary, Continuous, Mixed, Null/NS, Other). Coding used the abstract’s own results language: presence/absence or diagnostic positive/negative counts as Binary; explicit non-significance as Null/NS; means, yields, and rates as Continuous; combinations as Mixed. Table 6 shows the distribution.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More consequential is the Null/NS concentration: Agriculture accounts for 14 of 21 Null/NS abstracts, against 2 of 20 in Veterinary Medicine. Those Agriculture Null/NS texts average about 1.5 hedges. Acs2 shows the pattern in concrete form—the writer reports that statistical significance was not observed, then hedges that the treatment could still offer potential benefits. That is hedging used to soften or rescue a non-significant result, the exact overclaiming risk the introduction identifies. One abstract cannot establish a rule, but the concentration of Null/NS outcomes in Agriculture and the explicit rescue framing in Acs2 form a clearer, more thematically central observation than the disciplinary density ranking alone. With small cells, both the VM reading and the Null/NS share remain suggestive.</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As noted in Scope, the study cannot separate genuine field norms from adviser-enforced conventions; the findings describe the ratified abstracts, not individual cognition.</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Limited evidence of disciplinary differentiation, mainly Veterinary Medicine’s lower density. Agriculture’s edge over Biology is modest and outlier-sensitive. More distinctive is the concentration of Null/NS outcomes in Agriculture (14 of 21) and the rescue-hedging pattern illustrated by Acs2, which links directly to the introduction’s concern with overclaiming. The data cannot separate field norms, adviser practice, and outcome type. Statistical evidence is exploratory (Kruskal-Wallis on raw counts p = .033, no post-hoc, no multiple-comparison correction) and the sample is small. The study provides a local baseline: VM abstracts in this corpus hedge less, and Agriculture shows a suggestive Null/NS–hedging link; the causes remain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given Agriculture’s high Null/NS share in this corpus and the possibility that null write-ups invite different hedging choices.</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both"/>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