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so the cross-tab does not differentiate functions; RQ4 is answered from frequency and functional patterns as a whole, not from type-by-function variation.</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For writing instructors and thesis advisers at PSAU, the study provides an empirical baseline of how uncertainty is managed in the ratified abstracts of three applied life sciences programs. That baseline can support more targeted feedback than generic advice to “be cautious.”</w:t>
      </w:r>
      <w:r>
        <w:rPr>
          <w:b w:val="0"/>
          <w:bCs w:val="0"/>
          <w:rtl w:val="0"/>
        </w:rPr>
        <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refine the coding scheme and establish decision rules for ambiguous cases (see Appendix A).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w:t>
            </w:r>
            <w:r>
              <w:rPr>
                <w:rFonts w:ascii="Georgia" w:cs="Georgia" w:eastAsia="Georgia" w:hAnsi="Georgia"/>
                <w:b w:val="0"/>
                <w:bCs w:val="0"/>
                <w:i w:val="0"/>
                <w:iCs w:val="0"/>
                <w:sz w:val="18"/>
                <w:szCs w:val="18"/>
                <w:rtl w:val="0"/>
              </w:rPr>
              <w:t xml:space="preserve">(DO)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show three observable patterns in the ratified abstracts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Three observations support a descriptive label of pro forma hedging, not a confirmed construct: (1) potential accounts for a large share of lexical hedges and recurs in near-identical frames (Part I); (2) all retained hedges serve a single function under the Working Test (Part III); (3) 25 of 60 abstracts contain no coded hedges (Part II). These tokens are counted as hedges by form, position, and Working Test. “Pro forma” describes how the retained tokens behave in this corpus (formulaic frames, single function, limited commitment calibration). It does not claim that zero-hedge abstracts themselves demonstrate non-calibration, nor that the tokens fail the Working Test or should be excluded from density. When hedging appears, it often looks formulaic—a limited set of frames and one function—rather than finely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Disciplinary differentiation is present but uneven. Veterinary Medicine’s sparse, assertive profile is the clearest contrast. Agriculture’s edge over Biology is modest and outlier-sensitive. The patterns are consistent with field-specific epistemic demands (Salager-Meyer, 1994) in these ratified abstracts,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sz w:val="22"/>
          <w:szCs w:val="22"/>
          <w:rtl w:val="0"/>
        </w:rPr>
        <w:t xml:space="preserve">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