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In molecular biology research articles, Hyland (1996) further showed that hedges help writers express claims with precision, caution, and deference to colleagues in a life-science research community. Those expert norms are well documented in that literature.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rely on a narrow set of devices (Khunasathitchai et al., 2025, Suratno &amp; Aydawati, 2025, Ghia et al., 2022, and Mazidah et al., 2022).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Ghia et al. (2022) analyzed 217 English thesis abstracts by advanced Italian EFL undergraduates and found fewer hedges than L1-English peers in MICUSP, with more reliance on boosters and certainty-oriented modals. Mazidah et al. (2022) compared undergraduate thesis abstracts in English education and mathematics at an Indonesian university and found that English majors used more hedges while mathematics majors used more boosters.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Souici and Slougui (2022) examined biology research articles by Algerian authors and found that non-factive reporting verbs were the most prominent hedge type, a pattern consistent with claim support in life-science writing. Hamidi et al. (2025) found clinical science papers used slightly more hedges than basic science papers within medicine, though without statistical significance (p = .064).</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Hu and Cao (2011) compared applied linguistics article abstracts in English-medium and Chinese-medium journals and found markedly more hedges in the English-medium abstracts, a pattern they link to culturally preferred rhetorical strategies and publication context. Petchkij (2019) showed that explicit instruction can raise both frequency and variety among Thai health-science undergraduates, though modal preference persisted even after training.</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Xie and Mi (2023) examined promotion and caution across a large abstract corpus and reported that hedge words were more frequent in soft sciences and higher-ranking journals, while positive promotional wording was more common in hard sciences.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Hyland, 1996, and Souici &amp; Slougui, 2022).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