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1"/>
        <w:gridCol w:w="5893"/>
        <w:gridCol w:w="1996"/>
      </w:tblGrid>
      <w:tr>
        <w:trPr>
          <w:trHeight w:val="680" w:hRule="atLeast"/>
        </w:trPr>
        <w:tc>
          <w:tcPr>
            <w:tcW w:type="dxa" w:w="2471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238250" cy="7524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825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sz w:val="40"/>
                <w:szCs w:val="40"/>
                <w:lang w:val="en-US"/>
              </w:rPr>
              <w:t xml:space="preserve">Alpha Aerosols</w:t>
            </w:r>
          </w:p>
        </w:tc>
        <w:tc>
          <w:tcPr>
            <w:tcW w:type="dxa" w:w="1996"/>
            <w:vMerge w:val="restart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lang w:val="en-US"/>
              </w:rPr>
              <w:t xml:space="preserve">SOP #: AER-PL-005</w:t>
            </w:r>
          </w:p>
          <w:p>
            <w:pPr>
              <w:spacing w:after="3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lang w:val="en-US"/>
              </w:rPr>
              <w:t xml:space="preserve">DATE: June 2026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0"/>
                <w:szCs w:val="20"/>
                <w:lang w:val="en-US"/>
              </w:rPr>
              <w:t xml:space="preserve">REVISION: 00</w:t>
            </w:r>
          </w:p>
        </w:tc>
      </w:tr>
      <w:tr>
        <w:trPr>
          <w:trHeight w:val="780" w:hRule="atLeast"/>
        </w:trPr>
        <w:tc>
          <w:tcPr>
            <w:tcW w:type="dxa" w:w="2471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  <w:tc>
          <w:tcPr>
            <w:tcW w:type="dxa" w:w="589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before="0"/>
              <w:jc w:val="center"/>
            </w:pPr>
            <w:r>
              <w:rPr>
                <w:rFonts w:ascii="Calibri" w:cs="Calibri" w:eastAsia="Calibri" w:hAnsi="Calibri"/>
                <w:sz w:val="36"/>
                <w:szCs w:val="36"/>
                <w:lang w:val="en-US"/>
              </w:rPr>
              <w:t xml:space="preserve">Standard Operating Procedure (SOP)</w:t>
            </w:r>
          </w:p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sz w:val="28"/>
                <w:szCs w:val="28"/>
                <w:lang w:val="en-US"/>
              </w:rPr>
              <w:t xml:space="preserve">Planning and Procurement Department</w:t>
            </w:r>
          </w:p>
        </w:tc>
        <w:tc>
          <w:tcPr>
            <w:tcW w:type="dxa" w:w="1996"/>
            <w:vMerge w:val="continue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/>
        </w:tc>
      </w:tr>
    </w:tbl>
    <w:p>
      <w:pPr>
        <w:pBdr>
          <w:bottom w:val="single" w:color="BBBBBB" w:sz="4" w:space="2"/>
        </w:pBdr>
        <w:spacing w:after="48" w:before="55"/>
      </w:pPr>
      <w:r>
        <w:rPr>
          <w:lang w:val="en-US"/>
        </w:rPr>
        <w:t xml:space="preserve"/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Title: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Material Prioritization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Effective Date: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June 2026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Purpose: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To ensure the most critical materials are always acted on first when multiple orders are active.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Scope: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All material procurement requisitions raised for the Aerosol Plant.</w:t>
      </w:r>
    </w:p>
    <w:p>
      <w:pPr>
        <w:spacing w:after="48" w:before="48"/>
      </w:pP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Responsibility: </w:t>
      </w:r>
      <w:r>
        <w:rPr>
          <w:rFonts w:ascii="Calibri" w:cs="Calibri" w:eastAsia="Calibri" w:hAnsi="Calibri"/>
          <w:b/>
          <w:bCs/>
          <w:sz w:val="30"/>
          <w:szCs w:val="30"/>
          <w:lang w:val="en-US"/>
        </w:rPr>
        <w:t xml:space="preserve">Planning and Procurement Lead</w:t>
      </w:r>
    </w:p>
    <w:p>
      <w:pPr>
        <w:pBdr>
          <w:bottom w:val="single" w:color="BBBBBB" w:sz="4" w:space="2"/>
        </w:pBdr>
        <w:spacing w:after="0" w:before="48"/>
      </w:pPr>
      <w:r>
        <w:rPr>
          <w:lang w:val="en-US"/>
        </w:rPr>
        <w:t xml:space="preserve"/>
      </w:r>
    </w:p>
    <w:p>
      <w:pPr>
        <w:spacing w:after="0" w:before="80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Procedure: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P1 — Critical: Act Immediately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Stock is at zero or below the minimum safety stock level.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Production will stop within 24 hours if this material is not received.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Notify Supply Chain Manager immediately. Escalate to Production Manager in 4 hours.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P2 — Urgent: Act Within 24 Hours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Stock covers less than 3 days of production at the current run rate.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Raise the same day. PO must be placed within 24 hours. Monitor delivery daily.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P3 — Routine: Weekly Cycle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Stock is adequate but replenishment is needed within the normal lead time.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Include in the weekly requisition batch. No urgent action needed.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P4 — Strategic: Discuss Before Acting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An opportunity exists to buy ahead, in bulk, or at a lower price.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Get approval from the Production Manager before committing to extra quantity.</w:t>
      </w:r>
    </w:p>
    <w:p>
      <w:pPr>
        <w:pStyle w:val="ListParagraph"/>
        <w:numPr>
          <w:ilvl w:val="0"/>
          <w:numId w:val="2"/>
        </w:numPr>
        <w:spacing w:after="14" w:before="55"/>
      </w:pPr>
      <w:r>
        <w:rPr>
          <w:rFonts w:ascii="Calibri" w:cs="Calibri" w:eastAsia="Calibri" w:hAnsi="Calibri"/>
          <w:b/>
          <w:bCs/>
          <w:sz w:val="32"/>
          <w:szCs w:val="32"/>
          <w:lang w:val="en-US"/>
        </w:rPr>
        <w:t xml:space="preserve">General Rules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Always state the priority level on every requisition submitted to Supply Chain.</w:t>
      </w:r>
    </w:p>
    <w:p>
      <w:pPr>
        <w:pStyle w:val="ListParagraph"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Recheck P1 and P2 status daily until goods are received at the plant.</w:t>
      </w:r>
    </w:p>
    <w:p>
      <w:pPr>
        <w:pStyle w:val="ListParagraph"/>
        <w:keepNext/>
        <w:numPr>
          <w:ilvl w:val="1"/>
          <w:numId w:val="2"/>
        </w:numPr>
        <w:spacing w:after="4" w:before="4"/>
      </w:pPr>
      <w:r>
        <w:rPr>
          <w:rFonts w:ascii="Calibri" w:cs="Calibri" w:eastAsia="Calibri" w:hAnsi="Calibri"/>
          <w:sz w:val="28"/>
          <w:szCs w:val="28"/>
          <w:lang w:val="en-US"/>
        </w:rPr>
        <w:t xml:space="preserve">If a material's situation changes between cycles, re-prioritize and resubmit.</w:t>
      </w:r>
    </w:p>
    <w:p>
      <w:pPr>
        <w:keepNext/>
        <w:spacing w:after="0" w:before="100"/>
      </w:pPr>
      <w:r>
        <w:rPr>
          <w:lang w:val="en-US"/>
        </w:rPr>
        <w:t xml:space="preserve"/>
      </w:r>
    </w:p>
    <w:tbl>
      <w:tblPr>
        <w:tblW w:type="dxa" w:w="10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3"/>
        <w:gridCol w:w="3453"/>
        <w:gridCol w:w="3454"/>
      </w:tblGrid>
      <w:tr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30"/>
                <w:szCs w:val="30"/>
                <w:lang w:val="en-US"/>
              </w:rPr>
              <w:t xml:space="preserve">Created by:</w:t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30"/>
                <w:szCs w:val="30"/>
                <w:lang w:val="en-US"/>
              </w:rPr>
              <w:t xml:space="preserve">Reviewed by:</w:t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55"/>
              <w:left w:type="dxa" w:w="130"/>
              <w:bottom w:type="dxa" w:w="55"/>
              <w:right w:type="dxa" w:w="13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30"/>
                <w:szCs w:val="30"/>
                <w:lang w:val="en-US"/>
              </w:rPr>
              <w:t xml:space="preserve">Approved by:</w:t>
            </w:r>
          </w:p>
        </w:tc>
      </w:tr>
      <w:tr>
        <w:trPr>
          <w:trHeight w:val="680" w:hRule="exact"/>
        </w:trPr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30"/>
              <w:bottom w:type="dxa" w:w="0"/>
              <w:right w:type="dxa" w:w="130"/>
            </w:tcMar>
          </w:tcPr>
          <w:p>
            <w:r>
              <w:rPr>
                <w:lang w:val="en-US"/>
              </w:rPr>
              <w:t xml:space="preserve"/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30"/>
              <w:bottom w:type="dxa" w:w="0"/>
              <w:right w:type="dxa" w:w="130"/>
            </w:tcMar>
          </w:tcPr>
          <w:p>
            <w:r>
              <w:rPr>
                <w:lang w:val="en-US"/>
              </w:rPr>
              <w:t xml:space="preserve"/>
            </w:r>
          </w:p>
        </w:tc>
        <w:tc>
          <w:tcPr>
            <w:tcW w:type="dxa" w:w="345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0"/>
              <w:left w:type="dxa" w:w="130"/>
              <w:bottom w:type="dxa" w:w="0"/>
              <w:right w:type="dxa" w:w="130"/>
            </w:tcMar>
          </w:tcPr>
          <w:p>
            <w:r>
              <w:rPr>
                <w:lang w:val="en-US"/>
              </w:rPr>
              <w:t xml:space="preserve"/>
            </w:r>
          </w:p>
        </w:tc>
      </w:tr>
    </w:tbl>
    <w:sectPr>
      <w:pgSz w:w="11906" w:h="16838" w:orient="portrait"/>
      <w:pgMar w:top="737" w:right="737" w:bottom="737" w:left="737" w:header="708" w:footer="708" w:gutter="0"/>
      <w:pgBorders w:display="allPages" w:offsetFrom="page">
        <w:left w:val="single" w:color="000000" w:sz="4" w:space="24"/>
        <w:right w:val="single" w:color="000000" w:sz="4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00"/>
      </w:pPr>
    </w:lvl>
    <w:lvl w:ilvl="1" w15:tentative="1">
      <w:start w:val="1"/>
      <w:numFmt w:val="bullet"/>
      <w:lvlText w:val="•"/>
      <w:lvlJc w:val="left"/>
      <w:pPr>
        <w:ind w:left="9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30"/>
        <w:szCs w:val="30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28ef456cf1bfb3555888fb7e95c33f037e1d88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2026-06-16T06:37:44.759Z</dcterms:created>
  <dcterms:modified xsi:type="dcterms:W3CDTF">2026-06-16T06:37:44.759Z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