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ch:conclusions"/>
    <w:p>
      <w:pPr>
        <w:pStyle w:val="Heading1"/>
      </w:pPr>
      <w:r>
        <w:t xml:space="preserve">Conclusions and Future Work</w:t>
      </w:r>
    </w:p>
    <w:p>
      <w:pPr>
        <w:pStyle w:val="FirstParagraph"/>
      </w:pPr>
      <w:r>
        <w:t xml:space="preserve">This chapter reviews the conclusions from the simulation project, points out the limitations, and describes future research directions and possible ways to improve.</w:t>
      </w:r>
    </w:p>
    <w:bookmarkStart w:id="13" w:name="sec:summary"/>
    <w:p>
      <w:pPr>
        <w:pStyle w:val="Heading2"/>
      </w:pPr>
      <w:r>
        <w:t xml:space="preserve">Summary of Findings</w:t>
      </w:r>
    </w:p>
    <w:p>
      <w:pPr>
        <w:pStyle w:val="FirstParagraph"/>
      </w:pPr>
      <w:r>
        <w:t xml:space="preserve">In this thesis we have investigated intelligent smart charging for electric cars at offices based on three types of intelligence. The simplest type is the "rule-based" (Level 1), followed by a general "optimizing" (Level 2), and finally a "Vehicle-To-Grid" (V2G)-enabled optimizing (Level 3). The following subsections provide an overview of the results obtained.</w:t>
      </w:r>
    </w:p>
    <w:bookmarkStart w:id="12" w:name="subsec:intelligence_comparison"/>
    <w:p>
      <w:pPr>
        <w:pStyle w:val="Heading3"/>
      </w:pPr>
      <w:r>
        <w:t xml:space="preserve">Intelligence Level Comparison</w:t>
      </w:r>
    </w:p>
    <w:bookmarkStart w:id="9" w:name="subsubsec:simple_rule_based"/>
    <w:p>
      <w:pPr>
        <w:pStyle w:val="Heading4"/>
      </w:pPr>
      <w:r>
        <w:t xml:space="preserve">Simple Rule-Based Charging</w:t>
      </w:r>
    </w:p>
    <w:p>
      <w:pPr>
        <w:pStyle w:val="FirstParagraph"/>
      </w:pPr>
      <w:r>
        <w:t xml:space="preserve">For Level 1 we found a daily cost of  31.63. Therefore, Level 1 can serve as the reference level. We did not observe any grid violation during our simulations. Thus, we used 100% of the renewable energy produced. Level 1 has low computational requirements. Its behavior is very predictable. Therefore, it can be seen as being reliable.</w:t>
      </w:r>
      <w:r>
        <w:t xml:space="preserve"> </w:t>
      </w:r>
      <w:r>
        <w:rPr>
          <w:i/>
          <w:iCs/>
        </w:rPr>
        <w:t xml:space="preserve">Recommendation</w:t>
      </w:r>
      <w:r>
        <w:t xml:space="preserve">: Rule-based charging is recommended if you want to keep things simple and do not need much computational power. It seems suitable for small to medium-sized installations (5–15 EVs) especially if they are equipped with simple chargers.</w:t>
      </w:r>
    </w:p>
    <w:bookmarkEnd w:id="9"/>
    <w:bookmarkStart w:id="10" w:name="subsubsec:intelligent_optimization"/>
    <w:p>
      <w:pPr>
        <w:pStyle w:val="Heading4"/>
      </w:pPr>
      <w:r>
        <w:t xml:space="preserve">Intelligent Optimization</w:t>
      </w:r>
    </w:p>
    <w:p>
      <w:pPr>
        <w:pStyle w:val="FirstParagraph"/>
      </w:pPr>
      <w:r>
        <w:t xml:space="preserve">Level 2 reduces the daily costs by 3.7% compared to Level 1. Both levels utilize all available renewable energy ( 100%). No constraints were violated during our simulations. Since we applied reinforcement learning (RL) algorithms (specifically Q-Learning) in Level 2 we had to perform a training phase. The training phase takes a lot of resources.</w:t>
      </w:r>
      <w:r>
        <w:t xml:space="preserve"> </w:t>
      </w:r>
      <w:r>
        <w:rPr>
          <w:i/>
          <w:iCs/>
        </w:rPr>
        <w:t xml:space="preserve">Recommendation</w:t>
      </w:r>
      <w:r>
        <w:t xml:space="preserve">: If you plan to deploy your system at a location with a large number of vehicles (&gt;10) we recommend using RL (in particular Q-learning) as the primary method. In contrast, if your installation contains less than 10 vehicles we recommend keeping it simple with a rule-based controller.</w:t>
      </w:r>
    </w:p>
    <w:bookmarkEnd w:id="10"/>
    <w:bookmarkStart w:id="11" w:name="subsubsec:v2g_enabled_optimizing"/>
    <w:p>
      <w:pPr>
        <w:pStyle w:val="Heading4"/>
      </w:pPr>
      <w:r>
        <w:t xml:space="preserve">Vehicle-To-Grid Enabled Optimizing</w:t>
      </w:r>
    </w:p>
    <w:p>
      <w:pPr>
        <w:pStyle w:val="FirstParagraph"/>
      </w:pPr>
      <w:r>
        <w:t xml:space="preserve">Level 3 is able to achieve 0.00 daily benefits and 0% improvement vs. simple charge-only. Additionally, Level 3 also yields 0.00 additional V2G revenue per day. When applying our assumptions, the annual potential for revenue through V2G ranges from 0–253 for a 15-vehicle fleet. As expected, the total throughput will rise by around 3% relative to charge-only. Consequently, this means that the batteries are cycled slightly more often. Overall, V2G is capable of providing great revenue opportunities, grid services and peak shaving possibilities, however, these advantages come at higher infrastructure costs, battery degradations risks and user acceptance challenges.</w:t>
      </w:r>
      <w:r>
        <w:t xml:space="preserve"> </w:t>
      </w:r>
      <w:r>
        <w:rPr>
          <w:i/>
          <w:iCs/>
        </w:rPr>
        <w:t xml:space="preserve">Recommendation</w:t>
      </w:r>
      <w:r>
        <w:t xml:space="preserve">: V2G appears profitable when the price to sell back electricity exceeds approximately 80% of the purchasing price of electricity, when there is enough price volatility to enable arbitrage opportunities, when users accept the increased number of cycles on their car’s batteries (e.g., due to company-owned fleets), and when the necessary infrastructure can be distributed among many vehicles in a fleet.</w:t>
      </w:r>
    </w:p>
    <w:bookmarkEnd w:id="11"/>
    <w:bookmarkEnd w:id="12"/>
    <w:bookmarkEnd w:id="13"/>
    <w:bookmarkStart w:id="17" w:name="sec:research_questions"/>
    <w:p>
      <w:pPr>
        <w:pStyle w:val="Heading2"/>
      </w:pPr>
      <w:r>
        <w:t xml:space="preserve">Research Questions Answered</w:t>
      </w:r>
    </w:p>
    <w:bookmarkStart w:id="15" w:name="X0a692bf78d9f018c8a17c9daa3b94704d29ca02"/>
    <w:p>
      <w:pPr>
        <w:pStyle w:val="Heading3"/>
      </w:pPr>
      <w:r>
        <w:t xml:space="preserve">What Type of Intelligence Yields Meaningful Gains?</w:t>
      </w:r>
    </w:p>
    <w:p>
      <w:pPr>
        <w:pStyle w:val="FirstParagraph"/>
      </w:pPr>
      <w:r>
        <w:rPr>
          <w:i/>
          <w:iCs/>
        </w:rPr>
        <w:t xml:space="preserve">Answer:</w:t>
      </w:r>
      <w:r>
        <w:t xml:space="preserve"> </w:t>
      </w:r>
      <w:r>
        <w:t xml:space="preserve">Level 1 (simple rule-based control) offers an elementary setup that is easily maintained. It operates within 3.7% of what could be achieved with RL, does not require extensive infrastructure and computation, works reliably and predictably and can be implemented and operated relatively easily. Level 2 offers incremental gains (3.7% greater than those provided by Level 1) that may justify added complexity for larger organizations or when renewable utilization is an important objective.</w:t>
      </w:r>
    </w:p>
    <w:bookmarkStart w:id="14" w:name="battery-degradation-concerns"/>
    <w:p>
      <w:pPr>
        <w:pStyle w:val="Heading4"/>
      </w:pPr>
      <w:r>
        <w:t xml:space="preserve">Battery Degradation Concerns</w:t>
      </w:r>
    </w:p>
    <w:p>
      <w:pPr>
        <w:pStyle w:val="FirstParagraph"/>
      </w:pPr>
      <w:r>
        <w:t xml:space="preserve">Users worry about shorter battery life from V2G, empirical degradation data are thin, and warranties may be unclear.</w:t>
      </w:r>
    </w:p>
    <w:p>
      <w:pPr>
        <w:pStyle w:val="BodyText"/>
      </w:pPr>
      <w:r>
        <w:rPr>
          <w:i/>
          <w:iCs/>
        </w:rPr>
        <w:t xml:space="preserve">Mitigation:</w:t>
      </w:r>
      <w:r>
        <w:t xml:space="preserve"> </w:t>
      </w:r>
      <w:r>
        <w:t xml:space="preserve">Offer degradation safeguards or insurance, cap discharge aggressively, and support decisions with measured data.</w:t>
      </w:r>
    </w:p>
    <w:bookmarkEnd w:id="14"/>
    <w:bookmarkEnd w:id="15"/>
    <w:bookmarkStart w:id="16" w:name="subsec:study_limitations"/>
    <w:p>
      <w:pPr>
        <w:pStyle w:val="Heading3"/>
      </w:pPr>
      <w:r>
        <w:t xml:space="preserve">Study Limitations</w:t>
      </w:r>
    </w:p>
    <w:p>
      <w:pPr>
        <w:pStyle w:val="FirstParagraph"/>
      </w:pPr>
      <w:r>
        <w:t xml:space="preserve">The work assumes perfect foresight of solar production and building load; simulates a single day rather than multi-day or seasonal behavior; uses a simplified battery model without aging; fixes deterministic arrival times; treats the fleet as homogeneous; omits individual user preferences; and reflects one climate and building type. Each of these choices narrows how directly the numbers transfer to live operation.</w:t>
      </w:r>
    </w:p>
    <w:bookmarkEnd w:id="16"/>
    <w:bookmarkEnd w:id="17"/>
    <w:bookmarkStart w:id="30" w:name="sec:future_work"/>
    <w:p>
      <w:pPr>
        <w:pStyle w:val="Heading2"/>
      </w:pPr>
      <w:r>
        <w:t xml:space="preserve">Future Research Directions</w:t>
      </w:r>
    </w:p>
    <w:bookmarkStart w:id="20" w:name="subsec:short_term"/>
    <w:p>
      <w:pPr>
        <w:pStyle w:val="Heading3"/>
      </w:pPr>
      <w:r>
        <w:t xml:space="preserve">Short-Term Research Priorities</w:t>
      </w:r>
    </w:p>
    <w:bookmarkStart w:id="18" w:name="uncertainty-quantification"/>
    <w:p>
      <w:pPr>
        <w:pStyle w:val="Heading4"/>
      </w:pPr>
      <w:r>
        <w:t xml:space="preserve">Uncertainty Quantification</w:t>
      </w:r>
    </w:p>
    <w:p>
      <w:pPr>
        <w:pStyle w:val="FirstParagraph"/>
      </w:pPr>
      <w:r>
        <w:t xml:space="preserve">Next steps include stochastic optimization, explicit solar and load forecast errors, robust optimization under uncertainty, and richer scenario planning.</w:t>
      </w:r>
    </w:p>
    <w:p>
      <w:pPr>
        <w:pStyle w:val="BodyText"/>
      </w:pPr>
      <w:r>
        <w:rPr>
          <w:i/>
          <w:iCs/>
        </w:rPr>
        <w:t xml:space="preserve">Expected impact:</w:t>
      </w:r>
      <w:r>
        <w:t xml:space="preserve"> </w:t>
      </w:r>
      <w:r>
        <w:t xml:space="preserve">More realistic performance estimates and policies that remain effective under uncertainty.</w:t>
      </w:r>
    </w:p>
    <w:bookmarkEnd w:id="18"/>
    <w:bookmarkStart w:id="19" w:name="battery-degradation-model"/>
    <w:p>
      <w:pPr>
        <w:pStyle w:val="Heading4"/>
      </w:pPr>
      <w:r>
        <w:t xml:space="preserve">Battery Degradation Model</w:t>
      </w:r>
    </w:p>
    <w:p>
      <w:pPr>
        <w:pStyle w:val="FirstParagraph"/>
      </w:pPr>
      <w:r>
        <w:t xml:space="preserve">In the future, we will incorporate aging into our simulations (capacity loss, increased electrical resistance), assess how Vehicle to Grid affects battery life span, find ways to minimize degradation, and create an expanded economic model including costs associated with replacing batteries.</w:t>
      </w:r>
    </w:p>
    <w:p>
      <w:pPr>
        <w:pStyle w:val="BodyText"/>
      </w:pPr>
      <w:r>
        <w:rPr>
          <w:i/>
          <w:iCs/>
        </w:rPr>
        <w:t xml:space="preserve">Potential impact:</w:t>
      </w:r>
      <w:r>
        <w:t xml:space="preserve"> </w:t>
      </w:r>
      <w:r>
        <w:t xml:space="preserve">Better defined business case for V2G; and degradation-aware control.</w:t>
      </w:r>
    </w:p>
    <w:bookmarkEnd w:id="19"/>
    <w:bookmarkEnd w:id="20"/>
    <w:bookmarkStart w:id="24" w:name="subsec:medium_term"/>
    <w:p>
      <w:pPr>
        <w:pStyle w:val="Heading3"/>
      </w:pPr>
      <w:r>
        <w:t xml:space="preserve">Research Directions — Medium Term</w:t>
      </w:r>
    </w:p>
    <w:bookmarkStart w:id="21" w:name="analysis-of-multi-days-and-seasons"/>
    <w:p>
      <w:pPr>
        <w:pStyle w:val="Heading4"/>
      </w:pPr>
      <w:r>
        <w:t xml:space="preserve">Analysis of Multi-Days and Seasons</w:t>
      </w:r>
    </w:p>
    <w:p>
      <w:pPr>
        <w:pStyle w:val="FirstParagraph"/>
      </w:pPr>
      <w:r>
        <w:t xml:space="preserve">Our simulations need to be able to run for multiple days/weeks/months; capture changes in solar output due to seasonality; simulate daily variations in EV usage; and provide longer term economics.</w:t>
      </w:r>
    </w:p>
    <w:bookmarkEnd w:id="21"/>
    <w:bookmarkStart w:id="22" w:name="management-of-heterogeneous-fleets"/>
    <w:p>
      <w:pPr>
        <w:pStyle w:val="Heading4"/>
      </w:pPr>
      <w:r>
        <w:t xml:space="preserve">Management of Heterogeneous Fleets</w:t>
      </w:r>
    </w:p>
    <w:p>
      <w:pPr>
        <w:pStyle w:val="FirstParagraph"/>
      </w:pPr>
      <w:r>
        <w:t xml:space="preserve">There are still some open questions surrounding managing heterogeneous fleets of vehicles (different capacities, different recharge rates); conflicting objectives of users; fairness in allocating EV charging opportunities; and personalizing objectives among users.</w:t>
      </w:r>
    </w:p>
    <w:bookmarkEnd w:id="22"/>
    <w:bookmarkStart w:id="23" w:name="advanced-forecasting"/>
    <w:p>
      <w:pPr>
        <w:pStyle w:val="Heading4"/>
      </w:pPr>
      <w:r>
        <w:t xml:space="preserve">Advanced Forecasting</w:t>
      </w:r>
    </w:p>
    <w:p>
      <w:pPr>
        <w:pStyle w:val="FirstParagraph"/>
      </w:pPr>
      <w:r>
        <w:t xml:space="preserve">Directions to consider include using machine learning based forecasting of solar radiation from weather information; occupancy-based modeling of building loads; forecasting of arrivals/departures of users; and tighter coupling of weather APIs and building sensors.</w:t>
      </w:r>
    </w:p>
    <w:bookmarkEnd w:id="23"/>
    <w:bookmarkEnd w:id="24"/>
    <w:bookmarkStart w:id="26" w:name="subsec:long_term"/>
    <w:p>
      <w:pPr>
        <w:pStyle w:val="Heading3"/>
      </w:pPr>
      <w:r>
        <w:t xml:space="preserve">Long-Term Research Vision</w:t>
      </w:r>
    </w:p>
    <w:bookmarkStart w:id="25" w:name="advanced-artificial-intelligence-methods"/>
    <w:p>
      <w:pPr>
        <w:pStyle w:val="Heading4"/>
      </w:pPr>
      <w:r>
        <w:t xml:space="preserve">Advanced Artificial Intelligence Methods</w:t>
      </w:r>
    </w:p>
    <w:p>
      <w:pPr>
        <w:pStyle w:val="FirstParagraph"/>
      </w:pPr>
      <w:r>
        <w:t xml:space="preserve">Deep reinforcement learning methods (e.g. A3C, PPO, SAC) are possible candidates for longer time horizons as well as multi-agent reinforcement learning; transferring knowledge across buildings; and federating learning for optimizing while preserving user privacy.</w:t>
      </w:r>
    </w:p>
    <w:bookmarkEnd w:id="25"/>
    <w:bookmarkEnd w:id="26"/>
    <w:bookmarkStart w:id="27" w:name="subsec:emerging_tech"/>
    <w:p>
      <w:pPr>
        <w:pStyle w:val="Heading3"/>
      </w:pPr>
      <w:r>
        <w:t xml:space="preserve">Emerging Technologies</w:t>
      </w:r>
    </w:p>
    <w:bookmarkEnd w:id="27"/>
    <w:bookmarkStart w:id="28" w:name="subsec:environmental"/>
    <w:p>
      <w:pPr>
        <w:pStyle w:val="Heading3"/>
      </w:pPr>
      <w:r>
        <w:t xml:space="preserve">Environmental Impact</w:t>
      </w:r>
    </w:p>
    <w:p>
      <w:pPr>
        <w:pStyle w:val="FirstParagraph"/>
      </w:pPr>
      <w:r>
        <w:t xml:space="preserve">Supporting sustainability through increasing the utilization of renewable resources (and therefore reducing greenhouse gas emissions), enabling the grid to more easily absorb additional renewable sources via providing flexibility to the grid, and maximizing the utilization of current grid assets through flexible operation.</w:t>
      </w:r>
    </w:p>
    <w:bookmarkEnd w:id="28"/>
    <w:bookmarkStart w:id="29" w:name="subsec:social_impact"/>
    <w:p>
      <w:pPr>
        <w:pStyle w:val="Heading3"/>
      </w:pPr>
      <w:r>
        <w:t xml:space="preserve">Social Impact</w:t>
      </w:r>
    </w:p>
    <w:p>
      <w:pPr>
        <w:pStyle w:val="FirstParagraph"/>
      </w:pPr>
      <w:r>
        <w:t xml:space="preserve">Attracting employees through workplace charging; improving access to residents who do not have charging capabilities at their residences; adding distributed flexibility to enhance resilience; and demonstrating practical applications of artificial intelligence in energy management.</w:t>
      </w:r>
    </w:p>
    <w:bookmarkEnd w:id="29"/>
    <w:bookmarkEnd w:id="30"/>
    <w:bookmarkStart w:id="32" w:name="sec:conclusion"/>
    <w:p>
      <w:pPr>
        <w:pStyle w:val="Heading2"/>
      </w:pPr>
      <w:r>
        <w:t xml:space="preserve">Conclusion</w:t>
      </w:r>
    </w:p>
    <w:p>
      <w:pPr>
        <w:pStyle w:val="FirstParagraph"/>
      </w:pPr>
      <w:r>
        <w:t xml:space="preserve">This study demonstrates that smart electric vehicle charging in commercial office buildings provides significant positive economic and environmental impacts. Additionally, reinforcement learning enables cost savings over the base line of approximately</w:t>
      </w:r>
      <w:r>
        <w:t xml:space="preserve"> </w:t>
      </w:r>
      <m:oMath>
        <m:r>
          <m:t>3.7</m:t>
        </m:r>
      </m:oMath>
      <w:r>
        <w:t xml:space="preserve">%. As one would expect, returns decrease with each level. Level-2 is typically the most attractive option regarding cost vs. benefits for a large number of installations. For Level-2, Q-Learning has demonstrated itself to provide a balance of performance, reliability, and computational requirements. At the wholesale price levels considered within this study, V2G produces no additional net-benefit. Therefore, it is reasonable to continue exploring the costs related to supporting infrastructure development and customer acceptance. The integration of solar power into the charging process is important for both the economic viability of the system and its ability to reduce greenhouse gas emissions. Furthermore, smart charging processes maximize the use of solar generated electricity. Lastly, depending upon a variety of factors such as fleet size, tariff structures, local utility limitations, and organizational objectives the optimal amount of intelligence required may vary greatly.</w:t>
      </w:r>
    </w:p>
    <w:bookmarkStart w:id="31" w:name="closing-statement."/>
    <w:p>
      <w:pPr>
        <w:pStyle w:val="Heading3"/>
      </w:pPr>
      <w:r>
        <w:t xml:space="preserve">Closing Statement.</w:t>
      </w:r>
      <w:r>
        <w:t xml:space="preserve"> </w:t>
      </w:r>
    </w:p>
    <w:p>
      <w:pPr>
        <w:pStyle w:val="FirstParagraph"/>
      </w:pPr>
      <w:r>
        <w:t xml:space="preserve">As electric vehicle penetration increases and renewable resource capacity expands, smart charging will become increasingly important in the transition to a more sustainable energy system. Commercial offices offer an ideal setting for testing smart charging technologies because there is regular occupancy and often a source of renewable energy available (rooftop photovoltaic panels). This thesis demonstrates that coordination between EV charging and building load/PV generation can produce substantial economic benefits as well as environmental reductions.</w:t>
      </w:r>
    </w:p>
    <w:p>
      <w:pPr>
        <w:pStyle w:val="BodyText"/>
      </w:pPr>
      <w:r>
        <w:t xml:space="preserve">Additional research, field trials, and policy support will likely be necessary before these concepts mature to the point where they can be implemented widely. However, technical feasibility and economic attractiveness for smart office charging have been established. The remaining question is when and how these systems will grow.</w:t>
      </w:r>
    </w:p>
    <w:bookmarkEnd w:id="31"/>
    <w:bookmarkEnd w:id="32"/>
    <w:bookmarkEnd w:id="3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2026-03-31T12:50:15Z</dcterms:created>
  <dcterms:modified xsi:type="dcterms:W3CDTF">2026-03-31T12:50:15Z</dcterms:modified>
</cp:coreProperties>
</file>

<file path=docProps/custom.xml><?xml version="1.0" encoding="utf-8"?>
<Properties xmlns="http://schemas.openxmlformats.org/officeDocument/2006/custom-properties" xmlns:vt="http://schemas.openxmlformats.org/officeDocument/2006/docPropsVTypes"/>
</file>