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pp:data"/>
    <w:p>
      <w:pPr>
        <w:pStyle w:val="Heading1"/>
      </w:pPr>
      <w:r>
        <w:t xml:space="preserve">Data Tables and Additional Results</w:t>
      </w:r>
    </w:p>
    <w:p>
      <w:pPr>
        <w:pStyle w:val="FirstParagraph"/>
      </w:pPr>
      <w:r>
        <w:t xml:space="preserve">This appendix provides detailed data tables and additional results that support the analysis in Chapter 4.</w:t>
      </w:r>
    </w:p>
    <w:bookmarkStart w:id="13" w:name="app:config_params"/>
    <w:p>
      <w:pPr>
        <w:pStyle w:val="Heading2"/>
      </w:pPr>
      <w:r>
        <w:t xml:space="preserve">Configuration Parameters</w:t>
      </w:r>
    </w:p>
    <w:bookmarkStart w:id="10" w:name="complete-building-parameters"/>
    <w:p>
      <w:pPr>
        <w:pStyle w:val="Heading3"/>
      </w:pPr>
      <w:r>
        <w:t xml:space="preserve">Complete Building Parameters</w:t>
      </w:r>
    </w:p>
    <w:bookmarkStart w:id="9" w:name="tab:app_building_params"/>
    <w:p>
      <w:pPr>
        <w:pStyle w:val="TableCaption"/>
      </w:pPr>
      <w:r>
        <w:t xml:space="preserve">Complete building configuration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e building configuration paramet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Solar PV System (JA Solar DeepBlue 3.0 Pro </w:t>
            </w:r>
            <w:r>
              <w:rPr>
                <w:i/>
                <w:iCs/>
              </w:rPr>
              <w:t xml:space="preserve">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JAM54S31-405/MR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rated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efficiency (STC)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 PERC half-cut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1134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panel area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 150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efficiency (sim.)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solar irradiance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power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Building Battery (BYD Battery-Box Premium HVM </w:t>
            </w:r>
            <w:r>
              <w:rPr>
                <w:i/>
                <w:iCs/>
              </w:rPr>
              <w:t xml:space="preserve">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LiFePO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t xml:space="preserve">(LFP)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HVM 19.3 (7 modules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capacity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 80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 efficiency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 96 (certified HTW Berlin)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of discharge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charge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discharge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Energy Profiles: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Consumption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office_single_building_timeseries.csv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Irradiance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irradiance_pvgis.csv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12,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"/>
    <w:bookmarkEnd w:id="10"/>
    <w:bookmarkStart w:id="12" w:name="complete-ev-fleet-parameters"/>
    <w:p>
      <w:pPr>
        <w:pStyle w:val="Heading3"/>
      </w:pPr>
      <w:r>
        <w:t xml:space="preserve">Complete EV Fleet Parameters</w:t>
      </w:r>
    </w:p>
    <w:bookmarkStart w:id="11" w:name="tab:app_ev_params"/>
    <w:p>
      <w:pPr>
        <w:pStyle w:val="TableCaption"/>
      </w:pPr>
      <w:r>
        <w:t xml:space="preserve">Complete EV fleet configuration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e EV fleet configuration paramet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capacity (per 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SoC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Desired SoC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6:00-9:00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Departure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16:00-24:00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 PM - midnight)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charge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discharge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per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kWh/km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of discharge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bookmarkEnd w:id="11"/>
    <w:bookmarkEnd w:id="12"/>
    <w:bookmarkEnd w:id="13"/>
    <w:bookmarkStart w:id="18" w:name="app:hourly_data"/>
    <w:p>
      <w:pPr>
        <w:pStyle w:val="Heading2"/>
      </w:pPr>
      <w:r>
        <w:t xml:space="preserve">Hourly Data Tables</w:t>
      </w:r>
    </w:p>
    <w:bookmarkStart w:id="15" w:name="electricity-price-profile"/>
    <w:p>
      <w:pPr>
        <w:pStyle w:val="Heading3"/>
      </w:pPr>
      <w:r>
        <w:t xml:space="preserve">Electricity Price Profile</w:t>
      </w:r>
    </w:p>
    <w:p>
      <w:pPr>
        <w:pStyle w:val="FirstParagraph"/>
      </w:pPr>
      <w:r>
        <w:t xml:space="preserve">Table </w:t>
      </w:r>
      <w:hyperlink w:anchor="tab:app_prices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presents the complete hourly day-ahead electricity prices for the French bidding zone on March 12, 2018, as retrieved from the ENTSO-E Transparency Platform </w:t>
      </w:r>
      <w:r>
        <w:t xml:space="preserve"> </w:t>
      </w:r>
      <w:r>
        <w:t xml:space="preserve">and cross-validated via the Fraunhofer ISE Energy-Charts API </w:t>
      </w:r>
      <w:r>
        <w:t xml:space="preserve">. Sell-back prices for the V2G scenario are set at 80% of the purchase price.</w:t>
      </w:r>
    </w:p>
    <w:bookmarkStart w:id="14" w:name="tab:app_prices"/>
    <w:p>
      <w:pPr>
        <w:pStyle w:val="TableCaption"/>
      </w:pPr>
      <w:r>
        <w:t xml:space="preserve">Hourly day-ahead electricity prices — France (EPEX SPOT), March 12, 2018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urly day-ahead electricity prices — France (EPEX SPOT), March 12, 2018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EUR/MWh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Purchase (€/kWh)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Sell (€/kWh)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Spread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05:00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0.0387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80%</w:t>
            </w:r>
          </w:p>
        </w:tc>
      </w:tr>
    </w:tbl>
    <w:bookmarkEnd w:id="14"/>
    <w:bookmarkEnd w:id="15"/>
    <w:bookmarkStart w:id="17" w:name="building-energy-profile"/>
    <w:p>
      <w:pPr>
        <w:pStyle w:val="Heading3"/>
      </w:pPr>
      <w:r>
        <w:t xml:space="preserve">Building Energy Profile</w:t>
      </w:r>
    </w:p>
    <w:bookmarkStart w:id="16" w:name="tab:app_building_energy"/>
    <w:p>
      <w:pPr>
        <w:pStyle w:val="TableCaption"/>
      </w:pPr>
      <w:r>
        <w:t xml:space="preserve">Hourly building consumption and solar production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urly building consumption and solar producti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Consumption (kW)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Solar Production (kW)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Net Demand (kW)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05:00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5.53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6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Negative net demand indicates surplus solar energy available for EV charging.</w:t>
      </w:r>
    </w:p>
    <w:bookmarkEnd w:id="17"/>
    <w:bookmarkEnd w:id="18"/>
    <w:bookmarkStart w:id="21" w:name="app:ev_trajectories"/>
    <w:p>
      <w:pPr>
        <w:pStyle w:val="Heading2"/>
      </w:pPr>
      <w:r>
        <w:t xml:space="preserve">Individual EV Trajectories</w:t>
      </w:r>
    </w:p>
    <w:bookmarkStart w:id="20" w:name="ev-state-of-charge-evolution"/>
    <w:p>
      <w:pPr>
        <w:pStyle w:val="Heading3"/>
      </w:pPr>
      <w:r>
        <w:t xml:space="preserve">EV State of Charge Evolution</w:t>
      </w:r>
    </w:p>
    <w:bookmarkStart w:id="19" w:name="tab:app_ev_soc"/>
    <w:p>
      <w:pPr>
        <w:pStyle w:val="TableCaption"/>
      </w:pPr>
      <w:r>
        <w:t xml:space="preserve">Individual EV SoC trajectories (RL method, charge-only)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vidual EV SoC trajectories (RL method, charge-only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Hour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EV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EV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EV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EV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07:00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76%</w:t>
            </w:r>
          </w:p>
        </w:tc>
      </w:tr>
    </w:tbl>
    <w:bookmarkEnd w:id="19"/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2026-03-31T12:50:15Z</dcterms:created>
  <dcterms:modified xsi:type="dcterms:W3CDTF">2026-03-31T12:50:15Z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