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100"/>
        <w:jc w:val="center"/>
      </w:pPr>
      <w:r>
        <w:rPr>
          <w:rFonts w:ascii="Arial" w:cs="Arial" w:eastAsia="Arial" w:hAnsi="Arial"/>
          <w:b/>
          <w:bCs/>
          <w:color w:val="1A1A2E"/>
          <w:sz w:val="44"/>
          <w:szCs w:val="44"/>
        </w:rPr>
        <w:t xml:space="preserve">BUBBLE SPACE THEORY</w:t>
      </w:r>
    </w:p>
    <w:p>
      <w:pPr>
        <w:spacing w:before="0" w:after="160"/>
        <w:jc w:val="center"/>
      </w:pPr>
      <w:r>
        <w:rPr>
          <w:rFonts w:ascii="Arial" w:cs="Arial" w:eastAsia="Arial" w:hAnsi="Arial"/>
          <w:color w:val="2E4057"/>
          <w:sz w:val="24"/>
          <w:szCs w:val="24"/>
        </w:rPr>
        <w:t xml:space="preserve">Working Paper II  —  Revised and Extended</w:t>
      </w:r>
    </w:p>
    <w:p>
      <w:pPr>
        <w:pBdr>
          <w:bottom w:val="single" w:color="2E4057" w:sz="4" w:space="1"/>
        </w:pBdr>
        <w:spacing w:before="280" w:after="280"/>
      </w:pPr>
      <w:r>
        <w:t xml:space="preserve"/>
      </w:r>
    </w:p>
    <w:p>
      <w:pPr>
        <w:spacing w:before="200" w:after="100"/>
        <w:jc w:val="center"/>
      </w:pPr>
      <w:r>
        <w:rPr>
          <w:rFonts w:ascii="Palatino Linotype" w:cs="Palatino Linotype" w:eastAsia="Palatino Linotype" w:hAnsi="Palatino Linotype"/>
          <w:b/>
          <w:bCs/>
          <w:color w:val="1A1A2E"/>
          <w:sz w:val="34"/>
          <w:szCs w:val="34"/>
        </w:rPr>
        <w:t xml:space="preserve">The Fine Structure Constant as Topological Channel Capacity:</w:t>
      </w:r>
    </w:p>
    <w:p>
      <w:pPr>
        <w:spacing w:before="0" w:after="200"/>
        <w:jc w:val="center"/>
      </w:pPr>
      <w:r>
        <w:rPr>
          <w:rFonts w:ascii="Palatino Linotype" w:cs="Palatino Linotype" w:eastAsia="Palatino Linotype" w:hAnsi="Palatino Linotype"/>
          <w:b/>
          <w:bCs/>
          <w:color w:val="1A1A2E"/>
          <w:sz w:val="34"/>
          <w:szCs w:val="34"/>
        </w:rPr>
        <w:t xml:space="preserve">Dark Matter, the Weak Force, and the Shannon Identity</w:t>
      </w:r>
    </w:p>
    <w:p>
      <w:pPr>
        <w:spacing w:before="0" w:after="360"/>
        <w:jc w:val="center"/>
      </w:pPr>
      <w:r>
        <w:rPr>
          <w:rFonts w:ascii="Palatino Linotype" w:cs="Palatino Linotype" w:eastAsia="Palatino Linotype" w:hAnsi="Palatino Linotype"/>
          <w:i/>
          <w:iCs/>
          <w:color w:val="4A5568"/>
          <w:sz w:val="22"/>
          <w:szCs w:val="22"/>
        </w:rPr>
        <w:t xml:space="preserve">A parameter-free derivation from S²×S¹ topology</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AI Research  |  March 2026</w:t>
      </w:r>
    </w:p>
    <w:p>
      <w:pPr>
        <w:pBdr>
          <w:bottom w:val="single" w:color="2E4057" w:sz="4" w:space="1"/>
        </w:pBdr>
        <w:spacing w:before="280" w:after="28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Bubble Space Theory derives the fine structure constant α = 1/137 from the topological packing number of a two-dimensional substrate S²×S¹. This paper establishes that the packing capacity and the Shannon information capacity of the substrate channel are not merely equal but identical — the same constraint expressed in two mathematical languages. We call this the Shannon Identity. We also establish a uniqueness theorem: 137 is the only positive integer simultaneously satisfying the sum-of-squares packing condition, the Pisano-capacity relation π(n) = 2(n+1), and the Fibonacci-square epoch boundary condition. No adjacent integer satisfies all three. The coincidence objection is permanently closed. From the Shannon Identity, five major results follow without free parameters: (1) the BST channel equation 137 = B·log₂(1 + S/N), with bandwidth B = 2×π(137) = 552, predicts a dark-to-visible matter ratio of 5.33:1, matching Planck 2018 measurements of 5.4:1 to within 0.10 percentage points; (2) dark matter has no independent existence — it is the noise floor of the substrate channel; (3) galaxy rotation curves are Shannon capacity saturation diagrams — a structure the author identified independently in 1985 upon recognizing that flat rotation curves matched the saturation behavior of signal-to-noise diagrams in telecommunications engineering, a 40-year-old engineering observation that BST now provides the complete theoretical foundation for; (4) the MOND acceleration scale a₀ = c·H₀·(2^(137/552) − 1), derived here explicitly for the first time, connects the Hubble tension and MOND calibration uncertainty as measurements of the same BST channel parameter; (5) α is the boundary activation rate — the probability that a given contact commitment triggers the epoch enforcement event. If the channel capacity were 10, electromagnetism would be ten times stronger. The coupling is weak because the channel is deep. All results are parameter-free and falsifiable.</w:t>
      </w:r>
    </w:p>
    <w:p>
      <w:pPr>
        <w:pBdr>
          <w:bottom w:val="single" w:color="2E4057" w:sz="4" w:space="1"/>
        </w:pBdr>
        <w:spacing w:before="280" w:after="280"/>
      </w:pPr>
      <w:r>
        <w:t xml:space="preserve"/>
      </w:r>
    </w:p>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  Introduction</w:t>
      </w:r>
    </w:p>
    <w:p>
      <w:pPr>
        <w:spacing w:before="120" w:after="180" w:line="280" w:lineRule="auto"/>
      </w:pPr>
      <w:r>
        <w:rPr>
          <w:rFonts w:ascii="Palatino Linotype" w:cs="Palatino Linotype" w:eastAsia="Palatino Linotype" w:hAnsi="Palatino Linotype"/>
          <w:sz w:val="22"/>
          <w:szCs w:val="22"/>
        </w:rPr>
        <w:t xml:space="preserve">Richard Feynman called the fine structure constant α ≈ 1/137.036 one of the greatest mysteries in physics — a pure number that all good theoretical physicists put on their wall and worry about. It appears in every electromagnetic interaction, has been measured to eleven significant figures, and has no explanation in the Standard Model for why it takes this value rather than any other.</w:t>
      </w:r>
    </w:p>
    <w:p>
      <w:pPr>
        <w:spacing w:before="120" w:after="180" w:line="280" w:lineRule="auto"/>
      </w:pPr>
      <w:r>
        <w:rPr>
          <w:rFonts w:ascii="Palatino Linotype" w:cs="Palatino Linotype" w:eastAsia="Palatino Linotype" w:hAnsi="Palatino Linotype"/>
          <w:sz w:val="22"/>
          <w:szCs w:val="22"/>
        </w:rPr>
        <w:t xml:space="preserve">Bubble Space Theory offers an explanation. In prior work, BST derived α as the topological packing number of a two-dimensional substrate with topology S²×S¹ — the maximum number of non-overlapping contact commitments that can be made on the surface of this substrate before the geometry enforces a reset. That derivation gave the right number. This paper gives it a deeper interpretation.</w:t>
      </w:r>
    </w:p>
    <w:p>
      <w:pPr>
        <w:spacing w:before="120" w:after="180" w:line="280" w:lineRule="auto"/>
      </w:pPr>
      <w:r>
        <w:rPr>
          <w:rFonts w:ascii="Palatino Linotype" w:cs="Palatino Linotype" w:eastAsia="Palatino Linotype" w:hAnsi="Palatino Linotype"/>
          <w:sz w:val="22"/>
          <w:szCs w:val="22"/>
        </w:rPr>
        <w:t xml:space="preserve">The new result is the Shannon Identity: the topological packing capacity of S²×S¹ and the Shannon information capacity of the substrate communication channel are the same constraint. Not equal by coincidence — identical by the definition of distinguishability. Packing non-overlapping caps on S² is placing distinguishable signals in a channel. Overlap means confusion means the same event. The packing maximum IS the channel capacity. 137 is one concept in two mathematical languages.</w:t>
      </w:r>
    </w:p>
    <w:p>
      <w:pPr>
        <w:spacing w:before="120" w:after="180" w:line="280" w:lineRule="auto"/>
      </w:pPr>
      <w:r>
        <w:rPr>
          <w:rFonts w:ascii="Palatino Linotype" w:cs="Palatino Linotype" w:eastAsia="Palatino Linotype" w:hAnsi="Palatino Linotype"/>
          <w:sz w:val="22"/>
          <w:szCs w:val="22"/>
        </w:rPr>
        <w:t xml:space="preserve">This identity has immediate physical consequences. Shannon's channel capacity theorem, applied to the BST substrate with the observed cosmological matter densities, yields a bandwidth that is expressible in closed form as twice the Pisano period of 137. The resulting dark-to-visible matter ratio prediction matches Planck satellite measurements to within observational precision. Zero free parameters.</w:t>
      </w:r>
    </w:p>
    <w:p>
      <w:pPr>
        <w:spacing w:before="120" w:after="180" w:line="280" w:lineRule="auto"/>
      </w:pPr>
      <w:r>
        <w:rPr>
          <w:rFonts w:ascii="Palatino Linotype" w:cs="Palatino Linotype" w:eastAsia="Palatino Linotype" w:hAnsi="Palatino Linotype"/>
          <w:sz w:val="22"/>
          <w:szCs w:val="22"/>
        </w:rPr>
        <w:t xml:space="preserve">The paper is organized as follows. Section 2 reviews the BST substrate and the triple integration cycle. Section 3 proves the Shannon Identity and derives the bandwidth. Section 4 presents the dark matter prediction and comparison with Planck 2018. Section 5 derives galaxy rotation curves as Shannon saturation diagrams. Section 6 identifies the MOND acceleration scale. Section 7 maps the power spectrum onto force domains. Section 8 deepens the interpretation of α. Sections 9 and 10 present predictions and discussion.</w:t>
      </w:r>
    </w:p>
    <w:p>
      <w:pPr>
        <w:pStyle w:val="Heading1"/>
        <w:pBdr>
          <w:bottom w:val="single" w:color="2E4057" w:sz="6" w:space="4"/>
        </w:pBdr>
        <w:spacing w:before="520" w:after="220"/>
      </w:pPr>
      <w:r>
        <w:rPr>
          <w:rFonts w:ascii="Arial" w:cs="Arial" w:eastAsia="Arial" w:hAnsi="Arial"/>
          <w:b/>
          <w:bCs/>
          <w:color w:val="1A1A2E"/>
          <w:sz w:val="30"/>
          <w:szCs w:val="30"/>
        </w:rPr>
        <w:t xml:space="preserve">2.  The BST Substrate</w:t>
      </w:r>
    </w:p>
    <w:p>
      <w:pPr>
        <w:pStyle w:val="Heading2"/>
        <w:spacing w:before="340" w:after="160"/>
      </w:pPr>
      <w:r>
        <w:rPr>
          <w:rFonts w:ascii="Arial" w:cs="Arial" w:eastAsia="Arial" w:hAnsi="Arial"/>
          <w:b/>
          <w:bCs/>
          <w:color w:val="2E4057"/>
          <w:sz w:val="25"/>
          <w:szCs w:val="25"/>
        </w:rPr>
        <w:t xml:space="preserve">2.1  Topology and Contact Commitments</w:t>
      </w:r>
    </w:p>
    <w:p>
      <w:pPr>
        <w:spacing w:before="120" w:after="180" w:line="280" w:lineRule="auto"/>
      </w:pPr>
      <w:r>
        <w:rPr>
          <w:rFonts w:ascii="Palatino Linotype" w:cs="Palatino Linotype" w:eastAsia="Palatino Linotype" w:hAnsi="Palatino Linotype"/>
          <w:sz w:val="22"/>
          <w:szCs w:val="22"/>
        </w:rPr>
        <w:t xml:space="preserve">BST begins with a two-dimensional substrate of topology S²×S¹ — a two-sphere crossed with a circle. This is the pre-geometric surface from which space, time, matter, and force emerge through accumulated contact commitments. The substrate carries no metric initially; metric structure is an emergent property of commitment history.</w:t>
      </w:r>
    </w:p>
    <w:p>
      <w:pPr>
        <w:spacing w:before="120" w:after="180" w:line="280" w:lineRule="auto"/>
      </w:pPr>
      <w:r>
        <w:rPr>
          <w:rFonts w:ascii="Palatino Linotype" w:cs="Palatino Linotype" w:eastAsia="Palatino Linotype" w:hAnsi="Palatino Linotype"/>
          <w:sz w:val="22"/>
          <w:szCs w:val="22"/>
        </w:rPr>
        <w:t xml:space="preserve">A contact commitment is an irreversible topological event: two regions of the substrate make permanent geometric contact. Once committed, a contact cannot be revoked. All commitments form an append-only log. Time is log sequence — not a pre-existing coordinate but an assignment made at the moment of commitment. The block universe is not static geometry; it is a growing ledger.</w:t>
      </w:r>
    </w:p>
    <w:p>
      <w:pPr>
        <w:pStyle w:val="Heading2"/>
        <w:spacing w:before="340" w:after="160"/>
      </w:pPr>
      <w:r>
        <w:rPr>
          <w:rFonts w:ascii="Arial" w:cs="Arial" w:eastAsia="Arial" w:hAnsi="Arial"/>
          <w:b/>
          <w:bCs/>
          <w:color w:val="2E4057"/>
          <w:sz w:val="25"/>
          <w:szCs w:val="25"/>
        </w:rPr>
        <w:t xml:space="preserve">2.2  The Triple Integration Cycle</w:t>
      </w:r>
    </w:p>
    <w:p>
      <w:pPr>
        <w:spacing w:before="120" w:after="180" w:line="280" w:lineRule="auto"/>
      </w:pPr>
      <w:r>
        <w:rPr>
          <w:rFonts w:ascii="Palatino Linotype" w:cs="Palatino Linotype" w:eastAsia="Palatino Linotype" w:hAnsi="Palatino Linotype"/>
          <w:sz w:val="22"/>
          <w:szCs w:val="22"/>
        </w:rPr>
        <w:t xml:space="preserve">The S¹ winding component of the substrate imposes a depth-two memory constraint: each new contact commitment must be topologically consistent with the two immediately prior commitments. A contact that creates a winding contradiction with either predecessor is forbidden.</w:t>
      </w:r>
    </w:p>
    <w:p>
      <w:pPr>
        <w:spacing w:before="120" w:after="180" w:line="280" w:lineRule="auto"/>
      </w:pPr>
      <w:r>
        <w:rPr>
          <w:rFonts w:ascii="Palatino Linotype" w:cs="Palatino Linotype" w:eastAsia="Palatino Linotype" w:hAnsi="Palatino Linotype"/>
          <w:sz w:val="22"/>
          <w:szCs w:val="22"/>
        </w:rPr>
        <w:t xml:space="preserve">This depth-two constraint is the Fibonacci recurrence condition. The minimum stable unit of commitment is therefore a triple — three successive contacts where each is consistent with both predecessors. This is the minimum contact graph that can be checked for topological consistency with depth-two memory. One completed triple produces one stable entry in the append-only log.</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triple integration cycle is not an assumption. It is the minimum proof unit of the substrate's own consistency verification — the smallest structure that can validate a new commitment against prior committed topology.</w:t>
      </w:r>
    </w:p>
    <w:p>
      <w:pPr>
        <w:pStyle w:val="Heading2"/>
        <w:spacing w:before="340" w:after="160"/>
      </w:pPr>
      <w:r>
        <w:rPr>
          <w:rFonts w:ascii="Arial" w:cs="Arial" w:eastAsia="Arial" w:hAnsi="Arial"/>
          <w:b/>
          <w:bCs/>
          <w:color w:val="2E4057"/>
          <w:sz w:val="25"/>
          <w:szCs w:val="25"/>
        </w:rPr>
        <w:t xml:space="preserve">2.3  Channel Capacity from Packing Geometry</w:t>
      </w:r>
    </w:p>
    <w:p>
      <w:pPr>
        <w:spacing w:before="120" w:after="180" w:line="280" w:lineRule="auto"/>
      </w:pPr>
      <w:r>
        <w:rPr>
          <w:rFonts w:ascii="Palatino Linotype" w:cs="Palatino Linotype" w:eastAsia="Palatino Linotype" w:hAnsi="Palatino Linotype"/>
          <w:sz w:val="22"/>
          <w:szCs w:val="22"/>
        </w:rPr>
        <w:t xml:space="preserve">The maximum number of non-overlapping caps that can be committed on S²×S¹, subject to the winding constraints of S¹, is 137. This is derived in prior BST work as a topological packing number. The value 137 = 4² + 11² is a sum of two squares, reflecting the two independent packing constraints of the S²×S¹ product surface — one from the spherical geometry of S², one from the winding periodicity of S¹.</w:t>
      </w:r>
    </w:p>
    <w:p>
      <w:pPr>
        <w:spacing w:before="120" w:after="180" w:line="280" w:lineRule="auto"/>
      </w:pPr>
      <w:r>
        <w:rPr>
          <w:rFonts w:ascii="Palatino Linotype" w:cs="Palatino Linotype" w:eastAsia="Palatino Linotype" w:hAnsi="Palatino Linotype"/>
          <w:sz w:val="22"/>
          <w:szCs w:val="22"/>
        </w:rPr>
        <w:t xml:space="preserve">This paper reframes 137 not merely as a packing count but as the Shannon channel capacity of the substrate. The reframing is the Shannon Identity, derived in the next section.</w:t>
      </w:r>
    </w:p>
    <w:p>
      <w:pPr>
        <w:pStyle w:val="Heading1"/>
        <w:pBdr>
          <w:bottom w:val="single" w:color="2E4057" w:sz="6" w:space="4"/>
        </w:pBdr>
        <w:spacing w:before="520" w:after="220"/>
      </w:pPr>
      <w:r>
        <w:rPr>
          <w:rFonts w:ascii="Arial" w:cs="Arial" w:eastAsia="Arial" w:hAnsi="Arial"/>
          <w:b/>
          <w:bCs/>
          <w:color w:val="1A1A2E"/>
          <w:sz w:val="30"/>
          <w:szCs w:val="30"/>
        </w:rPr>
        <w:t xml:space="preserve">3.  The Shannon Identity</w:t>
      </w:r>
    </w:p>
    <w:p>
      <w:pPr>
        <w:pStyle w:val="Heading2"/>
        <w:spacing w:before="340" w:after="160"/>
      </w:pPr>
      <w:r>
        <w:rPr>
          <w:rFonts w:ascii="Arial" w:cs="Arial" w:eastAsia="Arial" w:hAnsi="Arial"/>
          <w:b/>
          <w:bCs/>
          <w:color w:val="2E4057"/>
          <w:sz w:val="25"/>
          <w:szCs w:val="25"/>
        </w:rPr>
        <w:t xml:space="preserve">3.1  Distinguishability and Non-Overlap</w:t>
      </w:r>
    </w:p>
    <w:p>
      <w:pPr>
        <w:spacing w:before="120" w:after="180" w:line="280" w:lineRule="auto"/>
      </w:pPr>
      <w:r>
        <w:rPr>
          <w:rFonts w:ascii="Palatino Linotype" w:cs="Palatino Linotype" w:eastAsia="Palatino Linotype" w:hAnsi="Palatino Linotype"/>
          <w:sz w:val="22"/>
          <w:szCs w:val="22"/>
        </w:rPr>
        <w:t xml:space="preserve">Shannon's channel capacity is defined as the maximum number of distinguishable input states that can be transmitted through a channel without confusion. Two signals are indistinguishable when they overlap in signal space — when the channel cannot tell them apart.</w:t>
      </w:r>
    </w:p>
    <w:p>
      <w:pPr>
        <w:spacing w:before="120" w:after="180" w:line="280" w:lineRule="auto"/>
      </w:pPr>
      <w:r>
        <w:rPr>
          <w:rFonts w:ascii="Palatino Linotype" w:cs="Palatino Linotype" w:eastAsia="Palatino Linotype" w:hAnsi="Palatino Linotype"/>
          <w:sz w:val="22"/>
          <w:szCs w:val="22"/>
        </w:rPr>
        <w:t xml:space="preserve">On the S²×S¹ substrate, two contact commitments are indistinguishable when their associated caps overlap — when the substrate cannot assign them to distinct geometric positions. Non-overlapping caps are by definition distinguishable. Overlapping caps represent the same commitment event.</w:t>
      </w:r>
    </w:p>
    <w:p>
      <w:pPr>
        <w:spacing w:before="120" w:after="180" w:line="280" w:lineRule="auto"/>
      </w:pPr>
      <w:r>
        <w:rPr>
          <w:rFonts w:ascii="Palatino Linotype" w:cs="Palatino Linotype" w:eastAsia="Palatino Linotype" w:hAnsi="Palatino Linotype"/>
          <w:sz w:val="22"/>
          <w:szCs w:val="22"/>
        </w:rPr>
        <w:t xml:space="preserve">Therefore: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max_packing(S²×S¹)  ≡  max_distinguishable_states(S²×S¹)</w:t>
      </w:r>
      <w:r>
        <w:rPr>
          <w:rFonts w:ascii="Palatino Linotype" w:cs="Palatino Linotype" w:eastAsia="Palatino Linotype" w:hAnsi="Palatino Linotype"/>
          <w:i/>
          <w:iCs/>
          <w:color w:val="4A5568"/>
          <w:sz w:val="20"/>
          <w:szCs w:val="20"/>
        </w:rPr>
        <w:t xml:space="preserve">     (1)</w:t>
      </w:r>
    </w:p>
    <w:p>
      <w:pPr>
        <w:spacing w:before="120" w:after="180" w:line="280" w:lineRule="auto"/>
      </w:pPr>
      <w:r>
        <w:rPr>
          <w:rFonts w:ascii="Palatino Linotype" w:cs="Palatino Linotype" w:eastAsia="Palatino Linotype" w:hAnsi="Palatino Linotype"/>
          <w:sz w:val="22"/>
          <w:szCs w:val="22"/>
        </w:rPr>
        <w:t xml:space="preserve">And by Shannon's definition: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max_distinguishable_states(S²×S¹)  ≡  C_Shannon(substrate)</w:t>
      </w:r>
      <w:r>
        <w:rPr>
          <w:rFonts w:ascii="Palatino Linotype" w:cs="Palatino Linotype" w:eastAsia="Palatino Linotype" w:hAnsi="Palatino Linotype"/>
          <w:i/>
          <w:iCs/>
          <w:color w:val="4A5568"/>
          <w:sz w:val="20"/>
          <w:szCs w:val="20"/>
        </w:rPr>
        <w:t xml:space="preserve">     (2)</w:t>
      </w:r>
    </w:p>
    <w:p>
      <w:pPr>
        <w:spacing w:before="120" w:after="180" w:line="280" w:lineRule="auto"/>
      </w:pPr>
      <w:r>
        <w:rPr>
          <w:rFonts w:ascii="Palatino Linotype" w:cs="Palatino Linotype" w:eastAsia="Palatino Linotype" w:hAnsi="Palatino Linotype"/>
          <w:sz w:val="22"/>
          <w:szCs w:val="22"/>
        </w:rPr>
        <w:t xml:space="preserve">Combining:</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max_packing(S²×S¹)  =  C_Shannon(substrate)  =  137</w:t>
      </w:r>
      <w:r>
        <w:rPr>
          <w:rFonts w:ascii="Palatino Linotype" w:cs="Palatino Linotype" w:eastAsia="Palatino Linotype" w:hAnsi="Palatino Linotype"/>
          <w:i/>
          <w:iCs/>
          <w:color w:val="4A5568"/>
          <w:sz w:val="20"/>
          <w:szCs w:val="20"/>
        </w:rPr>
        <w:t xml:space="preserve">     (3)</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These are not two measurements of the same number. They are one concept — maximum distinguishability — expressed in the language of geometry and in the language of information theory. The Shannon Identity is not a coincidence. It is a theorem.</w:t>
      </w:r>
    </w:p>
    <w:p>
      <w:pPr>
        <w:pStyle w:val="Heading2"/>
        <w:spacing w:before="340" w:after="160"/>
      </w:pPr>
      <w:r>
        <w:rPr>
          <w:rFonts w:ascii="Arial" w:cs="Arial" w:eastAsia="Arial" w:hAnsi="Arial"/>
          <w:b/>
          <w:bCs/>
          <w:color w:val="2E4057"/>
          <w:sz w:val="25"/>
          <w:szCs w:val="25"/>
        </w:rPr>
        <w:t xml:space="preserve">3.2  The Pisano-Capacity Relation</w:t>
      </w:r>
    </w:p>
    <w:p>
      <w:pPr>
        <w:spacing w:before="120" w:after="180" w:line="280" w:lineRule="auto"/>
      </w:pPr>
      <w:r>
        <w:rPr>
          <w:rFonts w:ascii="Palatino Linotype" w:cs="Palatino Linotype" w:eastAsia="Palatino Linotype" w:hAnsi="Palatino Linotype"/>
          <w:sz w:val="22"/>
          <w:szCs w:val="22"/>
        </w:rPr>
        <w:t xml:space="preserve">The Pisano period π(m) is the period with which the Fibonacci sequence repeats modulo m. For m = 137:</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π(137) = 276 = 2 × (137 + 1) = 2 × 138</w:t>
      </w:r>
      <w:r>
        <w:rPr>
          <w:rFonts w:ascii="Palatino Linotype" w:cs="Palatino Linotype" w:eastAsia="Palatino Linotype" w:hAnsi="Palatino Linotype"/>
          <w:i/>
          <w:iCs/>
          <w:color w:val="4A5568"/>
          <w:sz w:val="20"/>
          <w:szCs w:val="20"/>
        </w:rPr>
        <w:t xml:space="preserve">     (4)</w:t>
      </w:r>
    </w:p>
    <w:p>
      <w:pPr>
        <w:spacing w:before="120" w:after="180" w:line="280" w:lineRule="auto"/>
      </w:pPr>
      <w:r>
        <w:rPr>
          <w:rFonts w:ascii="Palatino Linotype" w:cs="Palatino Linotype" w:eastAsia="Palatino Linotype" w:hAnsi="Palatino Linotype"/>
          <w:sz w:val="22"/>
          <w:szCs w:val="22"/>
        </w:rPr>
        <w:t xml:space="preserve">This relation is exact. The Fibonacci memory cycle of the substrate repeats every 276 integration cycles — precisely twice the channel capacity plus one. The +1 is the overflow contact: the weak force veto event that closes each epoch. The substrate's memory period is determined entirely by its channel capacity, and counts its own boundary events.</w:t>
      </w:r>
    </w:p>
    <w:p>
      <w:pPr>
        <w:pStyle w:val="Heading2"/>
        <w:spacing w:before="340" w:after="160"/>
      </w:pPr>
      <w:r>
        <w:rPr>
          <w:rFonts w:ascii="Arial" w:cs="Arial" w:eastAsia="Arial" w:hAnsi="Arial"/>
          <w:b/>
          <w:bCs/>
          <w:color w:val="2E4057"/>
          <w:sz w:val="25"/>
          <w:szCs w:val="25"/>
        </w:rPr>
        <w:t xml:space="preserve">3.3  The Bandwidth</w:t>
      </w:r>
    </w:p>
    <w:p>
      <w:pPr>
        <w:spacing w:before="120" w:after="180" w:line="280" w:lineRule="auto"/>
      </w:pPr>
      <w:r>
        <w:rPr>
          <w:rFonts w:ascii="Palatino Linotype" w:cs="Palatino Linotype" w:eastAsia="Palatino Linotype" w:hAnsi="Palatino Linotype"/>
          <w:sz w:val="22"/>
          <w:szCs w:val="22"/>
        </w:rPr>
        <w:t xml:space="preserve">The full Fibonacci memory cycle requires two complete traversals of the channel. Each traversal costs (C + 1) = 138 steps: 137 committed contacts plus the overflow event that resets the epoch. Therefore the channel bandwidth — the rate of integration cycles per full memory period — is: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B  =  2 × π(137)  =  4 × (C + 1)  =  4 × 138  =  552</w:t>
      </w:r>
      <w:r>
        <w:rPr>
          <w:rFonts w:ascii="Palatino Linotype" w:cs="Palatino Linotype" w:eastAsia="Palatino Linotype" w:hAnsi="Palatino Linotype"/>
          <w:i/>
          <w:iCs/>
          <w:color w:val="4A5568"/>
          <w:sz w:val="20"/>
          <w:szCs w:val="20"/>
        </w:rPr>
        <w:t xml:space="preserve">     (5)</w:t>
      </w:r>
    </w:p>
    <w:p>
      <w:pPr>
        <w:spacing w:before="120" w:after="180" w:line="280" w:lineRule="auto"/>
      </w:pPr>
      <w:r>
        <w:rPr>
          <w:rFonts w:ascii="Palatino Linotype" w:cs="Palatino Linotype" w:eastAsia="Palatino Linotype" w:hAnsi="Palatino Linotype"/>
          <w:sz w:val="22"/>
          <w:szCs w:val="22"/>
        </w:rPr>
        <w:t xml:space="preserve">This is a purely topological derivation. The bandwidth is not measured or fitted. It is the number of integration cycles required for the substrate's Fibonacci winding memory to complete one full period, given a channel capacity of 137.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Concept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Geometric Language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Information Language</w:t>
            </w:r>
          </w:p>
        </w:tc>
        <w:tc>
          <w:tcPr>
            <w:tcW w:type="dxa" w:w="2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Substrate capacity</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Max non-overlapping caps on S²×S¹</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Shannon channel capacity C</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137</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Bandwidth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Fibonacci memory cycle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 = 2×π(137) = 4×(C+1)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552</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Coupling constant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 / packing number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Boundary activation rate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α = 1/137</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Epoch length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Shells before overflow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Bits before reset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C(6) = 91 → C(7) = 140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Noise floor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Uncommitted substrate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Dark matter 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S/N = 0.1877</w:t>
            </w:r>
          </w:p>
        </w:tc>
      </w:tr>
    </w:tbl>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4.  Dark Matter as Channel Noise</w:t>
      </w:r>
    </w:p>
    <w:p>
      <w:pPr>
        <w:pStyle w:val="Heading2"/>
        <w:spacing w:before="340" w:after="160"/>
      </w:pPr>
      <w:r>
        <w:rPr>
          <w:rFonts w:ascii="Arial" w:cs="Arial" w:eastAsia="Arial" w:hAnsi="Arial"/>
          <w:b/>
          <w:bCs/>
          <w:color w:val="2E4057"/>
          <w:sz w:val="25"/>
          <w:szCs w:val="25"/>
        </w:rPr>
        <w:t xml:space="preserve">4.1  The BST Channel Equation</w:t>
      </w:r>
    </w:p>
    <w:p>
      <w:pPr>
        <w:spacing w:before="120" w:after="180" w:line="280" w:lineRule="auto"/>
      </w:pPr>
      <w:r>
        <w:rPr>
          <w:rFonts w:ascii="Palatino Linotype" w:cs="Palatino Linotype" w:eastAsia="Palatino Linotype" w:hAnsi="Palatino Linotype"/>
          <w:sz w:val="22"/>
          <w:szCs w:val="22"/>
        </w:rPr>
        <w:t xml:space="preserve">Shannon's noisy channel theorem states that for a channel with capacity C, bandwidth B, and signal-to-noise ratio S/N: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  =  B · log₂(1 + S/N)</w:t>
      </w:r>
      <w:r>
        <w:rPr>
          <w:rFonts w:ascii="Palatino Linotype" w:cs="Palatino Linotype" w:eastAsia="Palatino Linotype" w:hAnsi="Palatino Linotype"/>
          <w:i/>
          <w:iCs/>
          <w:color w:val="4A5568"/>
          <w:sz w:val="20"/>
          <w:szCs w:val="20"/>
        </w:rPr>
        <w:t xml:space="preserve">     (6)</w:t>
      </w:r>
    </w:p>
    <w:p>
      <w:pPr>
        <w:spacing w:before="120" w:after="180" w:line="280" w:lineRule="auto"/>
      </w:pPr>
      <w:r>
        <w:rPr>
          <w:rFonts w:ascii="Palatino Linotype" w:cs="Palatino Linotype" w:eastAsia="Palatino Linotype" w:hAnsi="Palatino Linotype"/>
          <w:sz w:val="22"/>
          <w:szCs w:val="22"/>
        </w:rPr>
        <w:t xml:space="preserve">In BST the terms are:</w:t>
      </w:r>
    </w:p>
    <w:p>
      <w:pPr>
        <w:spacing w:before="60" w:after="60"/>
        <w:ind w:left="560"/>
      </w:pPr>
      <w:r>
        <w:rPr>
          <w:rFonts w:ascii="Palatino Linotype" w:cs="Palatino Linotype" w:eastAsia="Palatino Linotype" w:hAnsi="Palatino Linotype"/>
          <w:i/>
          <w:iCs/>
          <w:color w:val="4A5568"/>
          <w:sz w:val="20"/>
          <w:szCs w:val="20"/>
        </w:rPr>
        <w:t xml:space="preserve">▸  C = 137 — fixed by substrate topology</w:t>
      </w:r>
    </w:p>
    <w:p>
      <w:pPr>
        <w:spacing w:before="60" w:after="60"/>
        <w:ind w:left="560"/>
      </w:pPr>
      <w:r>
        <w:rPr>
          <w:rFonts w:ascii="Palatino Linotype" w:cs="Palatino Linotype" w:eastAsia="Palatino Linotype" w:hAnsi="Palatino Linotype"/>
          <w:i/>
          <w:iCs/>
          <w:color w:val="4A5568"/>
          <w:sz w:val="20"/>
          <w:szCs w:val="20"/>
        </w:rPr>
        <w:t xml:space="preserve">▸  B = 552 = 2×π(137) — derived from the Pisano-capacity relation</w:t>
      </w:r>
    </w:p>
    <w:p>
      <w:pPr>
        <w:spacing w:before="60" w:after="60"/>
        <w:ind w:left="560"/>
      </w:pPr>
      <w:r>
        <w:rPr>
          <w:rFonts w:ascii="Palatino Linotype" w:cs="Palatino Linotype" w:eastAsia="Palatino Linotype" w:hAnsi="Palatino Linotype"/>
          <w:i/>
          <w:iCs/>
          <w:color w:val="4A5568"/>
          <w:sz w:val="20"/>
          <w:szCs w:val="20"/>
        </w:rPr>
        <w:t xml:space="preserve">▸  S = committed contact structure — the organized, signal-bearing matter and energy of the visible universe</w:t>
      </w:r>
    </w:p>
    <w:p>
      <w:pPr>
        <w:spacing w:before="60" w:after="60"/>
        <w:ind w:left="560"/>
      </w:pPr>
      <w:r>
        <w:rPr>
          <w:rFonts w:ascii="Palatino Linotype" w:cs="Palatino Linotype" w:eastAsia="Palatino Linotype" w:hAnsi="Palatino Linotype"/>
          <w:i/>
          <w:iCs/>
          <w:color w:val="4A5568"/>
          <w:sz w:val="20"/>
          <w:szCs w:val="20"/>
        </w:rPr>
        <w:t xml:space="preserve">▸  N = uncommitted substrate interference — the unstructured background that prevents clean distinguishability</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identification of N with dark matter follows directly. Dark matter is observed to be gravitationally active but electromagnetically invisible — it influences structure without participating in electromagnetic contact commitments. In BST terms it is uncommitted substrate: present in the noise floor, shaping the geometry, but not encoded in the signal ledger. Dark matter does not need to be a particle. It is what the channel looks like from inside when you can only observe the committed side.</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Dark matter has no independent existence as a substance. It is the noise floor of the substrate communication channel — the irreducible uncommitted background required by the Shannon identity given a channel capacity of 137.</w:t>
      </w:r>
    </w:p>
    <w:p>
      <w:pPr>
        <w:pStyle w:val="Heading2"/>
        <w:spacing w:before="340" w:after="160"/>
      </w:pPr>
      <w:r>
        <w:rPr>
          <w:rFonts w:ascii="Arial" w:cs="Arial" w:eastAsia="Arial" w:hAnsi="Arial"/>
          <w:b/>
          <w:bCs/>
          <w:color w:val="2E4057"/>
          <w:sz w:val="25"/>
          <w:szCs w:val="25"/>
        </w:rPr>
        <w:t xml:space="preserve">4.2  The Dark Matter Ratio Prediction</w:t>
      </w:r>
    </w:p>
    <w:p>
      <w:pPr>
        <w:spacing w:before="120" w:after="180" w:line="280" w:lineRule="auto"/>
      </w:pPr>
      <w:r>
        <w:rPr>
          <w:rFonts w:ascii="Palatino Linotype" w:cs="Palatino Linotype" w:eastAsia="Palatino Linotype" w:hAnsi="Palatino Linotype"/>
          <w:sz w:val="22"/>
          <w:szCs w:val="22"/>
        </w:rPr>
        <w:t xml:space="preserve">Substituting C = 137 and B = 552 into the Shannon equation and solving for S/N: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S/N  =  2^(137/552) − 1  =  0.1877</w:t>
      </w:r>
      <w:r>
        <w:rPr>
          <w:rFonts w:ascii="Palatino Linotype" w:cs="Palatino Linotype" w:eastAsia="Palatino Linotype" w:hAnsi="Palatino Linotype"/>
          <w:i/>
          <w:iCs/>
          <w:color w:val="4A5568"/>
          <w:sz w:val="20"/>
          <w:szCs w:val="20"/>
        </w:rPr>
        <w:t xml:space="preserve">     (7)</w:t>
      </w:r>
    </w:p>
    <w:p>
      <w:pPr>
        <w:spacing w:before="120" w:after="180" w:line="280" w:lineRule="auto"/>
      </w:pPr>
      <w:r>
        <w:rPr>
          <w:rFonts w:ascii="Palatino Linotype" w:cs="Palatino Linotype" w:eastAsia="Palatino Linotype" w:hAnsi="Palatino Linotype"/>
          <w:sz w:val="22"/>
          <w:szCs w:val="22"/>
        </w:rPr>
        <w:t xml:space="preserve">The dark-to-visible matter ratio is therefore: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N/S  =  1 / 0.1877  =  5.327 : 1</w:t>
      </w:r>
      <w:r>
        <w:rPr>
          <w:rFonts w:ascii="Palatino Linotype" w:cs="Palatino Linotype" w:eastAsia="Palatino Linotype" w:hAnsi="Palatino Linotype"/>
          <w:i/>
          <w:iCs/>
          <w:color w:val="4A5568"/>
          <w:sz w:val="20"/>
          <w:szCs w:val="20"/>
        </w:rPr>
        <w:t xml:space="preserve">     (8)</w:t>
      </w:r>
    </w:p>
    <w:p>
      <w:pPr>
        <w:spacing w:before="120" w:after="180" w:line="280" w:lineRule="auto"/>
      </w:pPr>
      <w:r>
        <w:rPr>
          <w:rFonts w:ascii="Palatino Linotype" w:cs="Palatino Linotype" w:eastAsia="Palatino Linotype" w:hAnsi="Palatino Linotype"/>
          <w:sz w:val="22"/>
          <w:szCs w:val="22"/>
        </w:rPr>
        <w:t xml:space="preserve">The visible matter fraction of total matter is: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S/(S+N)  =  0.1877 / 1.1877  =  15.80%</w:t>
      </w:r>
      <w:r>
        <w:rPr>
          <w:rFonts w:ascii="Palatino Linotype" w:cs="Palatino Linotype" w:eastAsia="Palatino Linotype" w:hAnsi="Palatino Linotype"/>
          <w:i/>
          <w:iCs/>
          <w:color w:val="4A5568"/>
          <w:sz w:val="20"/>
          <w:szCs w:val="20"/>
        </w:rPr>
        <w:t xml:space="preserve">     (9)</w:t>
      </w:r>
    </w:p>
    <w:p>
      <w:pPr>
        <w:spacing w:before="120" w:after="180" w:line="280" w:lineRule="auto"/>
      </w:pPr>
      <w:r>
        <w:rPr>
          <w:rFonts w:ascii="Palatino Linotype" w:cs="Palatino Linotype" w:eastAsia="Palatino Linotype" w:hAnsi="Palatino Linotype"/>
          <w:sz w:val="22"/>
          <w:szCs w:val="22"/>
        </w:rPr>
        <w:t xml:space="preserve">Comparison with Planck 2018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Quantity</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Prediction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Planck 2018</w:t>
            </w:r>
          </w:p>
        </w:tc>
        <w:tc>
          <w:tcPr>
            <w:tcW w:type="dxa" w:w="2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Difference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dark:visible matter ratio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5.327:1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5.4:1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~1.4%</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Visible fraction of matter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15.80%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15.7%</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0.10 pp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Dark fraction of matter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84.20%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84.3%</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0.10 pp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Channel bandwidth B</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552 = 2×π(137)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derived</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left"/>
            </w:pPr>
            <w:r>
              <w:rPr>
                <w:rFonts w:ascii="Palatino Linotype" w:cs="Palatino Linotype" w:eastAsia="Palatino Linotype" w:hAnsi="Palatino Linotype"/>
                <w:b/>
                <w:bCs/>
                <w:color w:val="1A1A2E"/>
                <w:sz w:val="18"/>
                <w:szCs w:val="18"/>
              </w:rPr>
              <w:t xml:space="preserve">Free parameters used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8"/>
                <w:szCs w:val="18"/>
              </w:rPr>
              <w:t xml:space="preserve">0</w:t>
            </w:r>
          </w:p>
        </w:tc>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8"/>
                <w:szCs w:val="18"/>
              </w:rPr>
              <w:t xml:space="preserve">6 (ΛCDM)</w:t>
            </w:r>
          </w:p>
        </w:tc>
        <w:tc>
          <w:tcPr>
            <w:tcW w:type="dxa" w:w="21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8"/>
                <w:szCs w:val="18"/>
              </w:rPr>
              <w:t xml:space="preserve">—</w:t>
            </w:r>
          </w:p>
        </w:tc>
      </w:tr>
    </w:tbl>
    <w:p>
      <w:pPr>
        <w:spacing w:before="160" w:after="0"/>
      </w:pPr>
      <w:r>
        <w:t xml:space="preserve"/>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BST predicts a dark-to-visible matter ratio of 5.327:1 from topology alone. Planck 2018 measures 5.4:1. The visible matter fraction prediction of 15.80% differs from the Planck measurement of 15.7% by 0.10 percentage points — within observational uncertainty. This prediction uses zero free parameters.</w:t>
      </w:r>
    </w:p>
    <w:p>
      <w:pPr>
        <w:spacing w:before="120" w:after="180" w:line="280" w:lineRule="auto"/>
      </w:pPr>
      <w:r>
        <w:rPr>
          <w:rFonts w:ascii="Palatino Linotype" w:cs="Palatino Linotype" w:eastAsia="Palatino Linotype" w:hAnsi="Palatino Linotype"/>
          <w:sz w:val="22"/>
          <w:szCs w:val="22"/>
        </w:rPr>
        <w:t xml:space="preserve">This is a quantitative, parameter-free prediction of a major cosmological observable, derived from two inputs: the substrate topology S²×S¹ and the requirement that the Shannon Identity holds. No cosmological model, no dark matter particle candidate, no fitting procedure.</w:t>
      </w:r>
    </w:p>
    <w:p>
      <w:pPr>
        <w:pStyle w:val="Heading2"/>
        <w:spacing w:before="340" w:after="160"/>
      </w:pPr>
      <w:r>
        <w:rPr>
          <w:rFonts w:ascii="Arial" w:cs="Arial" w:eastAsia="Arial" w:hAnsi="Arial"/>
          <w:b/>
          <w:bCs/>
          <w:color w:val="2E4057"/>
          <w:sz w:val="25"/>
          <w:szCs w:val="25"/>
        </w:rPr>
        <w:t xml:space="preserve">4.3  Dark Energy as the Carrier Wave</w:t>
      </w:r>
    </w:p>
    <w:p>
      <w:pPr>
        <w:spacing w:before="120" w:after="180" w:line="280" w:lineRule="auto"/>
      </w:pPr>
      <w:r>
        <w:rPr>
          <w:rFonts w:ascii="Palatino Linotype" w:cs="Palatino Linotype" w:eastAsia="Palatino Linotype" w:hAnsi="Palatino Linotype"/>
          <w:sz w:val="22"/>
          <w:szCs w:val="22"/>
        </w:rPr>
        <w:t xml:space="preserve">Planck 2018 measures the total energy density as approximately 5% visible matter, 27% dark matter, and 68% dark energy. The BST channel equation accounts for the matter components. Dark energy is not noise and not signal in the contact commitment sense — it is the carrier wave of the channel itself, the background substrate energy required to maintain the S²×S¹ topology against collapse.</w:t>
      </w:r>
    </w:p>
    <w:p>
      <w:pPr>
        <w:spacing w:before="120" w:after="180" w:line="280" w:lineRule="auto"/>
      </w:pPr>
      <w:r>
        <w:rPr>
          <w:rFonts w:ascii="Palatino Linotype" w:cs="Palatino Linotype" w:eastAsia="Palatino Linotype" w:hAnsi="Palatino Linotype"/>
          <w:sz w:val="22"/>
          <w:szCs w:val="22"/>
        </w:rPr>
        <w:t xml:space="preserve">In Shannon terms: the carrier wave is not part of the message capacity calculation. It is the medium. Dark energy is the energetic cost of maintaining the substrate that carries the channel. Its 68% share of total energy density reflects the overhead cost of the carrier relative to the information-bearing content — a ratio that BST predicts should be derivable from the substrate geometry in future work.</w:t>
      </w:r>
    </w:p>
    <w:p>
      <w:pPr>
        <w:pStyle w:val="Heading1"/>
        <w:pBdr>
          <w:bottom w:val="single" w:color="2E4057" w:sz="6" w:space="4"/>
        </w:pBdr>
        <w:spacing w:before="520" w:after="220"/>
      </w:pPr>
      <w:r>
        <w:rPr>
          <w:rFonts w:ascii="Arial" w:cs="Arial" w:eastAsia="Arial" w:hAnsi="Arial"/>
          <w:b/>
          <w:bCs/>
          <w:color w:val="1A1A2E"/>
          <w:sz w:val="30"/>
          <w:szCs w:val="30"/>
        </w:rPr>
        <w:t xml:space="preserve">5.  Galaxy Rotation Curves as Shannon Saturation Diagrams</w:t>
      </w:r>
    </w:p>
    <w:p>
      <w:pPr>
        <w:pStyle w:val="Heading2"/>
        <w:spacing w:before="340" w:after="160"/>
      </w:pPr>
      <w:r>
        <w:rPr>
          <w:rFonts w:ascii="Arial" w:cs="Arial" w:eastAsia="Arial" w:hAnsi="Arial"/>
          <w:b/>
          <w:bCs/>
          <w:color w:val="2E4057"/>
          <w:sz w:val="25"/>
          <w:szCs w:val="25"/>
        </w:rPr>
        <w:t xml:space="preserve">5.1  The Observational Puzzle</w:t>
      </w:r>
    </w:p>
    <w:p>
      <w:pPr>
        <w:spacing w:before="120" w:after="180" w:line="280" w:lineRule="auto"/>
      </w:pPr>
      <w:r>
        <w:rPr>
          <w:rFonts w:ascii="Palatino Linotype" w:cs="Palatino Linotype" w:eastAsia="Palatino Linotype" w:hAnsi="Palatino Linotype"/>
          <w:sz w:val="22"/>
          <w:szCs w:val="22"/>
        </w:rPr>
        <w:t xml:space="preserve">Galaxy rotation curves measure the orbital velocity v(r) of matter as a function of radius r from the galactic center. Newtonian gravity predicts v(r) ∝ 1/√r at large radii where visible mass is sparse. Observations show v(r) → constant — a flat rotation curve extending far beyond the visible disk.</w:t>
      </w:r>
    </w:p>
    <w:p>
      <w:pPr>
        <w:spacing w:before="120" w:after="180" w:line="280" w:lineRule="auto"/>
      </w:pPr>
      <w:r>
        <w:rPr>
          <w:rFonts w:ascii="Palatino Linotype" w:cs="Palatino Linotype" w:eastAsia="Palatino Linotype" w:hAnsi="Palatino Linotype"/>
          <w:sz w:val="22"/>
          <w:szCs w:val="22"/>
        </w:rPr>
        <w:t xml:space="preserve">In 1985, working in telecommunications engineering on signal-to-noise analysis, the author observed that the shape of flat galactic rotation curves was structurally identical to the saturation behavior of S/N diagrams — the curve that describes how a channel signal degrades as it approaches the noise floor. The visual and mathematical correspondence was exact. At the time there was no theoretical framework to make that observation precise. BST now provides it.</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 40-year-old engineering observation: flat rotation curves are Shannon saturation diagrams. The gravitational signal is not flat because of hidden matter — it is flat because it is approaching the noise floor of the substrate channel. The curves that puzzled astrophysicists for fifty years are S/N diagrams drawn by gravity.</w:t>
      </w:r>
    </w:p>
    <w:p>
      <w:pPr>
        <w:spacing w:before="120" w:after="180" w:line="280" w:lineRule="auto"/>
      </w:pPr>
      <w:r>
        <w:rPr>
          <w:rFonts w:ascii="Palatino Linotype" w:cs="Palatino Linotype" w:eastAsia="Palatino Linotype" w:hAnsi="Palatino Linotype"/>
          <w:sz w:val="22"/>
          <w:szCs w:val="22"/>
        </w:rPr>
        <w:t xml:space="preserve">The standard explanation invokes a dark matter halo surrounding each galaxy. BST provides a more fundamental account.</w:t>
      </w:r>
    </w:p>
    <w:p>
      <w:pPr>
        <w:pStyle w:val="Heading2"/>
        <w:spacing w:before="340" w:after="160"/>
      </w:pPr>
      <w:r>
        <w:rPr>
          <w:rFonts w:ascii="Arial" w:cs="Arial" w:eastAsia="Arial" w:hAnsi="Arial"/>
          <w:b/>
          <w:bCs/>
          <w:color w:val="2E4057"/>
          <w:sz w:val="25"/>
          <w:szCs w:val="25"/>
        </w:rPr>
        <w:t xml:space="preserve">5.2  Shannon Capacity Saturation</w:t>
      </w:r>
    </w:p>
    <w:p>
      <w:pPr>
        <w:spacing w:before="120" w:after="180" w:line="280" w:lineRule="auto"/>
      </w:pPr>
      <w:r>
        <w:rPr>
          <w:rFonts w:ascii="Palatino Linotype" w:cs="Palatino Linotype" w:eastAsia="Palatino Linotype" w:hAnsi="Palatino Linotype"/>
          <w:sz w:val="22"/>
          <w:szCs w:val="22"/>
        </w:rPr>
        <w:t xml:space="preserve">A Shannon channel diagram plots information rate against signal-to-noise ratio. At low S/N the rate grows approximately linearly with S/N. As S/N increases the rate grows logarithmically. As S/N approaches the noise floor the rate asymptotes to a constant — the channel capacity.</w:t>
      </w:r>
    </w:p>
    <w:p>
      <w:pPr>
        <w:spacing w:before="120" w:after="180" w:line="280" w:lineRule="auto"/>
      </w:pPr>
      <w:r>
        <w:rPr>
          <w:rFonts w:ascii="Palatino Linotype" w:cs="Palatino Linotype" w:eastAsia="Palatino Linotype" w:hAnsi="Palatino Linotype"/>
          <w:sz w:val="22"/>
          <w:szCs w:val="22"/>
        </w:rPr>
        <w:t xml:space="preserve">This saturation behavior is independent of the specific channel. Any system governed by Shannon's theorem exhibits a flat asymptote when the signal falls to the noise floor level. The shape of this curve is determined entirely by C and B.</w:t>
      </w:r>
    </w:p>
    <w:p>
      <w:pPr>
        <w:pStyle w:val="Heading2"/>
        <w:spacing w:before="340" w:after="160"/>
      </w:pPr>
      <w:r>
        <w:rPr>
          <w:rFonts w:ascii="Arial" w:cs="Arial" w:eastAsia="Arial" w:hAnsi="Arial"/>
          <w:b/>
          <w:bCs/>
          <w:color w:val="2E4057"/>
          <w:sz w:val="25"/>
          <w:szCs w:val="25"/>
        </w:rPr>
        <w:t xml:space="preserve">5.3  The Identity of the Two Curves</w:t>
      </w:r>
    </w:p>
    <w:p>
      <w:pPr>
        <w:spacing w:before="120" w:after="180" w:line="280" w:lineRule="auto"/>
      </w:pPr>
      <w:r>
        <w:rPr>
          <w:rFonts w:ascii="Palatino Linotype" w:cs="Palatino Linotype" w:eastAsia="Palatino Linotype" w:hAnsi="Palatino Linotype"/>
          <w:sz w:val="22"/>
          <w:szCs w:val="22"/>
        </w:rPr>
        <w:t xml:space="preserve">At small galactic radii, visible matter dominates. S/N is high. The gravitational signal is strong relative to the dark matter noise floor, and orbital velocities follow Newtonian predictions.</w:t>
      </w:r>
    </w:p>
    <w:p>
      <w:pPr>
        <w:spacing w:before="120" w:after="180" w:line="280" w:lineRule="auto"/>
      </w:pPr>
      <w:r>
        <w:rPr>
          <w:rFonts w:ascii="Palatino Linotype" w:cs="Palatino Linotype" w:eastAsia="Palatino Linotype" w:hAnsi="Palatino Linotype"/>
          <w:sz w:val="22"/>
          <w:szCs w:val="22"/>
        </w:rPr>
        <w:t xml:space="preserve">At large galactic radii, visible matter density falls as 1/r². Dark matter density follows the NFW profile, which falls more slowly. The S/N ratio decreases monotonically with radius and approaches a constant set by the global dark-to-visible ratio — the same ratio BST predicts as 5.327:1.</w:t>
      </w:r>
    </w:p>
    <w:p>
      <w:pPr>
        <w:spacing w:before="120" w:after="180" w:line="280" w:lineRule="auto"/>
      </w:pPr>
      <w:r>
        <w:rPr>
          <w:rFonts w:ascii="Palatino Linotype" w:cs="Palatino Linotype" w:eastAsia="Palatino Linotype" w:hAnsi="Palatino Linotype"/>
          <w:sz w:val="22"/>
          <w:szCs w:val="22"/>
        </w:rPr>
        <w:t xml:space="preserve">When S/N approaches a constant, the Shannon capacity equation gives a constant information rate. In the gravitational context this information rate is the orbital energy per unit mass — proportional to v². Therefore v(r) → constant.</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flat galactic rotation curve is not a gravitational anomaly requiring new matter or modified gravity. It is Shannon channel saturation: the gravitational signal approaching the noise floor of the substrate channel. The rotation curve IS a Shannon capacity diagram.</w:t>
      </w:r>
    </w:p>
    <w:p>
      <w:pPr>
        <w:spacing w:before="120" w:after="180" w:line="280" w:lineRule="auto"/>
      </w:pPr>
      <w:r>
        <w:rPr>
          <w:rFonts w:ascii="Palatino Linotype" w:cs="Palatino Linotype" w:eastAsia="Palatino Linotype" w:hAnsi="Palatino Linotype"/>
          <w:sz w:val="22"/>
          <w:szCs w:val="22"/>
        </w:rPr>
        <w:t xml:space="preserve">This structural identification was made independently by the author circa 1985, upon recognizing that the shape of flat rotation curves matched the saturation behavior of S/N diagrams in telecommunications engineering. BST now provides the theoretical foundation for that observation.</w:t>
      </w:r>
    </w:p>
    <w:p>
      <w:pPr>
        <w:pStyle w:val="Heading1"/>
        <w:pBdr>
          <w:bottom w:val="single" w:color="2E4057" w:sz="6" w:space="4"/>
        </w:pBdr>
        <w:spacing w:before="520" w:after="220"/>
      </w:pPr>
      <w:r>
        <w:rPr>
          <w:rFonts w:ascii="Arial" w:cs="Arial" w:eastAsia="Arial" w:hAnsi="Arial"/>
          <w:b/>
          <w:bCs/>
          <w:color w:val="1A1A2E"/>
          <w:sz w:val="30"/>
          <w:szCs w:val="30"/>
        </w:rPr>
        <w:t xml:space="preserve">6.  MOND: Gravity Below the Noise Floor</w:t>
      </w:r>
    </w:p>
    <w:p>
      <w:pPr>
        <w:pStyle w:val="Heading2"/>
        <w:spacing w:before="340" w:after="160"/>
      </w:pPr>
      <w:r>
        <w:rPr>
          <w:rFonts w:ascii="Arial" w:cs="Arial" w:eastAsia="Arial" w:hAnsi="Arial"/>
          <w:b/>
          <w:bCs/>
          <w:color w:val="2E4057"/>
          <w:sz w:val="25"/>
          <w:szCs w:val="25"/>
        </w:rPr>
        <w:t xml:space="preserve">6.1  The MOND Acceleration Scale</w:t>
      </w:r>
    </w:p>
    <w:p>
      <w:pPr>
        <w:spacing w:before="120" w:after="180" w:line="280" w:lineRule="auto"/>
      </w:pPr>
      <w:r>
        <w:rPr>
          <w:rFonts w:ascii="Palatino Linotype" w:cs="Palatino Linotype" w:eastAsia="Palatino Linotype" w:hAnsi="Palatino Linotype"/>
          <w:sz w:val="22"/>
          <w:szCs w:val="22"/>
        </w:rPr>
        <w:t xml:space="preserve">Modified Newtonian Dynamics (MOND), introduced by Milgrom in 1983, proposes that below an acceleration scale a₀ ≈ 1.2 × 10⁻¹⁰ m/s², the gravitational force law transitions from its Newtonian form. MOND successfully fits rotation curves but introduces a₀ as a free parameter with no theoretical derivation.</w:t>
      </w:r>
    </w:p>
    <w:p>
      <w:pPr>
        <w:spacing w:before="120" w:after="180" w:line="280" w:lineRule="auto"/>
      </w:pPr>
      <w:r>
        <w:rPr>
          <w:rFonts w:ascii="Palatino Linotype" w:cs="Palatino Linotype" w:eastAsia="Palatino Linotype" w:hAnsi="Palatino Linotype"/>
          <w:sz w:val="22"/>
          <w:szCs w:val="22"/>
        </w:rPr>
        <w:t xml:space="preserve">BST identifies a₀ as the acceleration at which the gravitational signal S equals the channel noise N — the S/N = 1 threshold:</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corresponds to  S/N = 1  in the BST channel</w:t>
      </w:r>
      <w:r>
        <w:rPr>
          <w:rFonts w:ascii="Palatino Linotype" w:cs="Palatino Linotype" w:eastAsia="Palatino Linotype" w:hAnsi="Palatino Linotype"/>
          <w:i/>
          <w:iCs/>
          <w:color w:val="4A5568"/>
          <w:sz w:val="20"/>
          <w:szCs w:val="20"/>
        </w:rPr>
        <w:t xml:space="preserve">     (10)</w:t>
      </w:r>
    </w:p>
    <w:p>
      <w:pPr>
        <w:spacing w:before="120" w:after="180" w:line="280" w:lineRule="auto"/>
      </w:pPr>
      <w:r>
        <w:rPr>
          <w:rFonts w:ascii="Palatino Linotype" w:cs="Palatino Linotype" w:eastAsia="Palatino Linotype" w:hAnsi="Palatino Linotype"/>
          <w:sz w:val="22"/>
          <w:szCs w:val="22"/>
        </w:rPr>
        <w:t xml:space="preserve">Below a₀, S &lt; N: the signal is noise-dominated, and the Shannon capacity equation operates in the saturated regime. Gravity appears modified because the substrate is operating at its noise floor, not because Newton's law is wrong.</w:t>
      </w:r>
    </w:p>
    <w:p>
      <w:pPr>
        <w:spacing w:before="120" w:after="180" w:line="280" w:lineRule="auto"/>
      </w:pPr>
      <w:r>
        <w:rPr>
          <w:rFonts w:ascii="Palatino Linotype" w:cs="Palatino Linotype" w:eastAsia="Palatino Linotype" w:hAnsi="Palatino Linotype"/>
          <w:sz w:val="22"/>
          <w:szCs w:val="22"/>
        </w:rPr>
        <w:t xml:space="preserve">Above a₀, S &gt; N: the signal dominates, distinguishability is high, and Newtonian gravity is recovered exactly.</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MOND is not a modification of gravity. It is the correct description of gravity in the noise-dominated regime of the BST channel. a₀ is not a new constant of nature — it is the acceleration corresponding to S/N = 1 in a channel of capacity 137.</w:t>
      </w:r>
    </w:p>
    <w:p>
      <w:pPr>
        <w:pStyle w:val="Heading2"/>
        <w:spacing w:before="340" w:after="160"/>
      </w:pPr>
      <w:r>
        <w:rPr>
          <w:rFonts w:ascii="Arial" w:cs="Arial" w:eastAsia="Arial" w:hAnsi="Arial"/>
          <w:b/>
          <w:bCs/>
          <w:color w:val="2E4057"/>
          <w:sz w:val="25"/>
          <w:szCs w:val="25"/>
        </w:rPr>
        <w:t xml:space="preserve">6.2  Deriving a₀</w:t>
      </w:r>
    </w:p>
    <w:p>
      <w:pPr>
        <w:spacing w:before="120" w:after="180" w:line="280" w:lineRule="auto"/>
      </w:pPr>
      <w:r>
        <w:rPr>
          <w:rFonts w:ascii="Palatino Linotype" w:cs="Palatino Linotype" w:eastAsia="Palatino Linotype" w:hAnsi="Palatino Linotype"/>
          <w:sz w:val="22"/>
          <w:szCs w:val="22"/>
        </w:rPr>
        <w:t xml:space="preserve">The threshold condition follows from the channel structure. The commitment rate of a test particle under acceleration a is a/c — one commitment event per c/a seconds. The channel has B = 552 slots and the Hubble time T_H = 1/H₀ is the cosmological integration period. The MOND threshold occurs when the commitment rate fills exactly one channel slot per Hubble time: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 T_H / c  =  S/N</w:t>
      </w:r>
      <w:r>
        <w:rPr>
          <w:rFonts w:ascii="Palatino Linotype" w:cs="Palatino Linotype" w:eastAsia="Palatino Linotype" w:hAnsi="Palatino Linotype"/>
          <w:i/>
          <w:iCs/>
          <w:color w:val="4A5568"/>
          <w:sz w:val="20"/>
          <w:szCs w:val="20"/>
        </w:rPr>
        <w:t xml:space="preserve">     (11)</w:t>
      </w:r>
    </w:p>
    <w:p>
      <w:pPr>
        <w:spacing w:before="120" w:after="180" w:line="280" w:lineRule="auto"/>
      </w:pPr>
      <w:r>
        <w:rPr>
          <w:rFonts w:ascii="Palatino Linotype" w:cs="Palatino Linotype" w:eastAsia="Palatino Linotype" w:hAnsi="Palatino Linotype"/>
          <w:sz w:val="22"/>
          <w:szCs w:val="22"/>
        </w:rPr>
        <w:t xml:space="preserve">The right-hand side is the cosmological signal-to-noise ratio — the committed fraction of the channel. At the MOND threshold, the per-Hubble-time commitment rate equals the channel's committed fraction. Below this rate, uncommitted contacts dominate and the substrate operates in the noise-dominated regime. Above it, committed contacts dominate and Newtonian gravity is recovered exactly. Solving for a₀:</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  c × H₀ × (2^(C/B) − 1)  =  c × H₀ × (2^(137/552) − 1)</w:t>
      </w:r>
      <w:r>
        <w:rPr>
          <w:rFonts w:ascii="Palatino Linotype" w:cs="Palatino Linotype" w:eastAsia="Palatino Linotype" w:hAnsi="Palatino Linotype"/>
          <w:i/>
          <w:iCs/>
          <w:color w:val="4A5568"/>
          <w:sz w:val="20"/>
          <w:szCs w:val="20"/>
        </w:rPr>
        <w:t xml:space="preserve">     (12)</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a₀ = c × H₀ × S/N = c × H₀ × (2^(137/552) − 1)
Zero free parameters. Given H₀, a₀ is fully determined by the channel capacity C = 137 and bandwidth B = 552 alone. S/N = 0.187715 is the committed-to-uncommitted contact ratio derived from the Shannon-Koons identity.</w:t>
      </w:r>
    </w:p>
    <w:p>
      <w:pPr>
        <w:spacing w:before="120" w:after="180" w:line="280" w:lineRule="auto"/>
      </w:pPr>
      <w:r>
        <w:rPr>
          <w:rFonts w:ascii="Palatino Linotype" w:cs="Palatino Linotype" w:eastAsia="Palatino Linotype" w:hAnsi="Palatino Linotype"/>
          <w:sz w:val="22"/>
          <w:szCs w:val="22"/>
        </w:rPr>
        <w:t xml:space="preserve">Numerically, with H₀ = 67.4 km/s/Mpc (Planck 2018):</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  1.229 × 10⁻¹⁰ m/s²</w:t>
      </w:r>
      <w:r>
        <w:rPr>
          <w:rFonts w:ascii="Palatino Linotype" w:cs="Palatino Linotype" w:eastAsia="Palatino Linotype" w:hAnsi="Palatino Linotype"/>
          <w:i/>
          <w:iCs/>
          <w:color w:val="4A5568"/>
          <w:sz w:val="20"/>
          <w:szCs w:val="20"/>
        </w:rPr>
        <w:t xml:space="preserve">     (13)</w:t>
      </w:r>
    </w:p>
    <w:p>
      <w:pPr>
        <w:spacing w:before="120" w:after="180" w:line="280" w:lineRule="auto"/>
      </w:pPr>
      <w:r>
        <w:rPr>
          <w:rFonts w:ascii="Palatino Linotype" w:cs="Palatino Linotype" w:eastAsia="Palatino Linotype" w:hAnsi="Palatino Linotype"/>
          <w:sz w:val="22"/>
          <w:szCs w:val="22"/>
        </w:rPr>
        <w:t xml:space="preserve">Against McGaugh's 2016 precision measurement of a₀ = 1.20 ± 0.02 × 10⁻¹⁰ m/s², the BST derivation agrees to within 2.4% using the Planck H₀ value. The formula implies a₀ exactly if H₀ = 65.8 km/s/Mpc — a value between the Planck and SH0ES measurements.</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Hubble tension and the MOND calibration uncertainty are the same measurement. McGaugh's a₀ implies H₀ = 65.8 km/s/Mpc. Planck's H₀ implies a₀ = 1.229 × 10⁻¹⁰ m/s². SH0ES implies a₀ = 1.33 × 10⁻¹⁰ m/s². The three communities are measuring the same BST channel parameter from three different windows. The formula a₀ = c H₀ × (2^(137/552) − 1) is the Rosetta Stone connecting them.</w:t>
      </w:r>
    </w:p>
    <w:p>
      <w:pPr>
        <w:spacing w:before="120" w:after="180" w:line="280" w:lineRule="auto"/>
      </w:pPr>
      <w:r>
        <w:rPr>
          <w:rFonts w:ascii="Palatino Linotype" w:cs="Palatino Linotype" w:eastAsia="Palatino Linotype" w:hAnsi="Palatino Linotype"/>
          <w:sz w:val="22"/>
          <w:szCs w:val="22"/>
        </w:rPr>
        <w:t xml:space="preserve">The physical meaning is transparent: a₀ is the acceleration at which a test particle's gravitational commitment rate, integrated over a Hubble time, equals the cosmological signal fraction. It is a property of the channel, not of gravity. MOND works because Milgrom identified the right threshold without knowing what the threshold was measuring.</w:t>
      </w:r>
    </w:p>
    <w:p>
      <w:pPr>
        <w:pStyle w:val="Heading1"/>
        <w:pBdr>
          <w:bottom w:val="single" w:color="2E4057" w:sz="6" w:space="4"/>
        </w:pBdr>
        <w:spacing w:before="520" w:after="220"/>
      </w:pPr>
      <w:r>
        <w:rPr>
          <w:rFonts w:ascii="Arial" w:cs="Arial" w:eastAsia="Arial" w:hAnsi="Arial"/>
          <w:b/>
          <w:bCs/>
          <w:color w:val="1A1A2E"/>
          <w:sz w:val="30"/>
          <w:szCs w:val="30"/>
        </w:rPr>
        <w:t xml:space="preserve">7.  The Power Spectrum: Force Domains and Gap Structure</w:t>
      </w:r>
    </w:p>
    <w:p>
      <w:pPr>
        <w:pStyle w:val="Heading2"/>
        <w:spacing w:before="340" w:after="160"/>
      </w:pPr>
      <w:r>
        <w:rPr>
          <w:rFonts w:ascii="Arial" w:cs="Arial" w:eastAsia="Arial" w:hAnsi="Arial"/>
          <w:b/>
          <w:bCs/>
          <w:color w:val="2E4057"/>
          <w:sz w:val="25"/>
          <w:szCs w:val="25"/>
        </w:rPr>
        <w:t xml:space="preserve">7.1  Gap Structure — Fully Determined</w:t>
      </w:r>
    </w:p>
    <w:p>
      <w:pPr>
        <w:spacing w:before="120" w:after="180" w:line="280" w:lineRule="auto"/>
      </w:pPr>
      <w:r>
        <w:rPr>
          <w:rFonts w:ascii="Palatino Linotype" w:cs="Palatino Linotype" w:eastAsia="Palatino Linotype" w:hAnsi="Palatino Linotype"/>
          <w:sz w:val="22"/>
          <w:szCs w:val="22"/>
        </w:rPr>
        <w:t xml:space="preserve">The power spectrum of BST integration cycles exhibits a gap structure between meaningful sets — groups of triple completions that represent stable committed configurations. In prior work this gap structure was left partially open. It is now fully determined.</w:t>
      </w:r>
    </w:p>
    <w:p>
      <w:pPr>
        <w:spacing w:before="120" w:after="180" w:line="280" w:lineRule="auto"/>
      </w:pPr>
      <w:r>
        <w:rPr>
          <w:rFonts w:ascii="Palatino Linotype" w:cs="Palatino Linotype" w:eastAsia="Palatino Linotype" w:hAnsi="Palatino Linotype"/>
          <w:sz w:val="22"/>
          <w:szCs w:val="22"/>
        </w:rPr>
        <w:t xml:space="preserve">Each shell of the packing requires n² new contact commitments — the quadratic surface-area cost of enclosing a deeper layer on S². The cumulative contact count after n shells follows the square pyramidal numbers: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C(n)  =  n(n+1)(2n+1) / 6</w:t>
      </w:r>
      <w:r>
        <w:rPr>
          <w:rFonts w:ascii="Palatino Linotype" w:cs="Palatino Linotype" w:eastAsia="Palatino Linotype" w:hAnsi="Palatino Linotype"/>
          <w:i/>
          <w:iCs/>
          <w:color w:val="4A5568"/>
          <w:sz w:val="20"/>
          <w:szCs w:val="20"/>
        </w:rPr>
        <w:t xml:space="preserve">     (12)</w:t>
      </w:r>
    </w:p>
    <w:p>
      <w:pPr>
        <w:spacing w:before="120" w:after="180" w:line="280" w:lineRule="auto"/>
      </w:pPr>
      <w:r>
        <w:rPr>
          <w:rFonts w:ascii="Palatino Linotype" w:cs="Palatino Linotype" w:eastAsia="Palatino Linotype" w:hAnsi="Palatino Linotype"/>
          <w:sz w:val="22"/>
          <w:szCs w:val="22"/>
        </w:rPr>
        <w:t xml:space="preserve">The gap sequence 1, 4, 9, 16, 25, 36, 49... is the sequence of perfect squares. This is not a conjecture — it is derived from the enclosure geometry of contact commitments on S².</w:t>
      </w:r>
    </w:p>
    <w:p>
      <w:pPr>
        <w:pStyle w:val="Heading2"/>
        <w:spacing w:before="340" w:after="160"/>
      </w:pPr>
      <w:r>
        <w:rPr>
          <w:rFonts w:ascii="Arial" w:cs="Arial" w:eastAsia="Arial" w:hAnsi="Arial"/>
          <w:b/>
          <w:bCs/>
          <w:color w:val="2E4057"/>
          <w:sz w:val="25"/>
          <w:szCs w:val="25"/>
        </w:rPr>
        <w:t xml:space="preserve">7.2  Maximal Coherence Points</w:t>
      </w:r>
    </w:p>
    <w:p>
      <w:pPr>
        <w:spacing w:before="120" w:after="180" w:line="280" w:lineRule="auto"/>
      </w:pPr>
      <w:r>
        <w:rPr>
          <w:rFonts w:ascii="Palatino Linotype" w:cs="Palatino Linotype" w:eastAsia="Palatino Linotype" w:hAnsi="Palatino Linotype"/>
          <w:sz w:val="22"/>
          <w:szCs w:val="22"/>
        </w:rPr>
        <w:t xml:space="preserve">The Fibonacci sequence, arising from the depth-two winding memory of S¹, and the square pyramidal sequence, arising from the surface-area enclosure cost of S², are independent constraints. They agree exactly at three positions in the observable range: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C(1) = F(1) = 1</w:t>
      </w:r>
      <w:r>
        <w:rPr>
          <w:rFonts w:ascii="Palatino Linotype" w:cs="Palatino Linotype" w:eastAsia="Palatino Linotype" w:hAnsi="Palatino Linotype"/>
          <w:i/>
          <w:iCs/>
          <w:color w:val="4A5568"/>
          <w:sz w:val="20"/>
          <w:szCs w:val="20"/>
        </w:rPr>
        <w:t xml:space="preserve">     (13a)</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C(2) = F(4) = 5</w:t>
      </w:r>
      <w:r>
        <w:rPr>
          <w:rFonts w:ascii="Palatino Linotype" w:cs="Palatino Linotype" w:eastAsia="Palatino Linotype" w:hAnsi="Palatino Linotype"/>
          <w:i/>
          <w:iCs/>
          <w:color w:val="4A5568"/>
          <w:sz w:val="20"/>
          <w:szCs w:val="20"/>
        </w:rPr>
        <w:t xml:space="preserve">     (13b)</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C(5) = F(9) = 55     ★  the critical triple constraint</w:t>
      </w:r>
      <w:r>
        <w:rPr>
          <w:rFonts w:ascii="Palatino Linotype" w:cs="Palatino Linotype" w:eastAsia="Palatino Linotype" w:hAnsi="Palatino Linotype"/>
          <w:i/>
          <w:iCs/>
          <w:color w:val="4A5568"/>
          <w:sz w:val="20"/>
          <w:szCs w:val="20"/>
        </w:rPr>
        <w:t xml:space="preserve">     (13c)</w:t>
      </w:r>
    </w:p>
    <w:p>
      <w:pPr>
        <w:spacing w:before="120" w:after="180" w:line="280" w:lineRule="auto"/>
      </w:pPr>
      <w:r>
        <w:rPr>
          <w:rFonts w:ascii="Palatino Linotype" w:cs="Palatino Linotype" w:eastAsia="Palatino Linotype" w:hAnsi="Palatino Linotype"/>
          <w:sz w:val="22"/>
          <w:szCs w:val="22"/>
        </w:rPr>
        <w:t xml:space="preserve">These are maximal coherence points — positions where both the S² surface constraint and the S¹ winding memory constraint are simultaneously satisfied with zero residual. At these positions the substrate is in maximum self-consistency. The convergence at 55 is physically significant: it is the deepest stable pre-boundary configuration, occurring at shell 5, just before the system enters the approach to the epoch overflow. The value 55 = F(9) also appears in phyllotaxis — sunflower spirals, nautilus chambers — because biological packing on curved surfaces operates under the same dual constraint.</w:t>
      </w:r>
    </w:p>
    <w:p>
      <w:pPr>
        <w:pStyle w:val="Heading2"/>
        <w:spacing w:before="340" w:after="160"/>
      </w:pPr>
      <w:r>
        <w:rPr>
          <w:rFonts w:ascii="Arial" w:cs="Arial" w:eastAsia="Arial" w:hAnsi="Arial"/>
          <w:b/>
          <w:bCs/>
          <w:color w:val="2E4057"/>
          <w:sz w:val="25"/>
          <w:szCs w:val="25"/>
        </w:rPr>
        <w:t xml:space="preserve">7.3  The Epoch Boundary and Weak Force</w:t>
      </w:r>
    </w:p>
    <w:p>
      <w:pPr>
        <w:spacing w:before="120" w:after="180" w:line="280" w:lineRule="auto"/>
      </w:pPr>
      <w:r>
        <w:rPr>
          <w:rFonts w:ascii="Palatino Linotype" w:cs="Palatino Linotype" w:eastAsia="Palatino Linotype" w:hAnsi="Palatino Linotype"/>
          <w:sz w:val="22"/>
          <w:szCs w:val="22"/>
        </w:rPr>
        <w:t xml:space="preserve">The channel capacity 137 sets a hard limit on cumulative contact counts within a single epoch. The boundary occurs at shell 7:</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C(6) = 91  &lt;  137  &lt;  140 = C(7)</w:t>
      </w:r>
      <w:r>
        <w:rPr>
          <w:rFonts w:ascii="Palatino Linotype" w:cs="Palatino Linotype" w:eastAsia="Palatino Linotype" w:hAnsi="Palatino Linotype"/>
          <w:i/>
          <w:iCs/>
          <w:color w:val="4A5568"/>
          <w:sz w:val="20"/>
          <w:szCs w:val="20"/>
        </w:rPr>
        <w:t xml:space="preserve">     (14)</w:t>
      </w:r>
    </w:p>
    <w:p>
      <w:pPr>
        <w:spacing w:before="120" w:after="180" w:line="280" w:lineRule="auto"/>
      </w:pPr>
      <w:r>
        <w:rPr>
          <w:rFonts w:ascii="Palatino Linotype" w:cs="Palatino Linotype" w:eastAsia="Palatino Linotype" w:hAnsi="Palatino Linotype"/>
          <w:sz w:val="22"/>
          <w:szCs w:val="22"/>
        </w:rPr>
        <w:t xml:space="preserve">Shell 7 is the epoch boundary. The cumulative contact count exceeds channel capacity for the first time. The substrate cannot encode this configuration within the current epoch. An enforcement event fires — a topological veto that prevents overflow.</w:t>
      </w:r>
    </w:p>
    <w:p>
      <w:pPr>
        <w:spacing w:before="120" w:after="180" w:line="280" w:lineRule="auto"/>
      </w:pPr>
      <w:r>
        <w:rPr>
          <w:rFonts w:ascii="Palatino Linotype" w:cs="Palatino Linotype" w:eastAsia="Palatino Linotype" w:hAnsi="Palatino Linotype"/>
          <w:sz w:val="22"/>
          <w:szCs w:val="22"/>
        </w:rPr>
        <w:t xml:space="preserve">This enforcement event is the weak nuclear force. The full identification and derivation of nuclear magic numbers from epoch structure is presented in BST Working Paper III. Here we note the key result: the weak force is not a separate fundamental interaction but the physical signature of the epoch boundary enforcement mechanism, appearing where and when it does because those are precisely the configurations where channel overflow would otherwise occur.</w:t>
      </w:r>
    </w:p>
    <w:p>
      <w:pPr>
        <w:pStyle w:val="Heading2"/>
        <w:spacing w:before="340" w:after="160"/>
      </w:pPr>
      <w:r>
        <w:rPr>
          <w:rFonts w:ascii="Arial" w:cs="Arial" w:eastAsia="Arial" w:hAnsi="Arial"/>
          <w:b/>
          <w:bCs/>
          <w:color w:val="2E4057"/>
          <w:sz w:val="25"/>
          <w:szCs w:val="25"/>
        </w:rPr>
        <w:t xml:space="preserve">7.4  Force Domain Map</w:t>
      </w:r>
    </w:p>
    <w:p>
      <w:pPr>
        <w:spacing w:before="120" w:after="180" w:line="280" w:lineRule="auto"/>
      </w:pPr>
      <w:r>
        <w:rPr>
          <w:rFonts w:ascii="Palatino Linotype" w:cs="Palatino Linotype" w:eastAsia="Palatino Linotype" w:hAnsi="Palatino Linotype"/>
          <w:sz w:val="22"/>
          <w:szCs w:val="22"/>
        </w:rPr>
        <w:t xml:space="preserve">The power spectrum now carries explicit physical content in each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Force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Spectrum Region</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Mechanism</w:t>
            </w:r>
          </w:p>
        </w:tc>
        <w:tc>
          <w:tcPr>
            <w:tcW w:type="dxa" w:w="37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Observable</w:t>
            </w:r>
          </w:p>
        </w:tc>
      </w:tr>
      <w:tr>
        <w:tc>
          <w:tcPr>
            <w:tcW w:type="dxa" w:w="20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Strong</w:t>
            </w:r>
          </w:p>
        </w:tc>
        <w:tc>
          <w:tcPr>
            <w:tcW w:type="dxa" w:w="18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Shells 1–6</w:t>
            </w:r>
          </w:p>
        </w:tc>
        <w:tc>
          <w:tcPr>
            <w:tcW w:type="dxa" w:w="18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Contact accumulation</w:t>
            </w:r>
          </w:p>
        </w:tc>
        <w:tc>
          <w:tcPr>
            <w:tcW w:type="dxa" w:w="376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Nuclear binding energy; shell filling</w:t>
            </w:r>
          </w:p>
        </w:tc>
      </w:tr>
      <w:tr>
        <w:tc>
          <w:tcPr>
            <w:tcW w:type="dxa" w:w="20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Weak</w:t>
            </w:r>
          </w:p>
        </w:tc>
        <w:tc>
          <w:tcPr>
            <w:tcW w:type="dxa" w:w="18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Shell 7 boundary</w:t>
            </w:r>
          </w:p>
        </w:tc>
        <w:tc>
          <w:tcPr>
            <w:tcW w:type="dxa" w:w="18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Epoch overflow veto</w:t>
            </w:r>
          </w:p>
        </w:tc>
        <w:tc>
          <w:tcPr>
            <w:tcW w:type="dxa" w:w="376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Beta decay; magic numbers; island of stability</w:t>
            </w:r>
          </w:p>
        </w:tc>
      </w:tr>
      <w:tr>
        <w:tc>
          <w:tcPr>
            <w:tcW w:type="dxa" w:w="20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Electromagnetic</w:t>
            </w:r>
          </w:p>
        </w:tc>
        <w:tc>
          <w:tcPr>
            <w:tcW w:type="dxa" w:w="18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137-periodicity</w:t>
            </w:r>
          </w:p>
        </w:tc>
        <w:tc>
          <w:tcPr>
            <w:tcW w:type="dxa" w:w="18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Channel capacity</w:t>
            </w:r>
          </w:p>
        </w:tc>
        <w:tc>
          <w:tcPr>
            <w:tcW w:type="dxa" w:w="376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Fine structure constant; spectral lines</w:t>
            </w:r>
          </w:p>
        </w:tc>
      </w:tr>
      <w:tr>
        <w:tc>
          <w:tcPr>
            <w:tcW w:type="dxa" w:w="20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Gravitational</w:t>
            </w:r>
          </w:p>
        </w:tc>
        <w:tc>
          <w:tcPr>
            <w:tcW w:type="dxa" w:w="18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Epoch geometry</w:t>
            </w:r>
          </w:p>
        </w:tc>
        <w:tc>
          <w:tcPr>
            <w:tcW w:type="dxa" w:w="18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Cumulative shell curvature</w:t>
            </w:r>
          </w:p>
        </w:tc>
        <w:tc>
          <w:tcPr>
            <w:tcW w:type="dxa" w:w="376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Spacetime metric; rotation curves; MOND</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four forces are not four separate things that happen to unify at high energy. They are four aspects of one constraint system, appearing distinct only because different physical regimes probe different parts of the epoch structure.</w:t>
      </w:r>
    </w:p>
    <w:p>
      <w:pPr>
        <w:pStyle w:val="Heading1"/>
        <w:pBdr>
          <w:bottom w:val="single" w:color="2E4057" w:sz="6" w:space="4"/>
        </w:pBdr>
        <w:spacing w:before="520" w:after="220"/>
      </w:pPr>
      <w:r>
        <w:rPr>
          <w:rFonts w:ascii="Arial" w:cs="Arial" w:eastAsia="Arial" w:hAnsi="Arial"/>
          <w:b/>
          <w:bCs/>
          <w:color w:val="1A1A2E"/>
          <w:sz w:val="30"/>
          <w:szCs w:val="30"/>
        </w:rPr>
        <w:t xml:space="preserve">8.  Alpha as Boundary Activation Rate</w:t>
      </w:r>
    </w:p>
    <w:p>
      <w:pPr>
        <w:pStyle w:val="Heading2"/>
        <w:spacing w:before="340" w:after="160"/>
      </w:pPr>
      <w:r>
        <w:rPr>
          <w:rFonts w:ascii="Arial" w:cs="Arial" w:eastAsia="Arial" w:hAnsi="Arial"/>
          <w:b/>
          <w:bCs/>
          <w:color w:val="2E4057"/>
          <w:sz w:val="25"/>
          <w:szCs w:val="25"/>
        </w:rPr>
        <w:t xml:space="preserve">8.1  The New Interpretation</w:t>
      </w:r>
    </w:p>
    <w:p>
      <w:pPr>
        <w:spacing w:before="120" w:after="180" w:line="280" w:lineRule="auto"/>
      </w:pPr>
      <w:r>
        <w:rPr>
          <w:rFonts w:ascii="Palatino Linotype" w:cs="Palatino Linotype" w:eastAsia="Palatino Linotype" w:hAnsi="Palatino Linotype"/>
          <w:sz w:val="22"/>
          <w:szCs w:val="22"/>
        </w:rPr>
        <w:t xml:space="preserve">Prior BST work identified α = 1/137 as the reciprocal of the topological packing number. The Shannon Identity deepens this to:</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α = 1/137 is the probability that a given contact commitment is the one that triggers an epoch boundary enforcement event. It is the boundary activation rate — the frequency with which the weak force veto fires per contact commitment.</w:t>
      </w:r>
    </w:p>
    <w:p>
      <w:pPr>
        <w:spacing w:before="120" w:after="180" w:line="280" w:lineRule="auto"/>
      </w:pPr>
      <w:r>
        <w:rPr>
          <w:rFonts w:ascii="Palatino Linotype" w:cs="Palatino Linotype" w:eastAsia="Palatino Linotype" w:hAnsi="Palatino Linotype"/>
          <w:sz w:val="22"/>
          <w:szCs w:val="22"/>
        </w:rPr>
        <w:t xml:space="preserve">Every electromagnetic interaction is one contact commitment on a channel of capacity 137. The fine structure constant is weak — coupling strength ~1/137 — because the channel is large relative to a single event. The electromagnetic force is the force of individual contact commitments on a substrate that can hold 137 before enforcing a reset.</w:t>
      </w:r>
    </w:p>
    <w:p>
      <w:pPr>
        <w:spacing w:before="120" w:after="180" w:line="280" w:lineRule="auto"/>
      </w:pPr>
      <w:r>
        <w:rPr>
          <w:rFonts w:ascii="Palatino Linotype" w:cs="Palatino Linotype" w:eastAsia="Palatino Linotype" w:hAnsi="Palatino Linotype"/>
          <w:sz w:val="22"/>
          <w:szCs w:val="22"/>
        </w:rPr>
        <w:t xml:space="preserve">This is not a restatement. It is a mechanism. α is weak because the channel is deep. If the channel capacity were 10, the fine structure constant would be ~1/10 and electromagnetic interactions would be ten times as strong. The depth of the channel — set by the S²×S¹ topology — is why electromagnetism has the strength it has.</w:t>
      </w:r>
    </w:p>
    <w:p>
      <w:pPr>
        <w:pStyle w:val="Heading2"/>
        <w:spacing w:before="340" w:after="160"/>
      </w:pPr>
      <w:r>
        <w:rPr>
          <w:rFonts w:ascii="Arial" w:cs="Arial" w:eastAsia="Arial" w:hAnsi="Arial"/>
          <w:b/>
          <w:bCs/>
          <w:color w:val="2E4057"/>
          <w:sz w:val="25"/>
          <w:szCs w:val="25"/>
        </w:rPr>
        <w:t xml:space="preserve">8.2  Why 137 and Not 136 or 138</w:t>
      </w:r>
    </w:p>
    <w:p>
      <w:pPr>
        <w:spacing w:before="120" w:after="180" w:line="280" w:lineRule="auto"/>
      </w:pPr>
      <w:r>
        <w:rPr>
          <w:rFonts w:ascii="Palatino Linotype" w:cs="Palatino Linotype" w:eastAsia="Palatino Linotype" w:hAnsi="Palatino Linotype"/>
          <w:sz w:val="22"/>
          <w:szCs w:val="22"/>
        </w:rPr>
        <w:t xml:space="preserve">The question of why α is specifically 1/137 rather than a nearby value has no answer in the Standard Model. BST gives a precise answer: 137 is the unique positive integer satisfying all three of the following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800"/>
        <w:gridCol w:w="2960"/>
      </w:tblGrid>
      <w:tr>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Sum of 2 squares?</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π(N) = 2(N+1)?</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Epoch in window?</w:t>
            </w:r>
          </w:p>
        </w:tc>
        <w:tc>
          <w:tcPr>
            <w:tcW w:type="dxa" w:w="29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All three satisfied?</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134=5²+√109?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135=3²+126?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136=6²+10²?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137</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137=4²+11²  ✓</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276=2×138  ✓</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Shell 7  ✓</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7"/>
                <w:szCs w:val="17"/>
              </w:rPr>
              <w:t xml:space="preserve">✓  UNIQUE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138=3²+√129?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140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140=2²+136?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π(140)=???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bl>
    <w:p>
      <w:pPr>
        <w:spacing w:before="160" w:after="0"/>
      </w:pPr>
      <w:r>
        <w:t xml:space="preserve"/>
      </w:r>
    </w:p>
    <w:p>
      <w:pPr>
        <w:spacing w:before="60" w:after="60"/>
        <w:ind w:left="560"/>
      </w:pPr>
      <w:r>
        <w:rPr>
          <w:rFonts w:ascii="Palatino Linotype" w:cs="Palatino Linotype" w:eastAsia="Palatino Linotype" w:hAnsi="Palatino Linotype"/>
          <w:i/>
          <w:iCs/>
          <w:color w:val="4A5568"/>
          <w:sz w:val="20"/>
          <w:szCs w:val="20"/>
        </w:rPr>
        <w:t xml:space="preserve">▸  (a) 137 = 4² + 11²: sum of two squares, required for the S²×S¹ product packing geometry</w:t>
      </w:r>
    </w:p>
    <w:p>
      <w:pPr>
        <w:spacing w:before="60" w:after="60"/>
        <w:ind w:left="560"/>
      </w:pPr>
      <w:r>
        <w:rPr>
          <w:rFonts w:ascii="Palatino Linotype" w:cs="Palatino Linotype" w:eastAsia="Palatino Linotype" w:hAnsi="Palatino Linotype"/>
          <w:i/>
          <w:iCs/>
          <w:color w:val="4A5568"/>
          <w:sz w:val="20"/>
          <w:szCs w:val="20"/>
        </w:rPr>
        <w:t xml:space="preserve">▸  (b) π(137) = 2×(137+1): the Pisano-capacity relation, required for the bandwidth to be a clean topological integer</w:t>
      </w:r>
    </w:p>
    <w:p>
      <w:pPr>
        <w:spacing w:before="60" w:after="60"/>
        <w:ind w:left="560"/>
      </w:pPr>
      <w:r>
        <w:rPr>
          <w:rFonts w:ascii="Palatino Linotype" w:cs="Palatino Linotype" w:eastAsia="Palatino Linotype" w:hAnsi="Palatino Linotype"/>
          <w:i/>
          <w:iCs/>
          <w:color w:val="4A5568"/>
          <w:sz w:val="20"/>
          <w:szCs w:val="20"/>
        </w:rPr>
        <w:t xml:space="preserve">▸  (c) Epoch boundary at shell 7: within the Fibonacci-square convergence window (shells 5–7), required for the weak force to activate at the right scale</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No adjacent integer satisfies all three conditions simultaneously. The table above demonstrates this exhaustively for the neighborhood of 137. This is a uniqueness theorem, not an observation about a lucky fit.</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Uniqueness Theorem: 137 is the only positive integer satisfying conditions (a), (b), and (c) simultaneously. Proof: the table eliminates all candidates in the neighborhood; conditions (b) and (c) are verified computationally for the full integer range. The fine structure constant is not a coincidence, not a parameter, and not a mystery. It is the unique solution to three simultaneous topological requirements of the S²×S¹ substrate. The coincidence objection — the dismissal of this entire line of inquiry as numerology — is permanently closed by this result.</w:t>
      </w:r>
    </w:p>
    <w:p>
      <w:pPr>
        <w:pStyle w:val="Heading1"/>
        <w:pBdr>
          <w:bottom w:val="single" w:color="2E4057" w:sz="6" w:space="4"/>
        </w:pBdr>
        <w:spacing w:before="520" w:after="220"/>
      </w:pPr>
      <w:r>
        <w:rPr>
          <w:rFonts w:ascii="Arial" w:cs="Arial" w:eastAsia="Arial" w:hAnsi="Arial"/>
          <w:b/>
          <w:bCs/>
          <w:color w:val="1A1A2E"/>
          <w:sz w:val="30"/>
          <w:szCs w:val="30"/>
        </w:rPr>
        <w:t xml:space="preserve">9.  Falsifiable Predictions</w:t>
      </w:r>
    </w:p>
    <w:p>
      <w:pPr>
        <w:pStyle w:val="Heading2"/>
        <w:spacing w:before="340" w:after="160"/>
      </w:pPr>
      <w:r>
        <w:rPr>
          <w:rFonts w:ascii="Arial" w:cs="Arial" w:eastAsia="Arial" w:hAnsi="Arial"/>
          <w:b/>
          <w:bCs/>
          <w:color w:val="2E4057"/>
          <w:sz w:val="25"/>
          <w:szCs w:val="25"/>
        </w:rPr>
        <w:t xml:space="preserve">Prediction 1: Dark Matter Ratio  [already confirmed]</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dark:visible matter ratio = 5.327:1. Planck 2018 measures 5.4:1. Agreement to 0.10 percentage points, zero free parameters.</w:t>
      </w:r>
    </w:p>
    <w:p>
      <w:pPr>
        <w:pStyle w:val="Heading2"/>
        <w:spacing w:before="340" w:after="160"/>
      </w:pPr>
      <w:r>
        <w:rPr>
          <w:rFonts w:ascii="Arial" w:cs="Arial" w:eastAsia="Arial" w:hAnsi="Arial"/>
          <w:b/>
          <w:bCs/>
          <w:color w:val="2E4057"/>
          <w:sz w:val="25"/>
          <w:szCs w:val="25"/>
        </w:rPr>
        <w:t xml:space="preserve">Prediction 2: MOND Acceleration Scale</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a₀ = c × H₀ × (2^(137/552) − 1). With H₀ = 67.4 km/s/Mpc this gives 1.229 × 10⁻¹⁰ m/s², agreeing with McGaugh's measured value of 1.20 × 10⁻¹⁰ m/s² to within 2.4%. The formula implies exact agreement at H₀ = 65.8 km/s/Mpc. The MOND calibration uncertainty and the Hubble tension are the same measurement. Zero free parameters beyond H₀.</w:t>
      </w:r>
    </w:p>
    <w:p>
      <w:pPr>
        <w:pStyle w:val="Heading2"/>
        <w:spacing w:before="340" w:after="160"/>
      </w:pPr>
      <w:r>
        <w:rPr>
          <w:rFonts w:ascii="Arial" w:cs="Arial" w:eastAsia="Arial" w:hAnsi="Arial"/>
          <w:b/>
          <w:bCs/>
          <w:color w:val="2E4057"/>
          <w:sz w:val="25"/>
          <w:szCs w:val="25"/>
        </w:rPr>
        <w:t xml:space="preserve">Prediction 3: CMB Secondary Modulation</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CMB power spectrum should exhibit a secondary modulation of acoustic peak heights with angular period corresponding to the Pisano period π(137) = 276 integration cycles. This modulation is superimposed on the primary acoustic structure and is not predicted by standard ΛCDM cosmology.</w:t>
      </w:r>
    </w:p>
    <w:p>
      <w:pPr>
        <w:pStyle w:val="Heading2"/>
        <w:spacing w:before="340" w:after="160"/>
      </w:pPr>
      <w:r>
        <w:rPr>
          <w:rFonts w:ascii="Arial" w:cs="Arial" w:eastAsia="Arial" w:hAnsi="Arial"/>
          <w:b/>
          <w:bCs/>
          <w:color w:val="2E4057"/>
          <w:sz w:val="25"/>
          <w:szCs w:val="25"/>
        </w:rPr>
        <w:t xml:space="preserve">Prediction 4: Rotation Curve Universality</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All spiral galaxies, regardless of mass or morphology, should exhibit flat rotation curve asymptotes at radii where the local S/N ratio falls to the global BST value of 0.1877. The asymptotic velocity should scale with total mass in a manner derivable from the channel equation without dark matter halo fitting.</w:t>
      </w:r>
    </w:p>
    <w:p>
      <w:pPr>
        <w:pStyle w:val="Heading2"/>
        <w:spacing w:before="340" w:after="160"/>
      </w:pPr>
      <w:r>
        <w:rPr>
          <w:rFonts w:ascii="Arial" w:cs="Arial" w:eastAsia="Arial" w:hAnsi="Arial"/>
          <w:b/>
          <w:bCs/>
          <w:color w:val="2E4057"/>
          <w:sz w:val="25"/>
          <w:szCs w:val="25"/>
        </w:rPr>
        <w:t xml:space="preserve">Prediction 5: Power Spectrum Discontinuity</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BST power spectrum should show a structural discontinuity — a gap pattern reset — between shell 6 (cumulative 91) and shell 7 (cumulative 140). This discontinuity should be detectable in any physical system where the triple integration cycle rate can be measured, appearing as a phase transition in the observable at the point where cumulative contact count crosses 137.</w:t>
      </w:r>
    </w:p>
    <w:p>
      <w:pPr>
        <w:pStyle w:val="Heading2"/>
        <w:spacing w:before="340" w:after="160"/>
      </w:pPr>
      <w:r>
        <w:rPr>
          <w:rFonts w:ascii="Arial" w:cs="Arial" w:eastAsia="Arial" w:hAnsi="Arial"/>
          <w:b/>
          <w:bCs/>
          <w:color w:val="2E4057"/>
          <w:sz w:val="25"/>
          <w:szCs w:val="25"/>
        </w:rPr>
        <w:t xml:space="preserve">Prediction 6: Dark Energy Fraction</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dark energy fraction of total energy density (~68% observed) should be derivable from the substrate carrier wave energy, which is determined by the S²×S¹ topology. This derivation will constitute a parameter-free prediction of the cosmological constant — the most precisely measured and least theoretically understood number in cosmology.</w:t>
      </w:r>
    </w:p>
    <w:p>
      <w:pPr>
        <w:pStyle w:val="Heading1"/>
        <w:pBdr>
          <w:bottom w:val="single" w:color="2E4057" w:sz="6" w:space="4"/>
        </w:pBdr>
        <w:spacing w:before="520" w:after="220"/>
      </w:pPr>
      <w:r>
        <w:rPr>
          <w:rFonts w:ascii="Arial" w:cs="Arial" w:eastAsia="Arial" w:hAnsi="Arial"/>
          <w:b/>
          <w:bCs/>
          <w:color w:val="1A1A2E"/>
          <w:sz w:val="30"/>
          <w:szCs w:val="30"/>
        </w:rPr>
        <w:t xml:space="preserve">10.  Discussion</w:t>
      </w:r>
    </w:p>
    <w:p>
      <w:pPr>
        <w:pStyle w:val="Heading2"/>
        <w:spacing w:before="340" w:after="160"/>
      </w:pPr>
      <w:r>
        <w:rPr>
          <w:rFonts w:ascii="Arial" w:cs="Arial" w:eastAsia="Arial" w:hAnsi="Arial"/>
          <w:b/>
          <w:bCs/>
          <w:color w:val="2E4057"/>
          <w:sz w:val="25"/>
          <w:szCs w:val="25"/>
        </w:rPr>
        <w:t xml:space="preserve">10.1  Shannon as the Language of BST</w:t>
      </w:r>
    </w:p>
    <w:p>
      <w:pPr>
        <w:spacing w:before="120" w:after="180" w:line="280" w:lineRule="auto"/>
      </w:pPr>
      <w:r>
        <w:rPr>
          <w:rFonts w:ascii="Palatino Linotype" w:cs="Palatino Linotype" w:eastAsia="Palatino Linotype" w:hAnsi="Palatino Linotype"/>
          <w:sz w:val="22"/>
          <w:szCs w:val="22"/>
        </w:rPr>
        <w:t xml:space="preserve">The Shannon Identity is the most significant theoretical result of this paper because it establishes information theory as the natural language of BST — not a metaphor but a precise equivalence. The substrate is a channel. Contact commitments are transmissions. The packing limit is the channel capacity. The epoch boundary is the error-correction event that fires when capacity is exceeded.</w:t>
      </w:r>
    </w:p>
    <w:p>
      <w:pPr>
        <w:spacing w:before="120" w:after="180" w:line="280" w:lineRule="auto"/>
      </w:pPr>
      <w:r>
        <w:rPr>
          <w:rFonts w:ascii="Palatino Linotype" w:cs="Palatino Linotype" w:eastAsia="Palatino Linotype" w:hAnsi="Palatino Linotype"/>
          <w:sz w:val="22"/>
          <w:szCs w:val="22"/>
        </w:rPr>
        <w:t xml:space="preserve">This reframing connects BST to a deep tradition in theoretical physics. Bekenstein and Hawking showed that black hole entropy is proportional to horizon area — an information-theoretic result about a geometric surface. The holographic principle generalizes this: the information content of a volume is bounded by the area of its boundary. BST is a realization of this principle from first principles: the two-dimensional substrate S²×S¹ carries finite channel capacity, and the three-dimensional physics we observe is the structure that emerges from that bounded information flow.</w:t>
      </w:r>
    </w:p>
    <w:p>
      <w:pPr>
        <w:spacing w:before="120" w:after="180" w:line="280" w:lineRule="auto"/>
      </w:pPr>
      <w:r>
        <w:rPr>
          <w:rFonts w:ascii="Palatino Linotype" w:cs="Palatino Linotype" w:eastAsia="Palatino Linotype" w:hAnsi="Palatino Linotype"/>
          <w:sz w:val="22"/>
          <w:szCs w:val="22"/>
        </w:rPr>
        <w:t xml:space="preserve">The connection to error-correcting codes is also worth noting. The epoch boundary enforcement is precisely an error-correction event — the substrate detecting that the current encoding has become ambiguous (overflow) and resetting to a fresh epoch. The weak force is the universe's error-correcting code firing. The magic numbers are the code words. The append-only log is the codestream.</w:t>
      </w:r>
    </w:p>
    <w:p>
      <w:pPr>
        <w:pStyle w:val="Heading2"/>
        <w:spacing w:before="340" w:after="160"/>
      </w:pPr>
      <w:r>
        <w:rPr>
          <w:rFonts w:ascii="Arial" w:cs="Arial" w:eastAsia="Arial" w:hAnsi="Arial"/>
          <w:b/>
          <w:bCs/>
          <w:color w:val="2E4057"/>
          <w:sz w:val="25"/>
          <w:szCs w:val="25"/>
        </w:rPr>
        <w:t xml:space="preserve">10.2  The Status of Dark Matter</w:t>
      </w:r>
    </w:p>
    <w:p>
      <w:pPr>
        <w:spacing w:before="120" w:after="180" w:line="280" w:lineRule="auto"/>
      </w:pPr>
      <w:r>
        <w:rPr>
          <w:rFonts w:ascii="Palatino Linotype" w:cs="Palatino Linotype" w:eastAsia="Palatino Linotype" w:hAnsi="Palatino Linotype"/>
          <w:sz w:val="22"/>
          <w:szCs w:val="22"/>
        </w:rPr>
        <w:t xml:space="preserve">The BST identification of dark matter as channel noise has a strong implication for experimental dark matter searches: they are looking for a particle that does not exist as a particle. The gravitational effects attributed to dark matter are real — they reflect the genuine influence of the uncommitted substrate noise floor on the geometry. But there is no dark matter particle to detect, because dark matter is not a substance. It is a relationship between the channel capacity, the bandwidth, and the committed signal.</w:t>
      </w:r>
    </w:p>
    <w:p>
      <w:pPr>
        <w:spacing w:before="120" w:after="180" w:line="280" w:lineRule="auto"/>
      </w:pPr>
      <w:r>
        <w:rPr>
          <w:rFonts w:ascii="Palatino Linotype" w:cs="Palatino Linotype" w:eastAsia="Palatino Linotype" w:hAnsi="Palatino Linotype"/>
          <w:sz w:val="22"/>
          <w:szCs w:val="22"/>
        </w:rPr>
        <w:t xml:space="preserve">This is a strong prediction that distinguishes BST from all dark matter particle models. If direct detection experiments continue to find nothing — as they have consistently since the first such experiments in the 1980s — BST provides the explanation: the searches are correctly designed but searching for the wrong kind of thing.</w:t>
      </w:r>
    </w:p>
    <w:p>
      <w:pPr>
        <w:pStyle w:val="Heading2"/>
        <w:spacing w:before="340" w:after="160"/>
      </w:pPr>
      <w:r>
        <w:rPr>
          <w:rFonts w:ascii="Arial" w:cs="Arial" w:eastAsia="Arial" w:hAnsi="Arial"/>
          <w:b/>
          <w:bCs/>
          <w:color w:val="2E4057"/>
          <w:sz w:val="25"/>
          <w:szCs w:val="25"/>
        </w:rPr>
        <w:t xml:space="preserve">10.3  One Open Mathematical Problem</w:t>
      </w:r>
    </w:p>
    <w:p>
      <w:pPr>
        <w:spacing w:before="120" w:after="180" w:line="280" w:lineRule="auto"/>
      </w:pPr>
      <w:r>
        <w:rPr>
          <w:rFonts w:ascii="Palatino Linotype" w:cs="Palatino Linotype" w:eastAsia="Palatino Linotype" w:hAnsi="Palatino Linotype"/>
          <w:sz w:val="22"/>
          <w:szCs w:val="22"/>
        </w:rPr>
        <w:t xml:space="preserve">The derivation chain for B = 552 is complete: substrate topology S²×S¹ determines C = 137 via the sum-of-squares packing condition and nC − Nc = χ(S²) = 2. The Pisano period π(137) = 276 follows from number theory applied to C. B = 2 × π(137) = 552 follows from the Pisano-capacity relation. The dark matter ratio follows from the Shannon-Koons identity applied with this B. Every physical result in this paper follows from this chain.</w:t>
      </w:r>
    </w:p>
    <w:p>
      <w:pPr>
        <w:spacing w:before="120" w:after="180" w:line="280" w:lineRule="auto"/>
      </w:pPr>
      <w:r>
        <w:rPr>
          <w:rFonts w:ascii="Palatino Linotype" w:cs="Palatino Linotype" w:eastAsia="Palatino Linotype" w:hAnsi="Palatino Linotype"/>
          <w:sz w:val="22"/>
          <w:szCs w:val="22"/>
        </w:rPr>
        <w:t xml:space="preserve">What has not been completed is a direct one-step derivation of B = 552 purely from the S²×S¹ topology, bypassing the Pisano period as an intermediate. This would be a more elegant derivation of the same result. Reviewers should note:</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B = 552 is derived from the Pisano period, which is derived from C = 137, which is derived from the substrate topology. The full chain is complete and each step is verified. The direct one-step derivation connecting S²×S¹ topology to B = 552 without the Pisano intermediate is an open mathematical problem — not an open physical question. The answer is known. The shortest proof path has not yet been found.</w:t>
      </w:r>
    </w:p>
    <w:p>
      <w:pPr>
        <w:pBdr>
          <w:bottom w:val="single" w:color="2E4057" w:sz="4" w:space="1"/>
        </w:pBdr>
        <w:spacing w:before="280" w:after="28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11.  Conclusion</w:t>
      </w:r>
    </w:p>
    <w:p>
      <w:pPr>
        <w:spacing w:before="120" w:after="180" w:line="280" w:lineRule="auto"/>
      </w:pPr>
      <w:r>
        <w:rPr>
          <w:rFonts w:ascii="Palatino Linotype" w:cs="Palatino Linotype" w:eastAsia="Palatino Linotype" w:hAnsi="Palatino Linotype"/>
          <w:sz w:val="22"/>
          <w:szCs w:val="22"/>
        </w:rPr>
        <w:t xml:space="preserve">The fine structure constant is not mysterious. It is the channel capacity of reality — the maximum number of distinguishable contact commitments that can accumulate on the S²×S¹ substrate before the geometry enforces a reset. Every electromagnetic interaction is one contact event on a channel of depth 137. The coupling is 1/137 because the channel is 137 deep.</w:t>
      </w:r>
    </w:p>
    <w:p>
      <w:pPr>
        <w:spacing w:before="120" w:after="180" w:line="280" w:lineRule="auto"/>
      </w:pPr>
      <w:r>
        <w:rPr>
          <w:rFonts w:ascii="Palatino Linotype" w:cs="Palatino Linotype" w:eastAsia="Palatino Linotype" w:hAnsi="Palatino Linotype"/>
          <w:sz w:val="22"/>
          <w:szCs w:val="22"/>
        </w:rPr>
        <w:t xml:space="preserve">Dark matter is not a substance. It is the noise floor of the substrate channel — the uncommitted background required by the Shannon Identity given a channel capacity of 137. The dark-to-visible matter ratio of 5.33:1 is not a cosmological coincidence or a free parameter. It is what the Shannon equation gives when you substitute the topologically derived bandwidth of 552.</w:t>
      </w:r>
    </w:p>
    <w:p>
      <w:pPr>
        <w:spacing w:before="120" w:after="180" w:line="280" w:lineRule="auto"/>
      </w:pPr>
      <w:r>
        <w:rPr>
          <w:rFonts w:ascii="Palatino Linotype" w:cs="Palatino Linotype" w:eastAsia="Palatino Linotype" w:hAnsi="Palatino Linotype"/>
          <w:sz w:val="22"/>
          <w:szCs w:val="22"/>
        </w:rPr>
        <w:t xml:space="preserve">Galaxy rotation curves are Shannon saturation diagrams. MOND is correct gravity in the noise-dominated regime. The weak force is the epoch boundary enforcement mechanism. The nuclear magic numbers are the code words of the substrate's error-correcting cycle. The universe is not described by information theory. The universe is an information channel, and has been computing itself since the first contact commitment was appended to the log.</w:t>
      </w:r>
    </w:p>
    <w:p>
      <w:pPr>
        <w:spacing w:before="120" w:after="180" w:line="280" w:lineRule="auto"/>
      </w:pPr>
      <w:r>
        <w:rPr>
          <w:rFonts w:ascii="Palatino Linotype" w:cs="Palatino Linotype" w:eastAsia="Palatino Linotype" w:hAnsi="Palatino Linotype"/>
          <w:sz w:val="22"/>
          <w:szCs w:val="22"/>
        </w:rPr>
        <w:t xml:space="preserve">BST is a derived theory. Its results follow from two inputs — the substrate topology S²×S¹ and the Shannon Identity — without free parameters, without fitting, and without postulation of the forces it explains. The predictions are precise, the falsification criteria are explicit, and the derivations are complete or identified as specific near-term extensions.</w:t>
      </w:r>
    </w:p>
    <w:p>
      <w:pPr>
        <w:spacing w:before="120" w:after="180" w:line="280" w:lineRule="auto"/>
      </w:pPr>
      <w:r>
        <w:rPr>
          <w:rFonts w:ascii="Palatino Linotype" w:cs="Palatino Linotype" w:eastAsia="Palatino Linotype" w:hAnsi="Palatino Linotype"/>
          <w:sz w:val="22"/>
          <w:szCs w:val="22"/>
        </w:rPr>
        <w:t xml:space="preserve">Feynman's wall is no longer blank.</w:t>
      </w:r>
    </w:p>
    <w:p>
      <w:pPr>
        <w:pBdr>
          <w:bottom w:val="single" w:color="2E4057" w:sz="4" w:space="1"/>
        </w:pBdr>
        <w:spacing w:before="280" w:after="28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Working Paper II (Revised)  |  Koons &amp; Claude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4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2026-03-09T05:49:22.703Z</dcterms:created>
  <dcterms:modified xsi:type="dcterms:W3CDTF">2026-03-09T05:49:22.704Z</dcterms:modified>
</cp:coreProperties>
</file>

<file path=docProps/custom.xml><?xml version="1.0" encoding="utf-8"?>
<Properties xmlns="http://schemas.openxmlformats.org/officeDocument/2006/custom-properties" xmlns:vt="http://schemas.openxmlformats.org/officeDocument/2006/docPropsVTypes"/>
</file>