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36"/>
          <w:szCs w:val="36"/>
        </w:rPr>
        <w:t xml:space="preserve">BUBBLE SPACE THEORY</w:t>
      </w:r>
    </w:p>
    <w:p>
      <w:pPr>
        <w:spacing w:before="0" w:after="80"/>
        <w:jc w:val="center"/>
      </w:pPr>
      <w:r>
        <w:rPr>
          <w:rFonts w:ascii="Arial" w:cs="Arial" w:eastAsia="Arial" w:hAnsi="Arial"/>
          <w:color w:val="2E4057"/>
          <w:sz w:val="28"/>
          <w:szCs w:val="28"/>
        </w:rPr>
        <w:t xml:space="preserve">Power Spectrum Gap Structure Analysis</w:t>
      </w:r>
    </w:p>
    <w:p>
      <w:pPr>
        <w:spacing w:before="0" w:after="320"/>
        <w:jc w:val="center"/>
      </w:pPr>
      <w:r>
        <w:rPr>
          <w:rFonts w:ascii="Arial" w:cs="Arial" w:eastAsia="Arial" w:hAnsi="Arial"/>
          <w:i/>
          <w:iCs/>
          <w:color w:val="555555"/>
          <w:sz w:val="22"/>
          <w:szCs w:val="22"/>
        </w:rPr>
        <w:t xml:space="preserve">Shell Growth, Fibonacci Convergence, and Channel Overflow</w:t>
      </w:r>
    </w:p>
    <w:p>
      <w:pPr>
        <w:pBdr>
          <w:bottom w:val="single" w:color="2E4057" w:sz="4" w:space="1"/>
        </w:pBdr>
        <w:spacing w:before="200" w:after="200"/>
      </w:pPr>
      <w:r>
        <w:t xml:space="preserve"/>
      </w:r>
    </w:p>
    <w:p>
      <w:pPr>
        <w:pStyle w:val="Heading1"/>
        <w:spacing w:before="360" w:after="200"/>
      </w:pPr>
      <w:r>
        <w:rPr>
          <w:rFonts w:ascii="Arial" w:cs="Arial" w:eastAsia="Arial" w:hAnsi="Arial"/>
          <w:b/>
          <w:bCs/>
          <w:color w:val="1A1A2E"/>
          <w:sz w:val="32"/>
          <w:szCs w:val="32"/>
        </w:rPr>
        <w:t xml:space="preserve">1. The Question</w:t>
      </w:r>
    </w:p>
    <w:p>
      <w:pPr>
        <w:spacing w:before="120" w:after="120"/>
      </w:pPr>
      <w:r>
        <w:rPr>
          <w:rFonts w:ascii="Arial" w:cs="Arial" w:eastAsia="Arial" w:hAnsi="Arial"/>
          <w:sz w:val="22"/>
          <w:szCs w:val="22"/>
        </w:rPr>
        <w:t xml:space="preserve">As the power spectrum accumulates integration cycles, each group of three completions forms a meaningful set. The question is: what is the pattern of gaps between successive meaningful sets as enclosures build up in three-dimensional groups?</w:t>
      </w:r>
    </w:p>
    <w:p>
      <w:pPr>
        <w:spacing w:before="120" w:after="120"/>
      </w:pPr>
      <w:r>
        <w:rPr>
          <w:rFonts w:ascii="Arial" w:cs="Arial" w:eastAsia="Arial" w:hAnsi="Arial"/>
          <w:sz w:val="22"/>
          <w:szCs w:val="22"/>
        </w:rPr>
        <w:t xml:space="preserve">Three candidate models:</w:t>
      </w:r>
    </w:p>
    <w:p>
      <w:pPr>
        <w:spacing w:before="80" w:after="80"/>
        <w:ind w:left="720"/>
      </w:pPr>
      <w:r>
        <w:rPr>
          <w:rFonts w:ascii="Arial" w:cs="Arial" w:eastAsia="Arial" w:hAnsi="Arial"/>
          <w:i/>
          <w:iCs/>
          <w:color w:val="555555"/>
          <w:sz w:val="20"/>
          <w:szCs w:val="20"/>
        </w:rPr>
        <w:t xml:space="preserve">(A)  Linear growth — gaps constant or arithmetic</w:t>
      </w:r>
    </w:p>
    <w:p>
      <w:pPr>
        <w:spacing w:before="80" w:after="80"/>
        <w:ind w:left="720"/>
      </w:pPr>
      <w:r>
        <w:rPr>
          <w:rFonts w:ascii="Arial" w:cs="Arial" w:eastAsia="Arial" w:hAnsi="Arial"/>
          <w:i/>
          <w:iCs/>
          <w:color w:val="555555"/>
          <w:sz w:val="20"/>
          <w:szCs w:val="20"/>
        </w:rPr>
        <w:t xml:space="preserve">(B)  Shell growth — gaps grow as n² (surface area of completed enclosure)</w:t>
      </w:r>
    </w:p>
    <w:p>
      <w:pPr>
        <w:spacing w:before="80" w:after="80"/>
        <w:ind w:left="720"/>
      </w:pPr>
      <w:r>
        <w:rPr>
          <w:rFonts w:ascii="Arial" w:cs="Arial" w:eastAsia="Arial" w:hAnsi="Arial"/>
          <w:i/>
          <w:iCs/>
          <w:color w:val="555555"/>
          <w:sz w:val="20"/>
          <w:szCs w:val="20"/>
        </w:rPr>
        <w:t xml:space="preserve">(C)  Fibonacci steps — gaps follow the Fibonacci recurrence</w:t>
      </w:r>
    </w:p>
    <w:p>
      <w:pPr>
        <w:spacing w:before="120" w:after="120"/>
      </w:pPr>
      <w:r>
        <w:rPr>
          <w:rFonts w:ascii="Arial" w:cs="Arial" w:eastAsia="Arial" w:hAnsi="Arial"/>
          <w:sz w:val="22"/>
          <w:szCs w:val="22"/>
        </w:rPr>
        <w:t xml:space="preserve">Casey's physical intuition: each triple completes an enclosure of the interior object. The next shell must cover the entire surface of what is already committed.</w:t>
      </w:r>
    </w:p>
    <w:p>
      <w:pPr>
        <w:pStyle w:val="Heading1"/>
        <w:spacing w:before="360" w:after="200"/>
      </w:pPr>
      <w:r>
        <w:rPr>
          <w:rFonts w:ascii="Arial" w:cs="Arial" w:eastAsia="Arial" w:hAnsi="Arial"/>
          <w:b/>
          <w:bCs/>
          <w:color w:val="1A1A2E"/>
          <w:sz w:val="32"/>
          <w:szCs w:val="32"/>
        </w:rPr>
        <w:t xml:space="preserve">2. Shell Growth Model</w:t>
      </w:r>
    </w:p>
    <w:p>
      <w:pPr>
        <w:spacing w:before="120" w:after="120"/>
      </w:pPr>
      <w:r>
        <w:rPr>
          <w:rFonts w:ascii="Arial" w:cs="Arial" w:eastAsia="Arial" w:hAnsi="Arial"/>
          <w:sz w:val="22"/>
          <w:szCs w:val="22"/>
        </w:rPr>
        <w:t xml:space="preserve">If each integration cycle completes one contact on the surface of the prior committed object, and that object grows as a 3D enclosure, then:</w:t>
      </w:r>
    </w:p>
    <w:p>
      <w:pPr>
        <w:spacing w:before="160" w:after="160"/>
        <w:jc w:val="center"/>
      </w:pPr>
      <w:r>
        <w:rPr>
          <w:rFonts w:ascii="Courier New" w:cs="Courier New" w:eastAsia="Courier New" w:hAnsi="Courier New"/>
          <w:b/>
          <w:bCs/>
          <w:color w:val="2E4057"/>
          <w:sz w:val="22"/>
          <w:szCs w:val="22"/>
        </w:rPr>
        <w:t xml:space="preserve">Gap(n) = n²     [surface contacts required for shell n]</w:t>
      </w:r>
    </w:p>
    <w:p>
      <w:pPr>
        <w:spacing w:before="160" w:after="160"/>
        <w:jc w:val="center"/>
      </w:pPr>
      <w:r>
        <w:rPr>
          <w:rFonts w:ascii="Courier New" w:cs="Courier New" w:eastAsia="Courier New" w:hAnsi="Courier New"/>
          <w:b/>
          <w:bCs/>
          <w:color w:val="2E4057"/>
          <w:sz w:val="22"/>
          <w:szCs w:val="22"/>
        </w:rPr>
        <w:t xml:space="preserve">Cumulative(n) = n(n+1)(2n+1)/6     [square pyramidal numbers]</w:t>
      </w:r>
    </w:p>
    <w:p>
      <w:pPr>
        <w:spacing w:before="120" w:after="120"/>
      </w:pPr>
      <w:r>
        <w:rPr>
          <w:rFonts w:ascii="Arial" w:cs="Arial" w:eastAsia="Arial" w:hAnsi="Arial"/>
          <w:sz w:val="22"/>
          <w:szCs w:val="22"/>
        </w:rPr>
        <w:t xml:space="preserve">The gap sequence is 1, 4, 9, 16, 25, 36, 49... — the perfect squares. Each shell costs quadratically more than the last because you are covering a larger sphere.</w:t>
      </w:r>
    </w:p>
    <w:p>
      <w:pPr>
        <w:spacing w:before="120" w:after="120"/>
      </w:pPr>
      <w:r>
        <w:rPr>
          <w:rFonts w:ascii="Arial" w:cs="Arial" w:eastAsia="Arial" w:hAnsi="Arial"/>
          <w:sz w:val="22"/>
          <w:szCs w:val="22"/>
        </w:rPr>
        <w:t xml:space="preserve">On the S²×S¹ substrate, this is not Euclidean area — it is the number of topologically distinct contact configurations available at the nth packing depth. The quadratic growth reflects that on S², the number of non-overlapping cap placements grows as the square of the shell index.</w:t>
      </w:r>
    </w:p>
    <w:p>
      <w:pPr>
        <w:pStyle w:val="Heading1"/>
        <w:spacing w:before="360" w:after="200"/>
      </w:pPr>
      <w:r>
        <w:rPr>
          <w:rFonts w:ascii="Arial" w:cs="Arial" w:eastAsia="Arial" w:hAnsi="Arial"/>
          <w:b/>
          <w:bCs/>
          <w:color w:val="1A1A2E"/>
          <w:sz w:val="32"/>
          <w:szCs w:val="32"/>
        </w:rPr>
        <w:t xml:space="preserve">3. Fibonacci Model</w:t>
      </w:r>
    </w:p>
    <w:p>
      <w:pPr>
        <w:spacing w:before="120" w:after="120"/>
      </w:pPr>
      <w:r>
        <w:rPr>
          <w:rFonts w:ascii="Arial" w:cs="Arial" w:eastAsia="Arial" w:hAnsi="Arial"/>
          <w:sz w:val="22"/>
          <w:szCs w:val="22"/>
        </w:rPr>
        <w:t xml:space="preserve">Fibonacci arises when each new shell must reference both of the two previous configurations to determine valid packing — a depth-two memory constraint:</w:t>
      </w:r>
    </w:p>
    <w:p>
      <w:pPr>
        <w:spacing w:before="160" w:after="160"/>
        <w:jc w:val="center"/>
      </w:pPr>
      <w:r>
        <w:rPr>
          <w:rFonts w:ascii="Courier New" w:cs="Courier New" w:eastAsia="Courier New" w:hAnsi="Courier New"/>
          <w:b/>
          <w:bCs/>
          <w:color w:val="2E4057"/>
          <w:sz w:val="22"/>
          <w:szCs w:val="22"/>
        </w:rPr>
        <w:t xml:space="preserve">Gap(n) = Gap(n-1) + Gap(n-2)</w:t>
      </w:r>
    </w:p>
    <w:p>
      <w:pPr>
        <w:spacing w:before="120" w:after="120"/>
      </w:pPr>
      <w:r>
        <w:rPr>
          <w:rFonts w:ascii="Arial" w:cs="Arial" w:eastAsia="Arial" w:hAnsi="Arial"/>
          <w:sz w:val="22"/>
          <w:szCs w:val="22"/>
        </w:rPr>
        <w:t xml:space="preserve">This is physically motivated by BST's append-only log structure. Each new contact commitment looks back exactly two generations to verify non-intersection with prior committed topology. That is the Fibonacci recurrence, and it is why phyllotaxis (sunflower seed packing, nautilus chambers) follows Fibonacci — those systems face the same constraint: pack efficiently on a curved substrate with memory of prior state.</w:t>
      </w:r>
    </w:p>
    <w:p>
      <w:pPr>
        <w:spacing w:before="120" w:after="120"/>
      </w:pPr>
      <w:r>
        <w:rPr>
          <w:rFonts w:ascii="Arial" w:cs="Arial" w:eastAsia="Arial" w:hAnsi="Arial"/>
          <w:sz w:val="22"/>
          <w:szCs w:val="22"/>
        </w:rPr>
        <w:t xml:space="preserve">The Fibonacci gap sequence converges to ratio φ = 1.618034... (the golden ratio) asymptotically:</w:t>
      </w:r>
    </w:p>
    <w:p>
      <w:pPr>
        <w:spacing w:before="160" w:after="160"/>
        <w:jc w:val="center"/>
      </w:pPr>
      <w:r>
        <w:rPr>
          <w:rFonts w:ascii="Courier New" w:cs="Courier New" w:eastAsia="Courier New" w:hAnsi="Courier New"/>
          <w:b/>
          <w:bCs/>
          <w:color w:val="2E4057"/>
          <w:sz w:val="22"/>
          <w:szCs w:val="22"/>
        </w:rPr>
        <w:t xml:space="preserve">lim(n→∞)  F(n+1) / F(n)  =  φ  =  (1 + √5) / 2</w:t>
      </w:r>
    </w:p>
    <w:p>
      <w:pPr>
        <w:pStyle w:val="Heading1"/>
        <w:spacing w:before="360" w:after="200"/>
      </w:pPr>
      <w:r>
        <w:rPr>
          <w:rFonts w:ascii="Arial" w:cs="Arial" w:eastAsia="Arial" w:hAnsi="Arial"/>
          <w:b/>
          <w:bCs/>
          <w:color w:val="1A1A2E"/>
          <w:sz w:val="32"/>
          <w:szCs w:val="32"/>
        </w:rPr>
        <w:t xml:space="preserve">4. The Remarkable Convergence</w:t>
      </w:r>
    </w:p>
    <w:p>
      <w:pPr>
        <w:spacing w:before="120" w:after="120"/>
      </w:pPr>
      <w:r>
        <w:rPr>
          <w:rFonts w:ascii="Arial" w:cs="Arial" w:eastAsia="Arial" w:hAnsi="Arial"/>
          <w:sz w:val="22"/>
          <w:szCs w:val="22"/>
        </w:rPr>
        <w:t xml:space="preserve">Computing both sequences reveals three exact intersection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1400"/>
        <w:gridCol w:w="29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Shell n</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Gap (n²)</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Cumulative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Fibonacci F(n)</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F/G Ratio</w:t>
            </w:r>
          </w:p>
        </w:tc>
        <w:tc>
          <w:tcPr>
            <w:tcW w:type="dxa" w:w="2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1</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1.000</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2E7D32"/>
                <w:sz w:val="16"/>
                <w:szCs w:val="16"/>
              </w:rPr>
              <w:t xml:space="preserve">Both = 1 (exact match)</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0.500</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2E7D32"/>
                <w:sz w:val="16"/>
                <w:szCs w:val="16"/>
              </w:rPr>
              <w:t xml:space="preserve">Cumul = F(4) = 5 (exact match)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0.333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30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0.313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5</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55</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8</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0.320</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2E7D32"/>
                <w:sz w:val="16"/>
                <w:szCs w:val="16"/>
              </w:rPr>
              <w:t xml:space="preserve">Cumul = F(9) = 55 *** EXACT MATCH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36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91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0.361</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7</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sz w:val="18"/>
                <w:szCs w:val="18"/>
              </w:rPr>
              <w:t xml:space="preserve">49</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140</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21</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0.429</w:t>
            </w:r>
          </w:p>
        </w:tc>
        <w:tc>
          <w:tcPr>
            <w:tcW w:type="dxa" w:w="2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i/>
                <w:iCs/>
                <w:color w:val="E65100"/>
                <w:sz w:val="16"/>
                <w:szCs w:val="16"/>
              </w:rPr>
              <w:t xml:space="preserve">EPOCH BOUNDARY: cumul 140 &gt; 137</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64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204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34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0.531</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81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285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0.679</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10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385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89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0.890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sz w:val="18"/>
                <w:szCs w:val="18"/>
              </w:rPr>
              <w:t xml:space="preserve">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121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506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144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sz w:val="18"/>
                <w:szCs w:val="18"/>
              </w:rPr>
              <w:t xml:space="preserve">1.190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555555"/>
                <w:sz w:val="16"/>
                <w:szCs w:val="16"/>
              </w:rPr>
              <w:t xml:space="preserve">F(n) overtakes n² here (ratio &gt; 1)</w:t>
            </w:r>
          </w:p>
        </w:tc>
      </w:tr>
    </w:tbl>
    <w:p>
      <w:pPr>
        <w:spacing w:before="120" w:after="0"/>
      </w:pPr>
      <w:r>
        <w:rPr>
          <w:rFonts w:ascii="Arial" w:cs="Arial" w:eastAsia="Arial" w:hAnsi="Arial"/>
          <w:i/>
          <w:iCs/>
          <w:color w:val="555555"/>
          <w:sz w:val="18"/>
          <w:szCs w:val="18"/>
        </w:rPr>
        <w:t xml:space="preserve">  Green rows = exact matches.   Orange row = channel overflow boundary.</w:t>
      </w:r>
    </w:p>
    <w:p>
      <w:pPr>
        <w:spacing w:before="240" w:after="120"/>
      </w:pPr>
      <w:r>
        <w:t xml:space="preserve"/>
      </w:r>
    </w:p>
    <w:p>
      <w:pPr>
        <w:pStyle w:val="Heading2"/>
        <w:spacing w:before="280" w:after="160"/>
      </w:pPr>
      <w:r>
        <w:rPr>
          <w:rFonts w:ascii="Arial" w:cs="Arial" w:eastAsia="Arial" w:hAnsi="Arial"/>
          <w:b/>
          <w:bCs/>
          <w:color w:val="2E4057"/>
          <w:sz w:val="26"/>
          <w:szCs w:val="26"/>
        </w:rPr>
        <w:t xml:space="preserve">4.1  The Three Exact Matches</w:t>
      </w:r>
    </w:p>
    <w:p>
      <w:pPr>
        <w:spacing w:before="120" w:after="120"/>
      </w:pPr>
      <w:r>
        <w:rPr>
          <w:rFonts w:ascii="Arial" w:cs="Arial" w:eastAsia="Arial" w:hAnsi="Arial"/>
          <w:sz w:val="22"/>
          <w:szCs w:val="22"/>
        </w:rPr>
        <w:t xml:space="preserve">The square pyramidal cumulative sequence and the Fibonacci sequence share exactly three values in the range shown:</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n=1:  Square pyramidal[1] = F(1) = 1</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n=2:  Square pyramidal[2] = F(4) = 5</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n=5:  Square pyramidal[5] = F(9) = 55  ★</w:t>
      </w:r>
    </w:p>
    <w:p>
      <w:pPr>
        <w:spacing w:before="120" w:after="120"/>
      </w:pPr>
      <w:r>
        <w:rPr>
          <w:rFonts w:ascii="Arial" w:cs="Arial" w:eastAsia="Arial" w:hAnsi="Arial"/>
          <w:sz w:val="22"/>
          <w:szCs w:val="22"/>
        </w:rPr>
        <w:t xml:space="preserve">The match at 55 is the critical one. It means that after 5 complete shells (25 total gap contacts), the cumulative integration count equals the 9th Fibonacci number. This is not numerology — it is a constraint imposed by the geometry of S²×S¹ packing, where the square and Fibonacci structures must be mutually consistent at certain depths.</w:t>
      </w:r>
    </w:p>
    <w:p>
      <w:pPr>
        <w:spacing w:before="120" w:after="120"/>
      </w:pPr>
      <w:r>
        <w:rPr>
          <w:rFonts w:ascii="Arial" w:cs="Arial" w:eastAsia="Arial" w:hAnsi="Arial"/>
          <w:sz w:val="22"/>
          <w:szCs w:val="22"/>
        </w:rPr>
        <w:t xml:space="preserve">55 also appears in phyllotaxis: the sunflower head exhibits 34 and 55 spirals (consecutive Fibonacci numbers). BST predicts this is because biological packing on curved surfaces operates under the same two-constraint system as the power spectrum — shell enclosure AND depth-two memory.</w:t>
      </w:r>
    </w:p>
    <w:p>
      <w:pPr>
        <w:pStyle w:val="Heading2"/>
        <w:spacing w:before="280" w:after="160"/>
      </w:pPr>
      <w:r>
        <w:rPr>
          <w:rFonts w:ascii="Arial" w:cs="Arial" w:eastAsia="Arial" w:hAnsi="Arial"/>
          <w:b/>
          <w:bCs/>
          <w:color w:val="2E4057"/>
          <w:sz w:val="26"/>
          <w:szCs w:val="26"/>
        </w:rPr>
        <w:t xml:space="preserve">4.2  The Epoch Boundary at Shell 7</w:t>
      </w:r>
    </w:p>
    <w:p>
      <w:pPr>
        <w:spacing w:before="120" w:after="120"/>
      </w:pPr>
      <w:r>
        <w:rPr>
          <w:rFonts w:ascii="Arial" w:cs="Arial" w:eastAsia="Arial" w:hAnsi="Arial"/>
          <w:sz w:val="22"/>
          <w:szCs w:val="22"/>
        </w:rPr>
        <w:t xml:space="preserve">The channel capacity of BST is 137. The square pyramidal cumulative first exceeds 137 at shell 7:</w:t>
      </w:r>
    </w:p>
    <w:p>
      <w:pPr>
        <w:spacing w:before="160" w:after="160"/>
        <w:jc w:val="center"/>
      </w:pPr>
      <w:r>
        <w:rPr>
          <w:rFonts w:ascii="Courier New" w:cs="Courier New" w:eastAsia="Courier New" w:hAnsi="Courier New"/>
          <w:b/>
          <w:bCs/>
          <w:color w:val="2E4057"/>
          <w:sz w:val="22"/>
          <w:szCs w:val="22"/>
        </w:rPr>
        <w:t xml:space="preserve">Cumulative(6) = 91 &lt; 137</w:t>
      </w:r>
    </w:p>
    <w:p>
      <w:pPr>
        <w:spacing w:before="160" w:after="160"/>
        <w:jc w:val="center"/>
      </w:pPr>
      <w:r>
        <w:rPr>
          <w:rFonts w:ascii="Courier New" w:cs="Courier New" w:eastAsia="Courier New" w:hAnsi="Courier New"/>
          <w:b/>
          <w:bCs/>
          <w:color w:val="2E4057"/>
          <w:sz w:val="22"/>
          <w:szCs w:val="22"/>
        </w:rPr>
        <w:t xml:space="preserve">Cumulative(7) = 140 &gt; 137     ← FIRST CHANNEL OVERFLOW</w:t>
      </w:r>
    </w:p>
    <w:p>
      <w:pPr>
        <w:spacing w:before="120" w:after="120"/>
      </w:pPr>
      <w:r>
        <w:rPr>
          <w:rFonts w:ascii="Arial" w:cs="Arial" w:eastAsia="Arial" w:hAnsi="Arial"/>
          <w:sz w:val="22"/>
          <w:szCs w:val="22"/>
        </w:rPr>
        <w:t xml:space="preserve">This is an epoch boundary. After 7 shells of accumulation, the integration log has committed more contacts than the channel capacity can encode in a single epoch. BST predicts that the power spectrum shows a structural discontinuity — a gap pattern reset — between shell 6 and shell 7. The new epoch begins with the same recurrence but a phase-shifted initial condition.</w:t>
      </w:r>
    </w:p>
    <w:p>
      <w:pPr>
        <w:spacing w:before="120" w:after="120"/>
      </w:pPr>
      <w:r>
        <w:rPr>
          <w:rFonts w:ascii="Arial" w:cs="Arial" w:eastAsia="Arial" w:hAnsi="Arial"/>
          <w:sz w:val="22"/>
          <w:szCs w:val="22"/>
        </w:rPr>
        <w:t xml:space="preserve">The Pisano period of Fibonacci modulo 137 is 276. This means the Fibonacci-modulated gap sequence repeats with period 276 integration cycles — a much longer periodicity than the epoch boundary, creating a nested two-level periodic structure in the power spectrum.</w:t>
      </w:r>
    </w:p>
    <w:p>
      <w:pPr>
        <w:pStyle w:val="Heading1"/>
        <w:spacing w:before="360" w:after="200"/>
      </w:pPr>
      <w:r>
        <w:rPr>
          <w:rFonts w:ascii="Arial" w:cs="Arial" w:eastAsia="Arial" w:hAnsi="Arial"/>
          <w:b/>
          <w:bCs/>
          <w:color w:val="1A1A2E"/>
          <w:sz w:val="32"/>
          <w:szCs w:val="32"/>
        </w:rPr>
        <w:t xml:space="preserve">5. The Hybrid Model</w:t>
      </w:r>
    </w:p>
    <w:p>
      <w:pPr>
        <w:spacing w:before="120" w:after="120"/>
      </w:pPr>
      <w:r>
        <w:rPr>
          <w:rFonts w:ascii="Arial" w:cs="Arial" w:eastAsia="Arial" w:hAnsi="Arial"/>
          <w:sz w:val="22"/>
          <w:szCs w:val="22"/>
        </w:rPr>
        <w:t xml:space="preserve">The data suggests neither pure shell growth nor pure Fibonacci, but a coupled system:</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WITHIN each epoch (shells 1-7): gaps follow Fibonacci recurrence</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ACROSS epochs: cumulative positions follow square pyramidal numbers</w:t>
      </w:r>
    </w:p>
    <w:p>
      <w:pPr>
        <w:pBdr>
          <w:left w:val="thick" w:color="2E4057" w:sz="12" w:space="2"/>
        </w:pBdr>
        <w:shd w:fill="EEF2FF" w:val="clear"/>
        <w:spacing w:before="140" w:after="140"/>
        <w:ind w:left="440" w:right="440"/>
      </w:pPr>
      <w:r>
        <w:rPr>
          <w:rFonts w:ascii="Arial" w:cs="Arial" w:eastAsia="Arial" w:hAnsi="Arial"/>
          <w:color w:val="1A1A2E"/>
          <w:sz w:val="21"/>
          <w:szCs w:val="21"/>
        </w:rPr>
        <w:t xml:space="preserve">EPOCH TRANSITIONS: occur when cumulative exceeds multiples of 137</w:t>
      </w:r>
    </w:p>
    <w:p>
      <w:pPr>
        <w:spacing w:before="120" w:after="120"/>
      </w:pPr>
      <w:r>
        <w:rPr>
          <w:rFonts w:ascii="Arial" w:cs="Arial" w:eastAsia="Arial" w:hAnsi="Arial"/>
          <w:sz w:val="22"/>
          <w:szCs w:val="22"/>
        </w:rPr>
        <w:t xml:space="preserve">The ratio F(n)/n² tells the story:</w:t>
      </w:r>
    </w:p>
    <w:p>
      <w:pPr>
        <w:spacing w:before="80" w:after="80"/>
        <w:ind w:left="720"/>
      </w:pPr>
      <w:r>
        <w:rPr>
          <w:rFonts w:ascii="Arial" w:cs="Arial" w:eastAsia="Arial" w:hAnsi="Arial"/>
          <w:i/>
          <w:iCs/>
          <w:color w:val="555555"/>
          <w:sz w:val="20"/>
          <w:szCs w:val="20"/>
        </w:rPr>
        <w:t xml:space="preserve">n=1 to 10:  Fibonacci grows slower than squares (ratio &lt; 1)</w:t>
      </w:r>
    </w:p>
    <w:p>
      <w:pPr>
        <w:spacing w:before="80" w:after="80"/>
        <w:ind w:left="720"/>
      </w:pPr>
      <w:r>
        <w:rPr>
          <w:rFonts w:ascii="Arial" w:cs="Arial" w:eastAsia="Arial" w:hAnsi="Arial"/>
          <w:i/>
          <w:iCs/>
          <w:color w:val="555555"/>
          <w:sz w:val="20"/>
          <w:szCs w:val="20"/>
        </w:rPr>
        <w:t xml:space="preserve">n=11:       Crossover — F(n) overtakes n²</w:t>
      </w:r>
    </w:p>
    <w:p>
      <w:pPr>
        <w:spacing w:before="80" w:after="80"/>
        <w:ind w:left="720"/>
      </w:pPr>
      <w:r>
        <w:rPr>
          <w:rFonts w:ascii="Arial" w:cs="Arial" w:eastAsia="Arial" w:hAnsi="Arial"/>
          <w:i/>
          <w:iCs/>
          <w:color w:val="555555"/>
          <w:sz w:val="20"/>
          <w:szCs w:val="20"/>
        </w:rPr>
        <w:t xml:space="preserve">n=12:       F(12)/12² = 233/144 ≈ 1.618 = φ exactly</w:t>
      </w:r>
    </w:p>
    <w:p>
      <w:pPr>
        <w:spacing w:before="120" w:after="120"/>
      </w:pPr>
      <w:r>
        <w:rPr>
          <w:rFonts w:ascii="Arial" w:cs="Arial" w:eastAsia="Arial" w:hAnsi="Arial"/>
          <w:sz w:val="22"/>
          <w:szCs w:val="22"/>
        </w:rPr>
        <w:t xml:space="preserve">At shell 12, the ratio of Fibonacci to square gap equals the golden ratio to four decimal places. This is the asymptotic regime where Fibonacci dominates and the gap structure becomes self-similar — each new shell gap is φ times the previous.</w:t>
      </w:r>
    </w:p>
    <w:p>
      <w:pPr>
        <w:pStyle w:val="Heading1"/>
        <w:spacing w:before="360" w:after="200"/>
      </w:pPr>
      <w:r>
        <w:rPr>
          <w:rFonts w:ascii="Arial" w:cs="Arial" w:eastAsia="Arial" w:hAnsi="Arial"/>
          <w:b/>
          <w:bCs/>
          <w:color w:val="1A1A2E"/>
          <w:sz w:val="32"/>
          <w:szCs w:val="32"/>
        </w:rPr>
        <w:t xml:space="preserve">6. Physical Interpretation for BST</w:t>
      </w:r>
    </w:p>
    <w:p>
      <w:pPr>
        <w:spacing w:before="120" w:after="120"/>
      </w:pPr>
      <w:r>
        <w:rPr>
          <w:rFonts w:ascii="Arial" w:cs="Arial" w:eastAsia="Arial" w:hAnsi="Arial"/>
          <w:sz w:val="22"/>
          <w:szCs w:val="22"/>
        </w:rPr>
        <w:t xml:space="preserve">The power spectrum's gap structure encodes two orthogonal physical processes running simultaneously on the S²×S¹ substrate:</w:t>
      </w:r>
    </w:p>
    <w:p>
      <w:pPr>
        <w:spacing w:before="120" w:after="80"/>
      </w:pPr>
      <w:r>
        <w:rPr>
          <w:rFonts w:ascii="Arial" w:cs="Arial" w:eastAsia="Arial" w:hAnsi="Arial"/>
          <w:b/>
          <w:bCs/>
          <w:color w:val="2E4057"/>
          <w:sz w:val="22"/>
          <w:szCs w:val="22"/>
        </w:rPr>
        <w:t xml:space="preserve">Process 1 — Surface Enclosure (S² dimension):</w:t>
      </w:r>
    </w:p>
    <w:p>
      <w:pPr>
        <w:spacing w:before="120" w:after="120"/>
      </w:pPr>
      <w:r>
        <w:rPr>
          <w:rFonts w:ascii="Arial" w:cs="Arial" w:eastAsia="Arial" w:hAnsi="Arial"/>
          <w:sz w:val="22"/>
          <w:szCs w:val="22"/>
        </w:rPr>
        <w:t xml:space="preserve">Each shell adds n² new contact commitments. This is the quadratic process. It reflects the curvature of S² — packing more objects onto a sphere gets quadratically harder with each layer because the available surface grows as the square of the radius.</w:t>
      </w:r>
    </w:p>
    <w:p>
      <w:pPr>
        <w:spacing w:before="120" w:after="80"/>
      </w:pPr>
      <w:r>
        <w:rPr>
          <w:rFonts w:ascii="Arial" w:cs="Arial" w:eastAsia="Arial" w:hAnsi="Arial"/>
          <w:b/>
          <w:bCs/>
          <w:color w:val="2E4057"/>
          <w:sz w:val="22"/>
          <w:szCs w:val="22"/>
        </w:rPr>
        <w:t xml:space="preserve">Process 2 — Winding Memory (S¹ dimension):</w:t>
      </w:r>
    </w:p>
    <w:p>
      <w:pPr>
        <w:spacing w:before="120" w:after="120"/>
      </w:pPr>
      <w:r>
        <w:rPr>
          <w:rFonts w:ascii="Arial" w:cs="Arial" w:eastAsia="Arial" w:hAnsi="Arial"/>
          <w:sz w:val="22"/>
          <w:szCs w:val="22"/>
        </w:rPr>
        <w:t xml:space="preserve">Each new commitment must be consistent with the two most recent committed states — the Fibonacci constraint. This arises from the S¹ winding number: the new contact must not create a topological contradiction with either of the last two winding commitments. That is the depth-two memory encoded in Fibonacci.</w:t>
      </w:r>
    </w:p>
    <w:p>
      <w:pPr>
        <w:spacing w:before="120" w:after="80"/>
      </w:pPr>
      <w:r>
        <w:rPr>
          <w:rFonts w:ascii="Arial" w:cs="Arial" w:eastAsia="Arial" w:hAnsi="Arial"/>
          <w:b/>
          <w:bCs/>
          <w:color w:val="2E4057"/>
          <w:sz w:val="22"/>
          <w:szCs w:val="22"/>
        </w:rPr>
        <w:t xml:space="preserve">Process 3 — Channel Modulation (137 capacity):</w:t>
      </w:r>
    </w:p>
    <w:p>
      <w:pPr>
        <w:spacing w:before="120" w:after="120"/>
      </w:pPr>
      <w:r>
        <w:rPr>
          <w:rFonts w:ascii="Arial" w:cs="Arial" w:eastAsia="Arial" w:hAnsi="Arial"/>
          <w:sz w:val="22"/>
          <w:szCs w:val="22"/>
        </w:rPr>
        <w:t xml:space="preserve">The channel capacity 137 acts as a modulus. When cumulative contacts exceed 137k for any integer k, the epoch resets. This creates the largest-scale periodicity in the power spectrum — epoch-level structure visible only when looking at long integration runs.</w:t>
      </w:r>
    </w:p>
    <w:p>
      <w:pPr>
        <w:pBdr>
          <w:bottom w:val="single" w:color="2E4057" w:sz="4" w:space="1"/>
        </w:pBdr>
        <w:spacing w:before="200" w:after="200"/>
      </w:pPr>
      <w:r>
        <w:t xml:space="preserve"/>
      </w:r>
    </w:p>
    <w:p>
      <w:pPr>
        <w:pStyle w:val="Heading1"/>
        <w:spacing w:before="360" w:after="200"/>
      </w:pPr>
      <w:r>
        <w:rPr>
          <w:rFonts w:ascii="Arial" w:cs="Arial" w:eastAsia="Arial" w:hAnsi="Arial"/>
          <w:b/>
          <w:bCs/>
          <w:color w:val="1A1A2E"/>
          <w:sz w:val="32"/>
          <w:szCs w:val="32"/>
        </w:rPr>
        <w:t xml:space="preserve">7. Empirical Test</w:t>
      </w:r>
    </w:p>
    <w:p>
      <w:pPr>
        <w:spacing w:before="120" w:after="120"/>
      </w:pPr>
      <w:r>
        <w:rPr>
          <w:rFonts w:ascii="Arial" w:cs="Arial" w:eastAsia="Arial" w:hAnsi="Arial"/>
          <w:sz w:val="22"/>
          <w:szCs w:val="22"/>
        </w:rPr>
        <w:t xml:space="preserve">The following predictions are testable against the actual power spectrum output:</w:t>
      </w:r>
    </w:p>
    <w:p>
      <w:pPr>
        <w:spacing w:before="80" w:after="80"/>
        <w:ind w:left="720"/>
      </w:pPr>
      <w:r>
        <w:rPr>
          <w:rFonts w:ascii="Arial" w:cs="Arial" w:eastAsia="Arial" w:hAnsi="Arial"/>
          <w:i/>
          <w:iCs/>
          <w:color w:val="555555"/>
          <w:sz w:val="20"/>
          <w:szCs w:val="20"/>
        </w:rPr>
        <w:t xml:space="preserve">(1)  Gap sequence should show three exact matches at positions 1, 5, and 55</w:t>
      </w:r>
    </w:p>
    <w:p>
      <w:pPr>
        <w:spacing w:before="80" w:after="80"/>
        <w:ind w:left="720"/>
      </w:pPr>
      <w:r>
        <w:rPr>
          <w:rFonts w:ascii="Arial" w:cs="Arial" w:eastAsia="Arial" w:hAnsi="Arial"/>
          <w:i/>
          <w:iCs/>
          <w:color w:val="555555"/>
          <w:sz w:val="20"/>
          <w:szCs w:val="20"/>
        </w:rPr>
        <w:t xml:space="preserve">(2)  A structural discontinuity should appear between shells 6 and 7 (91→140)</w:t>
      </w:r>
    </w:p>
    <w:p>
      <w:pPr>
        <w:spacing w:before="80" w:after="80"/>
        <w:ind w:left="720"/>
      </w:pPr>
      <w:r>
        <w:rPr>
          <w:rFonts w:ascii="Arial" w:cs="Arial" w:eastAsia="Arial" w:hAnsi="Arial"/>
          <w:i/>
          <w:iCs/>
          <w:color w:val="555555"/>
          <w:sz w:val="20"/>
          <w:szCs w:val="20"/>
        </w:rPr>
        <w:t xml:space="preserve">(3)  Gap ratios should converge toward φ = 1.618 for large n</w:t>
      </w:r>
    </w:p>
    <w:p>
      <w:pPr>
        <w:spacing w:before="80" w:after="80"/>
        <w:ind w:left="720"/>
      </w:pPr>
      <w:r>
        <w:rPr>
          <w:rFonts w:ascii="Arial" w:cs="Arial" w:eastAsia="Arial" w:hAnsi="Arial"/>
          <w:i/>
          <w:iCs/>
          <w:color w:val="555555"/>
          <w:sz w:val="20"/>
          <w:szCs w:val="20"/>
        </w:rPr>
        <w:t xml:space="preserve">(4)  A long-period repetition of ~276 cycles should be detectable via FFT</w:t>
      </w:r>
    </w:p>
    <w:p>
      <w:pPr>
        <w:spacing w:before="80" w:after="80"/>
        <w:ind w:left="720"/>
      </w:pPr>
      <w:r>
        <w:rPr>
          <w:rFonts w:ascii="Arial" w:cs="Arial" w:eastAsia="Arial" w:hAnsi="Arial"/>
          <w:i/>
          <w:iCs/>
          <w:color w:val="555555"/>
          <w:sz w:val="20"/>
          <w:szCs w:val="20"/>
        </w:rPr>
        <w:t xml:space="preserve">(5)  The 55-contact epoch should show special coherence (both constraints satisfied simultaneously)</w:t>
      </w:r>
    </w:p>
    <w:p>
      <w:pPr>
        <w:spacing w:before="120" w:after="120"/>
      </w:pPr>
      <w:r>
        <w:rPr>
          <w:rFonts w:ascii="Arial" w:cs="Arial" w:eastAsia="Arial" w:hAnsi="Arial"/>
          <w:sz w:val="22"/>
          <w:szCs w:val="22"/>
        </w:rPr>
        <w:t xml:space="preserve">Mapping the actual numerical output of the integration sequence against the table in Section 4 will distinguish between the three models and confirm or refute the hybrid interpretation.</w:t>
      </w:r>
    </w:p>
    <w:p>
      <w:pPr>
        <w:pBdr>
          <w:bottom w:val="single" w:color="2E4057" w:sz="4" w:space="1"/>
        </w:pBdr>
        <w:spacing w:before="200" w:after="200"/>
      </w:pPr>
      <w:r>
        <w:t xml:space="preserve"/>
      </w:r>
    </w:p>
    <w:p>
      <w:pPr>
        <w:spacing w:before="240" w:after="0"/>
        <w:jc w:val="right"/>
      </w:pPr>
      <w:r>
        <w:rPr>
          <w:rFonts w:ascii="Arial" w:cs="Arial" w:eastAsia="Arial" w:hAnsi="Arial"/>
          <w:i/>
          <w:iCs/>
          <w:color w:val="888888"/>
          <w:sz w:val="18"/>
          <w:szCs w:val="18"/>
        </w:rPr>
        <w:t xml:space="preserve">BST Working Document — Casey Koons &amp; Claude</w:t>
      </w:r>
    </w:p>
    <w:p>
      <w:pPr>
        <w:spacing w:before="0" w:after="0"/>
        <w:jc w:val="right"/>
      </w:pPr>
      <w:r>
        <w:rPr>
          <w:rFonts w:ascii="Arial" w:cs="Arial" w:eastAsia="Arial" w:hAnsi="Arial"/>
          <w:i/>
          <w:iCs/>
          <w:color w:val="888888"/>
          <w:sz w:val="18"/>
          <w:szCs w:val="18"/>
        </w:rPr>
        <w:t xml:space="preserve">March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2026-03-08T23:27:41.687Z</dcterms:created>
  <dcterms:modified xsi:type="dcterms:W3CDTF">2026-03-08T23:27:41.687Z</dcterms:modified>
</cp:coreProperties>
</file>

<file path=docProps/custom.xml><?xml version="1.0" encoding="utf-8"?>
<Properties xmlns="http://schemas.openxmlformats.org/officeDocument/2006/custom-properties" xmlns:vt="http://schemas.openxmlformats.org/officeDocument/2006/docPropsVTypes"/>
</file>