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20"/>
        <w:jc w:val="center"/>
      </w:pPr>
      <w:r>
        <w:rPr>
          <w:rFonts w:ascii="Arial" w:cs="Arial" w:eastAsia="Arial" w:hAnsi="Arial"/>
          <w:b/>
          <w:bCs/>
          <w:color w:val="1A1A2E"/>
          <w:sz w:val="44"/>
          <w:szCs w:val="44"/>
        </w:rPr>
        <w:t xml:space="preserve">BUBBLE SPACE THEORY</w:t>
      </w:r>
    </w:p>
    <w:p>
      <w:pPr>
        <w:spacing w:before="0" w:after="200"/>
        <w:jc w:val="center"/>
      </w:pPr>
      <w:r>
        <w:rPr>
          <w:rFonts w:ascii="Arial" w:cs="Arial" w:eastAsia="Arial" w:hAnsi="Arial"/>
          <w:color w:val="2E4057"/>
          <w:sz w:val="24"/>
          <w:szCs w:val="24"/>
        </w:rPr>
        <w:t xml:space="preserve">Working Paper III</w:t>
      </w:r>
    </w:p>
    <w:p>
      <w:pPr>
        <w:pBdr>
          <w:bottom w:val="single" w:color="2E4057" w:sz="4" w:space="1"/>
        </w:pBdr>
        <w:spacing w:before="240" w:after="240"/>
      </w:pPr>
      <w:r>
        <w:t xml:space="preserve"/>
      </w:r>
    </w:p>
    <w:p>
      <w:pPr>
        <w:spacing w:before="200" w:after="120"/>
        <w:jc w:val="center"/>
      </w:pPr>
      <w:r>
        <w:rPr>
          <w:rFonts w:ascii="Palatino Linotype" w:cs="Palatino Linotype" w:eastAsia="Palatino Linotype" w:hAnsi="Palatino Linotype"/>
          <w:b/>
          <w:bCs/>
          <w:color w:val="1A1A2E"/>
          <w:sz w:val="34"/>
          <w:szCs w:val="34"/>
        </w:rPr>
        <w:t xml:space="preserve">Epoch Boundaries, Nuclear Stability,</w:t>
      </w:r>
    </w:p>
    <w:p>
      <w:pPr>
        <w:spacing w:before="0" w:after="200"/>
        <w:jc w:val="center"/>
      </w:pPr>
      <w:r>
        <w:rPr>
          <w:rFonts w:ascii="Palatino Linotype" w:cs="Palatino Linotype" w:eastAsia="Palatino Linotype" w:hAnsi="Palatino Linotype"/>
          <w:b/>
          <w:bCs/>
          <w:color w:val="1A1A2E"/>
          <w:sz w:val="34"/>
          <w:szCs w:val="34"/>
        </w:rPr>
        <w:t xml:space="preserve">and the Weak Force as Topological Veto</w:t>
      </w:r>
    </w:p>
    <w:p>
      <w:pPr>
        <w:spacing w:before="0" w:after="400"/>
        <w:jc w:val="center"/>
      </w:pPr>
      <w:r>
        <w:rPr>
          <w:rFonts w:ascii="Palatino Linotype" w:cs="Palatino Linotype" w:eastAsia="Palatino Linotype" w:hAnsi="Palatino Linotype"/>
          <w:i/>
          <w:iCs/>
          <w:color w:val="4A5568"/>
          <w:sz w:val="22"/>
          <w:szCs w:val="22"/>
        </w:rPr>
        <w:t xml:space="preserve">Deriving Nuclear Magic Numbers from S²×S¹ Packing Constraints</w:t>
      </w:r>
    </w:p>
    <w:p>
      <w:pPr>
        <w:spacing w:before="0" w:after="120"/>
        <w:jc w:val="center"/>
      </w:pPr>
      <w:r>
        <w:rPr>
          <w:rFonts w:ascii="Arial" w:cs="Arial" w:eastAsia="Arial" w:hAnsi="Arial"/>
          <w:b/>
          <w:bCs/>
          <w:color w:val="2E4057"/>
          <w:sz w:val="24"/>
          <w:szCs w:val="24"/>
        </w:rPr>
        <w:t xml:space="preserve">Casey Koons</w:t>
      </w:r>
    </w:p>
    <w:p>
      <w:pPr>
        <w:spacing w:before="0" w:after="400"/>
        <w:jc w:val="center"/>
      </w:pPr>
      <w:r>
        <w:rPr>
          <w:rFonts w:ascii="Arial" w:cs="Arial" w:eastAsia="Arial" w:hAnsi="Arial"/>
          <w:color w:val="4A5568"/>
          <w:sz w:val="20"/>
          <w:szCs w:val="20"/>
        </w:rPr>
        <w:t xml:space="preserve">Independent AI Research  |  March 2026</w:t>
      </w:r>
    </w:p>
    <w:p>
      <w:pPr>
        <w:pBdr>
          <w:bottom w:val="single" w:color="2E4057" w:sz="4" w:space="1"/>
        </w:pBdr>
        <w:spacing w:before="240" w:after="240"/>
      </w:pPr>
      <w:r>
        <w:t xml:space="preserve"/>
      </w:r>
    </w:p>
    <w:p>
      <w:pPr>
        <w:spacing w:before="120" w:after="0"/>
      </w:pPr>
      <w:r>
        <w:t xml:space="preserve"/>
      </w:r>
    </w:p>
    <w:p>
      <w:pPr>
        <w:spacing w:before="0" w:after="100"/>
      </w:pPr>
      <w:r>
        <w:rPr>
          <w:rFonts w:ascii="Arial" w:cs="Arial" w:eastAsia="Arial" w:hAnsi="Arial"/>
          <w:b/>
          <w:bCs/>
          <w:color w:val="1A1A2E"/>
          <w:sz w:val="24"/>
          <w:szCs w:val="24"/>
        </w:rPr>
        <w:t xml:space="preserve">Abstract</w:t>
      </w:r>
    </w:p>
    <w:p>
      <w:pPr>
        <w:spacing w:before="0" w:after="200"/>
        <w:ind w:left="360" w:right="360"/>
      </w:pPr>
      <w:r>
        <w:rPr>
          <w:rFonts w:ascii="Palatino Linotype" w:cs="Palatino Linotype" w:eastAsia="Palatino Linotype" w:hAnsi="Palatino Linotype"/>
          <w:i/>
          <w:iCs/>
          <w:color w:val="1A1A2E"/>
          <w:sz w:val="20"/>
          <w:szCs w:val="20"/>
        </w:rPr>
        <w:t xml:space="preserve">Bubble Space Theory (BST) derives fundamental physics from a two-dimensional substrate S²×S¹ with a communication channel of capacity 137. Prior work established the fine structure constant α ≈ 1/137 as a topological packing number and derived conservation laws without postulation. This paper extends BST to nuclear physics. We show that the triple integration cycle governing contact commitments on the substrate generates a square pyramidal cumulative sequence that overflows the channel capacity at the seventh shell, producing a natural epoch boundary. We identify this boundary as the physical origin of the weak nuclear force — not a separate interaction but a topological veto activated when accumulated contact commitments would exceed channel capacity. This derivation predicts the observed nuclear magic numbers (2, 8, 20, 28, 50, 82, 126) as epoch structure rather than orbital coincidence, and predicts the island of stability near Z=114 as the second major epoch boundary in the superheavy regime. No free parameters are introduced. All predictions follow from the substrate geometry alone.</w:t>
      </w:r>
    </w:p>
    <w:p>
      <w:pPr>
        <w:pBdr>
          <w:bottom w:val="single" w:color="2E4057" w:sz="4" w:space="1"/>
        </w:pBdr>
        <w:spacing w:before="240" w:after="240"/>
      </w:pPr>
      <w:r>
        <w:t xml:space="preserve"/>
      </w:r>
    </w:p>
    <w:p>
      <w:pPr>
        <w:spacing w:before="120" w:after="0"/>
      </w:pPr>
      <w:r>
        <w:t xml:space="preserve"/>
      </w:r>
    </w:p>
    <w:p>
      <w:pPr>
        <w:pStyle w:val="Heading1"/>
        <w:pBdr>
          <w:bottom w:val="single" w:color="2E4057" w:sz="6" w:space="4"/>
        </w:pBdr>
        <w:spacing w:before="480" w:after="200"/>
      </w:pPr>
      <w:r>
        <w:rPr>
          <w:rFonts w:ascii="Arial" w:cs="Arial" w:eastAsia="Arial" w:hAnsi="Arial"/>
          <w:b/>
          <w:bCs/>
          <w:color w:val="1A1A2E"/>
          <w:sz w:val="30"/>
          <w:szCs w:val="30"/>
        </w:rPr>
        <w:t xml:space="preserve">1.  Introduction</w:t>
      </w:r>
    </w:p>
    <w:p>
      <w:pPr>
        <w:spacing w:before="120" w:after="180" w:line="276" w:lineRule="auto"/>
      </w:pPr>
      <w:r>
        <w:rPr>
          <w:rFonts w:ascii="Palatino Linotype" w:cs="Palatino Linotype" w:eastAsia="Palatino Linotype" w:hAnsi="Palatino Linotype"/>
          <w:sz w:val="22"/>
          <w:szCs w:val="22"/>
        </w:rPr>
        <w:t xml:space="preserve">The standard nuclear shell model accounts for the magic numbers — nucleon counts at which nuclei show exceptional binding energy and stability — by invoking spin-orbit coupling in a central potential. The model is successful but fundamentally descriptive: it tells us where the shells close but not why those particular numbers emerge from nature rather than others.</w:t>
      </w:r>
    </w:p>
    <w:p>
      <w:pPr>
        <w:spacing w:before="120" w:after="180" w:line="276" w:lineRule="auto"/>
      </w:pPr>
      <w:r>
        <w:rPr>
          <w:rFonts w:ascii="Palatino Linotype" w:cs="Palatino Linotype" w:eastAsia="Palatino Linotype" w:hAnsi="Palatino Linotype"/>
          <w:sz w:val="22"/>
          <w:szCs w:val="22"/>
        </w:rPr>
        <w:t xml:space="preserve">The weak nuclear force presents a parallel mystery. It is twelve orders of magnitude weaker than the strong force at nuclear scales, activates only at the boundaries of nuclear stability, and appears structurally unrelated to the strong interaction it modulates. The electroweak unification of Glashow, Salam, and Weinberg established a formal connection to electromagnetism at high energy, but the physical reason the weak force appears at nuclear scales as a stability limiter remains unexplained from first principles.</w:t>
      </w:r>
    </w:p>
    <w:p>
      <w:pPr>
        <w:spacing w:before="120" w:after="180" w:line="276" w:lineRule="auto"/>
      </w:pPr>
      <w:r>
        <w:rPr>
          <w:rFonts w:ascii="Palatino Linotype" w:cs="Palatino Linotype" w:eastAsia="Palatino Linotype" w:hAnsi="Palatino Linotype"/>
          <w:sz w:val="22"/>
          <w:szCs w:val="22"/>
        </w:rPr>
        <w:t xml:space="preserve">Bubble Space Theory offers a different starting point. Rather than postulating forces and then deriving structure, BST derives both structure and force from a single geometric substrate. In this paper we show that:</w:t>
      </w:r>
    </w:p>
    <w:p>
      <w:pPr>
        <w:spacing w:before="60" w:after="60"/>
        <w:ind w:left="560"/>
      </w:pPr>
      <w:r>
        <w:rPr>
          <w:rFonts w:ascii="Palatino Linotype" w:cs="Palatino Linotype" w:eastAsia="Palatino Linotype" w:hAnsi="Palatino Linotype"/>
          <w:i/>
          <w:iCs/>
          <w:color w:val="4A5568"/>
          <w:sz w:val="20"/>
          <w:szCs w:val="20"/>
        </w:rPr>
        <w:t xml:space="preserve">▸  The accumulation of contact commitments on S²×S¹ naturally produces an epoch boundary at shell 7, where the cumulative count first exceeds the channel capacity of 137.</w:t>
      </w:r>
    </w:p>
    <w:p>
      <w:pPr>
        <w:spacing w:before="60" w:after="60"/>
        <w:ind w:left="560"/>
      </w:pPr>
      <w:r>
        <w:rPr>
          <w:rFonts w:ascii="Palatino Linotype" w:cs="Palatino Linotype" w:eastAsia="Palatino Linotype" w:hAnsi="Palatino Linotype"/>
          <w:i/>
          <w:iCs/>
          <w:color w:val="4A5568"/>
          <w:sz w:val="20"/>
          <w:szCs w:val="20"/>
        </w:rPr>
        <w:t xml:space="preserve">▸  This boundary is not imposed — it is a necessary consequence of the packing geometry and the channel limit.</w:t>
      </w:r>
    </w:p>
    <w:p>
      <w:pPr>
        <w:spacing w:before="60" w:after="60"/>
        <w:ind w:left="560"/>
      </w:pPr>
      <w:r>
        <w:rPr>
          <w:rFonts w:ascii="Palatino Linotype" w:cs="Palatino Linotype" w:eastAsia="Palatino Linotype" w:hAnsi="Palatino Linotype"/>
          <w:i/>
          <w:iCs/>
          <w:color w:val="4A5568"/>
          <w:sz w:val="20"/>
          <w:szCs w:val="20"/>
        </w:rPr>
        <w:t xml:space="preserve">▸  The weak force is the physical manifestation of the epoch boundary enforcement mechanism.</w:t>
      </w:r>
    </w:p>
    <w:p>
      <w:pPr>
        <w:spacing w:before="60" w:after="60"/>
        <w:ind w:left="560"/>
      </w:pPr>
      <w:r>
        <w:rPr>
          <w:rFonts w:ascii="Palatino Linotype" w:cs="Palatino Linotype" w:eastAsia="Palatino Linotype" w:hAnsi="Palatino Linotype"/>
          <w:i/>
          <w:iCs/>
          <w:color w:val="4A5568"/>
          <w:sz w:val="20"/>
          <w:szCs w:val="20"/>
        </w:rPr>
        <w:t xml:space="preserve">▸  The nuclear magic numbers correspond to cumulative contact counts at successive epoch-structure positions.</w:t>
      </w:r>
    </w:p>
    <w:p>
      <w:pPr>
        <w:spacing w:before="60" w:after="60"/>
        <w:ind w:left="560"/>
      </w:pPr>
      <w:r>
        <w:rPr>
          <w:rFonts w:ascii="Palatino Linotype" w:cs="Palatino Linotype" w:eastAsia="Palatino Linotype" w:hAnsi="Palatino Linotype"/>
          <w:i/>
          <w:iCs/>
          <w:color w:val="4A5568"/>
          <w:sz w:val="20"/>
          <w:szCs w:val="20"/>
        </w:rPr>
        <w:t xml:space="preserve">▸  The island of stability is a second-order epoch prediction requiring no additional parameters.</w:t>
      </w:r>
    </w:p>
    <w:p>
      <w:pPr>
        <w:spacing w:before="120" w:after="180" w:line="276" w:lineRule="auto"/>
      </w:pPr>
      <w:r>
        <w:rPr>
          <w:rFonts w:ascii="Palatino Linotype" w:cs="Palatino Linotype" w:eastAsia="Palatino Linotype" w:hAnsi="Palatino Linotype"/>
          <w:sz w:val="22"/>
          <w:szCs w:val="22"/>
        </w:rPr>
        <w:t xml:space="preserve">Section 2 reviews the BST substrate and the triple integration cycle. Section 3 derives the epoch boundary analytically. Section 4 maps the boundary onto nuclear structure and the magic numbers. Section 5 presents the weak force identification. Section 6 makes the island of stability prediction. Section 7 discusses the multi-scale nature of the discontinuity and its appearance across energy scales. Section 8 states falsifiable predictions.</w:t>
      </w:r>
    </w:p>
    <w:p>
      <w:pPr>
        <w:pStyle w:val="Heading1"/>
        <w:pBdr>
          <w:bottom w:val="single" w:color="2E4057" w:sz="6" w:space="4"/>
        </w:pBdr>
        <w:spacing w:before="480" w:after="200"/>
      </w:pPr>
      <w:r>
        <w:rPr>
          <w:rFonts w:ascii="Arial" w:cs="Arial" w:eastAsia="Arial" w:hAnsi="Arial"/>
          <w:b/>
          <w:bCs/>
          <w:color w:val="1A1A2E"/>
          <w:sz w:val="30"/>
          <w:szCs w:val="30"/>
        </w:rPr>
        <w:t xml:space="preserve">2.  The BST Substrate and Integration Cycle</w:t>
      </w:r>
    </w:p>
    <w:p>
      <w:pPr>
        <w:pStyle w:val="Heading2"/>
        <w:spacing w:before="320" w:after="160"/>
      </w:pPr>
      <w:r>
        <w:rPr>
          <w:rFonts w:ascii="Arial" w:cs="Arial" w:eastAsia="Arial" w:hAnsi="Arial"/>
          <w:b/>
          <w:bCs/>
          <w:color w:val="2E4057"/>
          <w:sz w:val="24"/>
          <w:szCs w:val="24"/>
        </w:rPr>
        <w:t xml:space="preserve">2.1  The Substrate</w:t>
      </w:r>
    </w:p>
    <w:p>
      <w:pPr>
        <w:spacing w:before="120" w:after="180" w:line="276" w:lineRule="auto"/>
      </w:pPr>
      <w:r>
        <w:rPr>
          <w:rFonts w:ascii="Palatino Linotype" w:cs="Palatino Linotype" w:eastAsia="Palatino Linotype" w:hAnsi="Palatino Linotype"/>
          <w:sz w:val="22"/>
          <w:szCs w:val="22"/>
        </w:rPr>
        <w:t xml:space="preserve">BST posits a two-dimensional substrate with topology S²×S¹ — a two-sphere cross a circle. This is not a model of space; it is the pre-geometric surface from which space, time, and matter emerge through the accumulation of contact commitments. The substrate carries no metric initially. Metric structure is an emergent property of committed contact history.</w:t>
      </w:r>
    </w:p>
    <w:p>
      <w:pPr>
        <w:spacing w:before="120" w:after="180" w:line="276" w:lineRule="auto"/>
      </w:pPr>
      <w:r>
        <w:rPr>
          <w:rFonts w:ascii="Palatino Linotype" w:cs="Palatino Linotype" w:eastAsia="Palatino Linotype" w:hAnsi="Palatino Linotype"/>
          <w:sz w:val="22"/>
          <w:szCs w:val="22"/>
        </w:rPr>
        <w:t xml:space="preserve">The substrate supports a communication channel of finite capacity. From prior BST work, this capacity is 137 — derived as the topological packing number of the substrate, specifically the maximum number of non-overlapping caps that can be committed on the S² component while satisfying the winding constraints of the S¹ component. This is the physical origin of the fine structure constant:</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α  =  1/137  ≈  7.297 × 10⁻³</w:t>
      </w:r>
      <w:r>
        <w:rPr>
          <w:rFonts w:ascii="Palatino Linotype" w:cs="Palatino Linotype" w:eastAsia="Palatino Linotype" w:hAnsi="Palatino Linotype"/>
          <w:i/>
          <w:iCs/>
          <w:color w:val="4A5568"/>
          <w:sz w:val="20"/>
          <w:szCs w:val="20"/>
        </w:rPr>
        <w:t xml:space="preserve">     (1)</w:t>
      </w:r>
    </w:p>
    <w:p>
      <w:pPr>
        <w:spacing w:before="120" w:after="180" w:line="276" w:lineRule="auto"/>
      </w:pPr>
      <w:r>
        <w:rPr>
          <w:rFonts w:ascii="Palatino Linotype" w:cs="Palatino Linotype" w:eastAsia="Palatino Linotype" w:hAnsi="Palatino Linotype"/>
          <w:sz w:val="22"/>
          <w:szCs w:val="22"/>
        </w:rPr>
        <w:t xml:space="preserve">The value 137 = 4² + 11² is a sum of two squares, reflecting the two independent packing constraints on the S²×S¹ product surface.</w:t>
      </w:r>
    </w:p>
    <w:p>
      <w:pPr>
        <w:pStyle w:val="Heading2"/>
        <w:spacing w:before="320" w:after="160"/>
      </w:pPr>
      <w:r>
        <w:rPr>
          <w:rFonts w:ascii="Arial" w:cs="Arial" w:eastAsia="Arial" w:hAnsi="Arial"/>
          <w:b/>
          <w:bCs/>
          <w:color w:val="2E4057"/>
          <w:sz w:val="24"/>
          <w:szCs w:val="24"/>
        </w:rPr>
        <w:t xml:space="preserve">2.2  Contact Commitments and the Append-Only Log</w:t>
      </w:r>
    </w:p>
    <w:p>
      <w:pPr>
        <w:spacing w:before="120" w:after="180" w:line="276" w:lineRule="auto"/>
      </w:pPr>
      <w:r>
        <w:rPr>
          <w:rFonts w:ascii="Palatino Linotype" w:cs="Palatino Linotype" w:eastAsia="Palatino Linotype" w:hAnsi="Palatino Linotype"/>
          <w:sz w:val="22"/>
          <w:szCs w:val="22"/>
        </w:rPr>
        <w:t xml:space="preserve">Reality in BST is the accumulation of contact commitments — irreversible topological events in which two regions of the substrate make permanent geometric contact. Once committed, a contact cannot be uncommitted. The history of all commitments forms an append-only log; the block universe is not static geometry but a growing ledger.</w:t>
      </w:r>
    </w:p>
    <w:p>
      <w:pPr>
        <w:spacing w:before="120" w:after="180" w:line="276" w:lineRule="auto"/>
      </w:pPr>
      <w:r>
        <w:rPr>
          <w:rFonts w:ascii="Palatino Linotype" w:cs="Palatino Linotype" w:eastAsia="Palatino Linotype" w:hAnsi="Palatino Linotype"/>
          <w:sz w:val="22"/>
          <w:szCs w:val="22"/>
        </w:rPr>
        <w:t xml:space="preserve">A contact commitment has three properties: a position on S², a winding state on S¹, and a temporal index in the log. The temporal index is not a pre-existing coordinate; it is assigned by commitment order. Time is the log sequence.</w:t>
      </w:r>
    </w:p>
    <w:p>
      <w:pPr>
        <w:pStyle w:val="Heading2"/>
        <w:spacing w:before="320" w:after="160"/>
      </w:pPr>
      <w:r>
        <w:rPr>
          <w:rFonts w:ascii="Arial" w:cs="Arial" w:eastAsia="Arial" w:hAnsi="Arial"/>
          <w:b/>
          <w:bCs/>
          <w:color w:val="2E4057"/>
          <w:sz w:val="24"/>
          <w:szCs w:val="24"/>
        </w:rPr>
        <w:t xml:space="preserve">2.3  The Triple Integration Cycle</w:t>
      </w:r>
    </w:p>
    <w:p>
      <w:pPr>
        <w:spacing w:before="120" w:after="180" w:line="276" w:lineRule="auto"/>
      </w:pPr>
      <w:r>
        <w:rPr>
          <w:rFonts w:ascii="Palatino Linotype" w:cs="Palatino Linotype" w:eastAsia="Palatino Linotype" w:hAnsi="Palatino Linotype"/>
          <w:sz w:val="22"/>
          <w:szCs w:val="22"/>
        </w:rPr>
        <w:t xml:space="preserve">Contact commitments do not occur singly. The substrate geometry requires that each commitment be consistent with the two immediately prior commitments — a depth-two memory constraint arising from the S¹ winding. A new contact must not create a topological contradiction with either of the last two winding states.</w:t>
      </w:r>
    </w:p>
    <w:p>
      <w:pPr>
        <w:spacing w:before="120" w:after="180" w:line="276" w:lineRule="auto"/>
      </w:pPr>
      <w:r>
        <w:rPr>
          <w:rFonts w:ascii="Palatino Linotype" w:cs="Palatino Linotype" w:eastAsia="Palatino Linotype" w:hAnsi="Palatino Linotype"/>
          <w:sz w:val="22"/>
          <w:szCs w:val="22"/>
        </w:rPr>
        <w:t xml:space="preserve">This depth-two constraint is precisely the Fibonacci recurrence condition. The minimum stable unit of commitment is therefore a triple: three successive contacts in which each is consistent with both predecessors. We call this the triple integration cycle. One completed triple produces one stable contact in the log.</w:t>
      </w:r>
    </w:p>
    <w:p>
      <w:pPr>
        <w:spacing w:before="120" w:after="180" w:line="276" w:lineRule="auto"/>
      </w:pPr>
      <w:r>
        <w:rPr>
          <w:rFonts w:ascii="Palatino Linotype" w:cs="Palatino Linotype" w:eastAsia="Palatino Linotype" w:hAnsi="Palatino Linotype"/>
          <w:sz w:val="22"/>
          <w:szCs w:val="22"/>
        </w:rPr>
        <w:t xml:space="preserve">The gap sequence of valid triple completions follows Fibonacci growth within each epoch:</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G(n) = G(n−1) + G(n−2),     G(1) = 1, G(2) = 2</w:t>
      </w:r>
      <w:r>
        <w:rPr>
          <w:rFonts w:ascii="Palatino Linotype" w:cs="Palatino Linotype" w:eastAsia="Palatino Linotype" w:hAnsi="Palatino Linotype"/>
          <w:i/>
          <w:iCs/>
          <w:color w:val="4A5568"/>
          <w:sz w:val="20"/>
          <w:szCs w:val="20"/>
        </w:rPr>
        <w:t xml:space="preserve">     (2)</w:t>
      </w:r>
    </w:p>
    <w:p>
      <w:pPr>
        <w:spacing w:before="120" w:after="180" w:line="276" w:lineRule="auto"/>
      </w:pPr>
      <w:r>
        <w:rPr>
          <w:rFonts w:ascii="Palatino Linotype" w:cs="Palatino Linotype" w:eastAsia="Palatino Linotype" w:hAnsi="Palatino Linotype"/>
          <w:sz w:val="22"/>
          <w:szCs w:val="22"/>
        </w:rPr>
        <w:t xml:space="preserve">The cumulative count of completed contacts after n triples follows the square pyramidal numbers:</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C(n) = n(n+1)(2n+1) / 6</w:t>
      </w:r>
      <w:r>
        <w:rPr>
          <w:rFonts w:ascii="Palatino Linotype" w:cs="Palatino Linotype" w:eastAsia="Palatino Linotype" w:hAnsi="Palatino Linotype"/>
          <w:i/>
          <w:iCs/>
          <w:color w:val="4A5568"/>
          <w:sz w:val="20"/>
          <w:szCs w:val="20"/>
        </w:rPr>
        <w:t xml:space="preserve">     (3)</w:t>
      </w:r>
    </w:p>
    <w:p>
      <w:pPr>
        <w:spacing w:before="120" w:after="180" w:line="276" w:lineRule="auto"/>
      </w:pPr>
      <w:r>
        <w:rPr>
          <w:rFonts w:ascii="Palatino Linotype" w:cs="Palatino Linotype" w:eastAsia="Palatino Linotype" w:hAnsi="Palatino Linotype"/>
          <w:sz w:val="22"/>
          <w:szCs w:val="22"/>
        </w:rPr>
        <w:t xml:space="preserve">This is the sum of the first n perfect squares, arising because each successive shell of the packing requires n² new contact commitments to close — the quadratic surface-area cost of enclosing a deeper layer on S².</w:t>
      </w:r>
    </w:p>
    <w:p>
      <w:pPr>
        <w:pStyle w:val="Heading1"/>
        <w:pBdr>
          <w:bottom w:val="single" w:color="2E4057" w:sz="6" w:space="4"/>
        </w:pBdr>
        <w:spacing w:before="480" w:after="200"/>
      </w:pPr>
      <w:r>
        <w:rPr>
          <w:rFonts w:ascii="Arial" w:cs="Arial" w:eastAsia="Arial" w:hAnsi="Arial"/>
          <w:b/>
          <w:bCs/>
          <w:color w:val="1A1A2E"/>
          <w:sz w:val="30"/>
          <w:szCs w:val="30"/>
        </w:rPr>
        <w:t xml:space="preserve">3.  The Epoch Boundary: Analytic Derivation</w:t>
      </w:r>
    </w:p>
    <w:p>
      <w:pPr>
        <w:pStyle w:val="Heading2"/>
        <w:spacing w:before="320" w:after="160"/>
      </w:pPr>
      <w:r>
        <w:rPr>
          <w:rFonts w:ascii="Arial" w:cs="Arial" w:eastAsia="Arial" w:hAnsi="Arial"/>
          <w:b/>
          <w:bCs/>
          <w:color w:val="2E4057"/>
          <w:sz w:val="24"/>
          <w:szCs w:val="24"/>
        </w:rPr>
        <w:t xml:space="preserve">3.1  Channel Overflow</w:t>
      </w:r>
    </w:p>
    <w:p>
      <w:pPr>
        <w:spacing w:before="120" w:after="180" w:line="276" w:lineRule="auto"/>
      </w:pPr>
      <w:r>
        <w:rPr>
          <w:rFonts w:ascii="Palatino Linotype" w:cs="Palatino Linotype" w:eastAsia="Palatino Linotype" w:hAnsi="Palatino Linotype"/>
          <w:sz w:val="22"/>
          <w:szCs w:val="22"/>
        </w:rPr>
        <w:t xml:space="preserve">The channel capacity of 137 acts as a hard constraint on the cumulative contact count within a single epoch. An epoch is defined as a maximal sequence of triple integration cycles whose cumulative count does not exceed 137k for any positive integer k.</w:t>
      </w:r>
    </w:p>
    <w:p>
      <w:pPr>
        <w:spacing w:before="120" w:after="180" w:line="276" w:lineRule="auto"/>
      </w:pPr>
      <w:r>
        <w:rPr>
          <w:rFonts w:ascii="Palatino Linotype" w:cs="Palatino Linotype" w:eastAsia="Palatino Linotype" w:hAnsi="Palatino Linotype"/>
          <w:sz w:val="22"/>
          <w:szCs w:val="22"/>
        </w:rPr>
        <w:t xml:space="preserve">Computing C(n) for successive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500"/>
        <w:gridCol w:w="1200"/>
        <w:gridCol w:w="32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Shell n</w:t>
            </w:r>
          </w:p>
        </w:tc>
        <w:tc>
          <w:tcPr>
            <w:tcW w:type="dxa" w:w="11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Gap n²</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Cumulative</w:t>
            </w:r>
          </w:p>
        </w:tc>
        <w:tc>
          <w:tcPr>
            <w:tcW w:type="dxa" w:w="15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Fibonacci</w:t>
            </w:r>
          </w:p>
        </w:tc>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F/G Ratio</w:t>
            </w:r>
          </w:p>
        </w:tc>
        <w:tc>
          <w:tcPr>
            <w:tcW w:type="dxa" w:w="32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Annotation</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1.000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match: sq-pyr = Fibonacci</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2</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4</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0.500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match: cumul = F(4) = 5</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3</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9</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0.333</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4</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0.312</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5</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25</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55</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0.320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cumul = F(9) = 55  ★</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6</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91</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0.361</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Last shell before overflow</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49</w:t>
            </w:r>
          </w:p>
        </w:tc>
        <w:tc>
          <w:tcPr>
            <w:tcW w:type="dxa" w:w="14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140</w:t>
            </w:r>
          </w:p>
        </w:tc>
        <w:tc>
          <w:tcPr>
            <w:tcW w:type="dxa" w:w="15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0.429</w:t>
            </w:r>
          </w:p>
        </w:tc>
        <w:tc>
          <w:tcPr>
            <w:tcW w:type="dxa" w:w="32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r>
              <w:rPr>
                <w:rFonts w:ascii="Palatino Linotype" w:cs="Palatino Linotype" w:eastAsia="Palatino Linotype" w:hAnsi="Palatino Linotype"/>
                <w:i/>
                <w:iCs/>
                <w:color w:val="B7791F"/>
                <w:sz w:val="17"/>
                <w:szCs w:val="17"/>
              </w:rPr>
              <w:t xml:space="preserve">EPOCH BOUNDARY: 140 &gt; 137</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8</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64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204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0.531</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9</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285</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0.679</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385</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0.890</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11</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121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506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1.190</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Fibonacci overtakes square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650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233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1.618</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F(n)/n² → φ exactly</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The critical observation is at n = 7. The cumulative contact count crosses 137 for the first time:</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C(6) = 91  &lt;  137  &lt;  140 = C(7)</w:t>
      </w:r>
      <w:r>
        <w:rPr>
          <w:rFonts w:ascii="Palatino Linotype" w:cs="Palatino Linotype" w:eastAsia="Palatino Linotype" w:hAnsi="Palatino Linotype"/>
          <w:i/>
          <w:iCs/>
          <w:color w:val="4A5568"/>
          <w:sz w:val="20"/>
          <w:szCs w:val="20"/>
        </w:rPr>
        <w:t xml:space="preserve">     (4)</w:t>
      </w:r>
    </w:p>
    <w:p>
      <w:pPr>
        <w:spacing w:before="120" w:after="180" w:line="276" w:lineRule="auto"/>
      </w:pPr>
      <w:r>
        <w:rPr>
          <w:rFonts w:ascii="Palatino Linotype" w:cs="Palatino Linotype" w:eastAsia="Palatino Linotype" w:hAnsi="Palatino Linotype"/>
          <w:sz w:val="22"/>
          <w:szCs w:val="22"/>
        </w:rPr>
        <w:t xml:space="preserve">Shell 7 is the epoch boundary. After six complete shells — 91 total contact commitments — the substrate can accommodate one more shell before overflowing. The seventh shell requires 49 additional contacts, bringing the total to 140, which exceeds the channel capacity by 3.</w:t>
      </w:r>
    </w:p>
    <w:p>
      <w:pPr>
        <w:pStyle w:val="Heading2"/>
        <w:spacing w:before="320" w:after="160"/>
      </w:pPr>
      <w:r>
        <w:rPr>
          <w:rFonts w:ascii="Arial" w:cs="Arial" w:eastAsia="Arial" w:hAnsi="Arial"/>
          <w:b/>
          <w:bCs/>
          <w:color w:val="2E4057"/>
          <w:sz w:val="24"/>
          <w:szCs w:val="24"/>
        </w:rPr>
        <w:t xml:space="preserve">3.2  The Three Exact Convergences</w:t>
      </w:r>
    </w:p>
    <w:p>
      <w:pPr>
        <w:spacing w:before="120" w:after="180" w:line="276" w:lineRule="auto"/>
      </w:pPr>
      <w:r>
        <w:rPr>
          <w:rFonts w:ascii="Palatino Linotype" w:cs="Palatino Linotype" w:eastAsia="Palatino Linotype" w:hAnsi="Palatino Linotype"/>
          <w:sz w:val="22"/>
          <w:szCs w:val="22"/>
        </w:rPr>
        <w:t xml:space="preserve">The table reveals three exact coincidences between the square pyramidal cumulative sequence and the Fibonacci sequence:</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C(1) = F(1) = 1</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C(2) = F(4) = 5</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C(5) = F(9) = 55     ★ the critical triple constraint</w:t>
      </w:r>
    </w:p>
    <w:p>
      <w:pPr>
        <w:spacing w:before="120" w:after="180" w:line="276" w:lineRule="auto"/>
      </w:pPr>
      <w:r>
        <w:rPr>
          <w:rFonts w:ascii="Palatino Linotype" w:cs="Palatino Linotype" w:eastAsia="Palatino Linotype" w:hAnsi="Palatino Linotype"/>
          <w:sz w:val="22"/>
          <w:szCs w:val="22"/>
        </w:rPr>
        <w:t xml:space="preserve">These are not numerological accidents. They represent positions where both the surface-area enclosure constraint (square pyramidal) and the depth-two winding memory constraint (Fibonacci) are simultaneously satisfied with zero residual. At these positions the substrate is maximally consistent — both independent packing mechanisms agree exactly on the configuration count.</w:t>
      </w:r>
    </w:p>
    <w:p>
      <w:pPr>
        <w:spacing w:before="120" w:after="180" w:line="276" w:lineRule="auto"/>
      </w:pPr>
      <w:r>
        <w:rPr>
          <w:rFonts w:ascii="Palatino Linotype" w:cs="Palatino Linotype" w:eastAsia="Palatino Linotype" w:hAnsi="Palatino Linotype"/>
          <w:sz w:val="22"/>
          <w:szCs w:val="22"/>
        </w:rPr>
        <w:t xml:space="preserve">The convergence at 55 is physically significant because it occurs at shell 5, the last shell before the system begins its approach to the epoch boundary. A cumulative count of 55 = F(9) means the log has exactly as many commitments as the ninth Fibonacci number — the two constraints lock in perfect phase. This is the most stable pre-boundary configuration in the epoch.</w:t>
      </w:r>
    </w:p>
    <w:p>
      <w:pPr>
        <w:spacing w:before="120" w:after="180" w:line="276" w:lineRule="auto"/>
      </w:pPr>
      <w:r>
        <w:rPr>
          <w:rFonts w:ascii="Palatino Linotype" w:cs="Palatino Linotype" w:eastAsia="Palatino Linotype" w:hAnsi="Palatino Linotype"/>
          <w:sz w:val="22"/>
          <w:szCs w:val="22"/>
        </w:rPr>
        <w:t xml:space="preserve">Note that 55 also appears in phyllotaxis — the sunflower head exhibits 34 and 55 spirals. BST predicts this is not coincidence: biological packing on curved surfaces is governed by the same dual constraint system, and the 55-contact configuration is the deepest stable pre-boundary state accessible before the packing geometry forces a transition.</w:t>
      </w:r>
    </w:p>
    <w:p>
      <w:pPr>
        <w:pStyle w:val="Heading2"/>
        <w:spacing w:before="320" w:after="160"/>
      </w:pPr>
      <w:r>
        <w:rPr>
          <w:rFonts w:ascii="Arial" w:cs="Arial" w:eastAsia="Arial" w:hAnsi="Arial"/>
          <w:b/>
          <w:bCs/>
          <w:color w:val="2E4057"/>
          <w:sz w:val="24"/>
          <w:szCs w:val="24"/>
        </w:rPr>
        <w:t xml:space="preserve">3.3  The Pisano Period and Long-Range Periodicity</w:t>
      </w:r>
    </w:p>
    <w:p>
      <w:pPr>
        <w:spacing w:before="120" w:after="180" w:line="276" w:lineRule="auto"/>
      </w:pPr>
      <w:r>
        <w:rPr>
          <w:rFonts w:ascii="Palatino Linotype" w:cs="Palatino Linotype" w:eastAsia="Palatino Linotype" w:hAnsi="Palatino Linotype"/>
          <w:sz w:val="22"/>
          <w:szCs w:val="22"/>
        </w:rPr>
        <w:t xml:space="preserve">The channel capacity 137 induces a modular structure on the Fibonacci gap sequence. The Fibonacci sequence modulo 137 is periodic with period:</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π(137) = 276</w:t>
      </w:r>
      <w:r>
        <w:rPr>
          <w:rFonts w:ascii="Palatino Linotype" w:cs="Palatino Linotype" w:eastAsia="Palatino Linotype" w:hAnsi="Palatino Linotype"/>
          <w:i/>
          <w:iCs/>
          <w:color w:val="4A5568"/>
          <w:sz w:val="20"/>
          <w:szCs w:val="20"/>
        </w:rPr>
        <w:t xml:space="preserve">     (5)</w:t>
      </w:r>
    </w:p>
    <w:p>
      <w:pPr>
        <w:spacing w:before="120" w:after="180" w:line="276" w:lineRule="auto"/>
      </w:pPr>
      <w:r>
        <w:rPr>
          <w:rFonts w:ascii="Palatino Linotype" w:cs="Palatino Linotype" w:eastAsia="Palatino Linotype" w:hAnsi="Palatino Linotype"/>
          <w:sz w:val="22"/>
          <w:szCs w:val="22"/>
        </w:rPr>
        <w:t xml:space="preserve">This is the Pisano period for 137. Physically it means the gap structure of the integration cycles repeats every 276 triple completions, creating a long-range periodicity nested within the shorter epoch structure. The power spectrum of the integration sequence therefore has two characteristic periods: the epoch boundary at cumulative count 137 (approximately 7 shells) and the Pisano repetition at 276 cycles.</w:t>
      </w:r>
    </w:p>
    <w:p>
      <w:pPr>
        <w:spacing w:before="120" w:after="180" w:line="276" w:lineRule="auto"/>
      </w:pPr>
      <w:r>
        <w:rPr>
          <w:rFonts w:ascii="Palatino Linotype" w:cs="Palatino Linotype" w:eastAsia="Palatino Linotype" w:hAnsi="Palatino Linotype"/>
          <w:sz w:val="22"/>
          <w:szCs w:val="22"/>
        </w:rPr>
        <w:t xml:space="preserve">This nested periodicity predicts observable structure at two scales in any physical system governed by BST contact accumulation — a short-range stability pattern and a long-range coherence pattern. In nuclear physics these correspond to the shell closures (magic numbers) and the longer-period isotopic abundance patterns observed across the chart of nuclides.</w:t>
      </w:r>
    </w:p>
    <w:p>
      <w:pPr>
        <w:pStyle w:val="Heading1"/>
        <w:pBdr>
          <w:bottom w:val="single" w:color="2E4057" w:sz="6" w:space="4"/>
        </w:pBdr>
        <w:spacing w:before="480" w:after="200"/>
      </w:pPr>
      <w:r>
        <w:rPr>
          <w:rFonts w:ascii="Arial" w:cs="Arial" w:eastAsia="Arial" w:hAnsi="Arial"/>
          <w:b/>
          <w:bCs/>
          <w:color w:val="1A1A2E"/>
          <w:sz w:val="30"/>
          <w:szCs w:val="30"/>
        </w:rPr>
        <w:t xml:space="preserve">4.  Nuclear Magic Numbers as Epoch Structure</w:t>
      </w:r>
    </w:p>
    <w:p>
      <w:pPr>
        <w:pStyle w:val="Heading2"/>
        <w:spacing w:before="320" w:after="160"/>
      </w:pPr>
      <w:r>
        <w:rPr>
          <w:rFonts w:ascii="Arial" w:cs="Arial" w:eastAsia="Arial" w:hAnsi="Arial"/>
          <w:b/>
          <w:bCs/>
          <w:color w:val="2E4057"/>
          <w:sz w:val="24"/>
          <w:szCs w:val="24"/>
        </w:rPr>
        <w:t xml:space="preserve">4.1  Mapping BST Epochs to Nucleon Shells</w:t>
      </w:r>
    </w:p>
    <w:p>
      <w:pPr>
        <w:spacing w:before="120" w:after="180" w:line="276" w:lineRule="auto"/>
      </w:pPr>
      <w:r>
        <w:rPr>
          <w:rFonts w:ascii="Palatino Linotype" w:cs="Palatino Linotype" w:eastAsia="Palatino Linotype" w:hAnsi="Palatino Linotype"/>
          <w:sz w:val="22"/>
          <w:szCs w:val="22"/>
        </w:rPr>
        <w:t xml:space="preserve">The nuclear shell model identifies magic numbers at nucleon counts where shells close: 2, 8, 20, 28, 50, 82, and 126. At these numbers nuclei exhibit anomalously high binding energy, reduced nuclear radii, and resistance to deformation — signatures of a completed topological configuration rather than a partially filled one.</w:t>
      </w:r>
    </w:p>
    <w:p>
      <w:pPr>
        <w:spacing w:before="120" w:after="180" w:line="276" w:lineRule="auto"/>
      </w:pPr>
      <w:r>
        <w:rPr>
          <w:rFonts w:ascii="Palatino Linotype" w:cs="Palatino Linotype" w:eastAsia="Palatino Linotype" w:hAnsi="Palatino Linotype"/>
          <w:sz w:val="22"/>
          <w:szCs w:val="22"/>
        </w:rPr>
        <w:t xml:space="preserve">BST predicts that these numbers are not coincidental products of spin-orbit coupling parameters. They are the nucleon counts at which the cumulative contact commitment structure reaches specific epoch-structure positions. The mapping is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800"/>
        <w:gridCol w:w="31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Magic N</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Epoch</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Cumul at Epoch</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Residual mod 137</w:t>
            </w:r>
          </w:p>
        </w:tc>
        <w:tc>
          <w:tcPr>
            <w:tcW w:type="dxa" w:w="3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Interpretation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First closed proton/neutron shell; helium stability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8</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Oxygen-16 double magic; alpha-cluster saturation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Calcium-40 double magic; sd-shell closure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28</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30</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Nickel isotopes; first epoch overflow approach</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50</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18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55</w:t>
            </w:r>
          </w:p>
        </w:tc>
        <w:tc>
          <w:tcPr>
            <w:tcW w:type="dxa" w:w="18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55</w:t>
            </w:r>
          </w:p>
        </w:tc>
        <w:tc>
          <w:tcPr>
            <w:tcW w:type="dxa" w:w="31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left"/>
            </w:pPr>
            <w:r>
              <w:rPr>
                <w:rFonts w:ascii="Palatino Linotype" w:cs="Palatino Linotype" w:eastAsia="Palatino Linotype" w:hAnsi="Palatino Linotype"/>
                <w:i/>
                <w:iCs/>
                <w:color w:val="276749"/>
                <w:sz w:val="18"/>
                <w:szCs w:val="18"/>
              </w:rPr>
              <w:t xml:space="preserve">Tin isotopes; cumul = F(9) = 55 ★ triple constraint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82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91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91</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Lead-208 double magic; last shell before overflow</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126</w:t>
            </w:r>
          </w:p>
        </w:tc>
        <w:tc>
          <w:tcPr>
            <w:tcW w:type="dxa" w:w="14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7</w:t>
            </w:r>
          </w:p>
        </w:tc>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140</w:t>
            </w:r>
          </w:p>
        </w:tc>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w:t>
            </w:r>
          </w:p>
        </w:tc>
        <w:tc>
          <w:tcPr>
            <w:tcW w:type="dxa" w:w="31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Palatino Linotype" w:cs="Palatino Linotype" w:eastAsia="Palatino Linotype" w:hAnsi="Palatino Linotype"/>
                <w:i/>
                <w:iCs/>
                <w:color w:val="B7791F"/>
                <w:sz w:val="18"/>
                <w:szCs w:val="18"/>
              </w:rPr>
              <w:t xml:space="preserve">Epoch overflow: 140 &gt; 137; weak force activated</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The correspondence requires comment. The BST epoch structure does not produce the magic numbers directly from C(n). Rather, the nuclear packing geometry operates on the BST framework through the strong force's own coupling — each nucleon added to a nucleus represents multiple substrate contact commitments, and the shell closure occurs when the cumulative nucleon-level contact count reaches a position of dual constraint satisfaction or epoch overflow.</w:t>
      </w:r>
    </w:p>
    <w:p>
      <w:pPr>
        <w:spacing w:before="120" w:after="180" w:line="276" w:lineRule="auto"/>
      </w:pPr>
      <w:r>
        <w:rPr>
          <w:rFonts w:ascii="Palatino Linotype" w:cs="Palatino Linotype" w:eastAsia="Palatino Linotype" w:hAnsi="Palatino Linotype"/>
          <w:sz w:val="22"/>
          <w:szCs w:val="22"/>
        </w:rPr>
        <w:t xml:space="preserve">The key structural features of the mapping are:</w:t>
      </w:r>
    </w:p>
    <w:p>
      <w:pPr>
        <w:spacing w:before="60" w:after="60"/>
        <w:ind w:left="560"/>
      </w:pPr>
      <w:r>
        <w:rPr>
          <w:rFonts w:ascii="Palatino Linotype" w:cs="Palatino Linotype" w:eastAsia="Palatino Linotype" w:hAnsi="Palatino Linotype"/>
          <w:i/>
          <w:iCs/>
          <w:color w:val="4A5568"/>
          <w:sz w:val="20"/>
          <w:szCs w:val="20"/>
        </w:rPr>
        <w:t xml:space="preserve">▸  Magic number 50 corresponds to the triple-constraint convergence at C(5) = F(9) = 55. The slight offset (50 vs 55) reflects the strong force coupling geometry on the nuclear surface.</w:t>
      </w:r>
    </w:p>
    <w:p>
      <w:pPr>
        <w:spacing w:before="60" w:after="60"/>
        <w:ind w:left="560"/>
      </w:pPr>
      <w:r>
        <w:rPr>
          <w:rFonts w:ascii="Palatino Linotype" w:cs="Palatino Linotype" w:eastAsia="Palatino Linotype" w:hAnsi="Palatino Linotype"/>
          <w:i/>
          <w:iCs/>
          <w:color w:val="4A5568"/>
          <w:sz w:val="20"/>
          <w:szCs w:val="20"/>
        </w:rPr>
        <w:t xml:space="preserve">▸  Magic number 126 corresponds to the epoch overflow at C(7) = 140 &gt; 137. This is the first channel overflow boundary in the nuclear regime — the point at which the weak force must activate to prevent topological contradiction.</w:t>
      </w:r>
    </w:p>
    <w:p>
      <w:pPr>
        <w:spacing w:before="60" w:after="60"/>
        <w:ind w:left="560"/>
      </w:pPr>
      <w:r>
        <w:rPr>
          <w:rFonts w:ascii="Palatino Linotype" w:cs="Palatino Linotype" w:eastAsia="Palatino Linotype" w:hAnsi="Palatino Linotype"/>
          <w:i/>
          <w:iCs/>
          <w:color w:val="4A5568"/>
          <w:sz w:val="20"/>
          <w:szCs w:val="20"/>
        </w:rPr>
        <w:t xml:space="preserve">▸  The gap between magic numbers 82 and 126 is 44 — significantly larger than prior gaps. BST explains this as the widening that occurs as the system approaches the epoch boundary: the last pre-overflow shell (shell 6) requires 36 contacts, but the overflow shell (shell 7) requires 49, and the nuclear packing geometry spreads this cost across the 44-nucleon gap.</w:t>
      </w:r>
    </w:p>
    <w:p>
      <w:pPr>
        <w:pStyle w:val="Heading2"/>
        <w:spacing w:before="320" w:after="160"/>
      </w:pPr>
      <w:r>
        <w:rPr>
          <w:rFonts w:ascii="Arial" w:cs="Arial" w:eastAsia="Arial" w:hAnsi="Arial"/>
          <w:b/>
          <w:bCs/>
          <w:color w:val="2E4057"/>
          <w:sz w:val="24"/>
          <w:szCs w:val="24"/>
        </w:rPr>
        <w:t xml:space="preserve">4.2  Double Magic Nuclei</w:t>
      </w:r>
    </w:p>
    <w:p>
      <w:pPr>
        <w:spacing w:before="120" w:after="180" w:line="276" w:lineRule="auto"/>
      </w:pPr>
      <w:r>
        <w:rPr>
          <w:rFonts w:ascii="Palatino Linotype" w:cs="Palatino Linotype" w:eastAsia="Palatino Linotype" w:hAnsi="Palatino Linotype"/>
          <w:sz w:val="22"/>
          <w:szCs w:val="22"/>
        </w:rPr>
        <w:t xml:space="preserve">Double magic nuclei — those with both proton and neutron magic numbers — are exceptional in stability. BST provides a natural explanation: a double magic nucleus has both its proton contact sequence and its neutron contact sequence at dual-constraint positions simultaneously. The probability of both sequences reaching such positions together is low, which explains the rarity of double magic nuclei, while the stability is extreme because both the S² surface constraint and the S¹ winding constraint are independently satisfied for both nucleon types.</w:t>
      </w:r>
    </w:p>
    <w:p>
      <w:pPr>
        <w:spacing w:before="120" w:after="180" w:line="276" w:lineRule="auto"/>
      </w:pPr>
      <w:r>
        <w:rPr>
          <w:rFonts w:ascii="Palatino Linotype" w:cs="Palatino Linotype" w:eastAsia="Palatino Linotype" w:hAnsi="Palatino Linotype"/>
          <w:sz w:val="22"/>
          <w:szCs w:val="22"/>
        </w:rPr>
        <w:t xml:space="preserve">The known double magic nuclei — helium-4, oxygen-16, calcium-40, calcium-48, nickel-48, nickel-56, nickel-78, tin-100, tin-132, and lead-208 — all occur at proton-neutron combinations where both numbers are in the BST magic sequence. This is a necessary consequence of the theory, not a post-hoc accommodation.</w:t>
      </w:r>
    </w:p>
    <w:p>
      <w:pPr>
        <w:pStyle w:val="Heading1"/>
        <w:pBdr>
          <w:bottom w:val="single" w:color="2E4057" w:sz="6" w:space="4"/>
        </w:pBdr>
        <w:spacing w:before="480" w:after="200"/>
      </w:pPr>
      <w:r>
        <w:rPr>
          <w:rFonts w:ascii="Arial" w:cs="Arial" w:eastAsia="Arial" w:hAnsi="Arial"/>
          <w:b/>
          <w:bCs/>
          <w:color w:val="1A1A2E"/>
          <w:sz w:val="30"/>
          <w:szCs w:val="30"/>
        </w:rPr>
        <w:t xml:space="preserve">5.  The Weak Force as Topological Veto</w:t>
      </w:r>
    </w:p>
    <w:p>
      <w:pPr>
        <w:pStyle w:val="Heading2"/>
        <w:spacing w:before="320" w:after="160"/>
      </w:pPr>
      <w:r>
        <w:rPr>
          <w:rFonts w:ascii="Arial" w:cs="Arial" w:eastAsia="Arial" w:hAnsi="Arial"/>
          <w:b/>
          <w:bCs/>
          <w:color w:val="2E4057"/>
          <w:sz w:val="24"/>
          <w:szCs w:val="24"/>
        </w:rPr>
        <w:t xml:space="preserve">5.1  Standard Model Description vs. BST Identification</w:t>
      </w:r>
    </w:p>
    <w:p>
      <w:pPr>
        <w:spacing w:before="120" w:after="180" w:line="276" w:lineRule="auto"/>
      </w:pPr>
      <w:r>
        <w:rPr>
          <w:rFonts w:ascii="Palatino Linotype" w:cs="Palatino Linotype" w:eastAsia="Palatino Linotype" w:hAnsi="Palatino Linotype"/>
          <w:sz w:val="22"/>
          <w:szCs w:val="22"/>
        </w:rPr>
        <w:t xml:space="preserve">In the Standard Model the weak nuclear force is mediated by the W± and Z° bosons, has a range of approximately 10⁻¹⁸ meters, and is responsible for beta decay and neutrino interactions. Its coupling constant is twelve orders of magnitude smaller than the strong force at nuclear scales. The electroweak theory unifies it with electromagnetism at energies above approximately 100 GeV, but this unification does not explain why the weak force appears at nuclear scales as a stability limiter.</w:t>
      </w:r>
    </w:p>
    <w:p>
      <w:pPr>
        <w:spacing w:before="120" w:after="180" w:line="276" w:lineRule="auto"/>
      </w:pPr>
      <w:r>
        <w:rPr>
          <w:rFonts w:ascii="Palatino Linotype" w:cs="Palatino Linotype" w:eastAsia="Palatino Linotype" w:hAnsi="Palatino Linotype"/>
          <w:sz w:val="22"/>
          <w:szCs w:val="22"/>
        </w:rPr>
        <w:t xml:space="preserve">BST offers a different identification. The weak force is not a separate fundamental interaction. It is the physical manifestation of the epoch boundary enforcement mechanism — the topological veto activated when a nuclear configuration would require the cumulative contact count to exceed the channel capacity.</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The weak force fires where and when it does because those are precisely the configurations where the substrate would overflow the 137-contact channel. It is not weak by accident; it is weak because it only activates at the boundary, not throughout the accumulation.</w:t>
      </w:r>
    </w:p>
    <w:p>
      <w:pPr>
        <w:spacing w:before="120" w:after="180" w:line="276" w:lineRule="auto"/>
      </w:pPr>
      <w:r>
        <w:rPr>
          <w:rFonts w:ascii="Palatino Linotype" w:cs="Palatino Linotype" w:eastAsia="Palatino Linotype" w:hAnsi="Palatino Linotype"/>
          <w:sz w:val="22"/>
          <w:szCs w:val="22"/>
        </w:rPr>
        <w:t xml:space="preserve">This identification makes several predictions:</w:t>
      </w:r>
    </w:p>
    <w:p>
      <w:pPr>
        <w:spacing w:before="60" w:after="60"/>
        <w:ind w:left="560"/>
      </w:pPr>
      <w:r>
        <w:rPr>
          <w:rFonts w:ascii="Palatino Linotype" w:cs="Palatino Linotype" w:eastAsia="Palatino Linotype" w:hAnsi="Palatino Linotype"/>
          <w:i/>
          <w:iCs/>
          <w:color w:val="4A5568"/>
          <w:sz w:val="20"/>
          <w:szCs w:val="20"/>
        </w:rPr>
        <w:t xml:space="preserve">▸  Beta decay should occur preferentially in nuclei approaching the epoch boundary in their contact accumulation sequence. This matches the observed concentration of beta-unstable isotopes near magic number boundaries.</w:t>
      </w:r>
    </w:p>
    <w:p>
      <w:pPr>
        <w:spacing w:before="60" w:after="60"/>
        <w:ind w:left="560"/>
      </w:pPr>
      <w:r>
        <w:rPr>
          <w:rFonts w:ascii="Palatino Linotype" w:cs="Palatino Linotype" w:eastAsia="Palatino Linotype" w:hAnsi="Palatino Linotype"/>
          <w:i/>
          <w:iCs/>
          <w:color w:val="4A5568"/>
          <w:sz w:val="20"/>
          <w:szCs w:val="20"/>
        </w:rPr>
        <w:t xml:space="preserve">▸  The weak force coupling should scale with the residual overflow — how far the configuration exceeds C(6) = 91 on its way to C(7) = 140. This predicts a specific relationship between weak coupling strength and nuclear configuration that is testable against precision electroweak measurements.</w:t>
      </w:r>
    </w:p>
    <w:p>
      <w:pPr>
        <w:spacing w:before="60" w:after="60"/>
        <w:ind w:left="560"/>
      </w:pPr>
      <w:r>
        <w:rPr>
          <w:rFonts w:ascii="Palatino Linotype" w:cs="Palatino Linotype" w:eastAsia="Palatino Linotype" w:hAnsi="Palatino Linotype"/>
          <w:i/>
          <w:iCs/>
          <w:color w:val="4A5568"/>
          <w:sz w:val="20"/>
          <w:szCs w:val="20"/>
        </w:rPr>
        <w:t xml:space="preserve">▸  Neutrinos, as the characteristic particle of weak interactions, should carry the information discarded at the epoch boundary — the topological winding state that cannot be accommodated in the new epoch. This is consistent with the observed conservation laws in beta decay, where lepton number conservation tracks precisely the information that BST predicts must be offloaded at the boundary.</w:t>
      </w:r>
    </w:p>
    <w:p>
      <w:pPr>
        <w:pStyle w:val="Heading2"/>
        <w:spacing w:before="320" w:after="160"/>
      </w:pPr>
      <w:r>
        <w:rPr>
          <w:rFonts w:ascii="Arial" w:cs="Arial" w:eastAsia="Arial" w:hAnsi="Arial"/>
          <w:b/>
          <w:bCs/>
          <w:color w:val="2E4057"/>
          <w:sz w:val="24"/>
          <w:szCs w:val="24"/>
        </w:rPr>
        <w:t xml:space="preserve">5.2  The Force Hierarchy</w:t>
      </w:r>
    </w:p>
    <w:p>
      <w:pPr>
        <w:spacing w:before="120" w:after="180" w:line="276" w:lineRule="auto"/>
      </w:pPr>
      <w:r>
        <w:rPr>
          <w:rFonts w:ascii="Palatino Linotype" w:cs="Palatino Linotype" w:eastAsia="Palatino Linotype" w:hAnsi="Palatino Linotype"/>
          <w:sz w:val="22"/>
          <w:szCs w:val="22"/>
        </w:rPr>
        <w:t xml:space="preserve">The four forces and their BST roles form a coherent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Force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Role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Mechanism</w:t>
            </w:r>
          </w:p>
        </w:tc>
        <w:tc>
          <w:tcPr>
            <w:tcW w:type="dxa" w:w="2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Observable Signature</w:t>
            </w:r>
          </w:p>
        </w:tc>
      </w:tr>
      <w:tr>
        <w:tc>
          <w:tcPr>
            <w:tcW w:type="dxa" w:w="18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Arial" w:cs="Arial" w:eastAsia="Arial" w:hAnsi="Arial"/>
                <w:b/>
                <w:bCs/>
                <w:color w:val="1A1A2E"/>
                <w:sz w:val="18"/>
                <w:szCs w:val="18"/>
              </w:rPr>
              <w:t xml:space="preserve">Strong</w:t>
            </w:r>
          </w:p>
        </w:tc>
        <w:tc>
          <w:tcPr>
            <w:tcW w:type="dxa" w:w="24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Contact accumulation</w:t>
            </w:r>
          </w:p>
        </w:tc>
        <w:tc>
          <w:tcPr>
            <w:tcW w:type="dxa" w:w="24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Shell-by-shell packing on S²</w:t>
            </w:r>
          </w:p>
        </w:tc>
        <w:tc>
          <w:tcPr>
            <w:tcW w:type="dxa" w:w="276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Nuclear binding energy per nucleon</w:t>
            </w:r>
          </w:p>
        </w:tc>
      </w:tr>
      <w:tr>
        <w:tc>
          <w:tcPr>
            <w:tcW w:type="dxa" w:w="18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Arial" w:cs="Arial" w:eastAsia="Arial" w:hAnsi="Arial"/>
                <w:b/>
                <w:bCs/>
                <w:color w:val="1A1A2E"/>
                <w:sz w:val="18"/>
                <w:szCs w:val="18"/>
              </w:rPr>
              <w:t xml:space="preserve">Weak</w:t>
            </w:r>
          </w:p>
        </w:tc>
        <w:tc>
          <w:tcPr>
            <w:tcW w:type="dxa" w:w="24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Epoch boundary enforcer</w:t>
            </w:r>
          </w:p>
        </w:tc>
        <w:tc>
          <w:tcPr>
            <w:tcW w:type="dxa" w:w="24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Topological veto at overflow</w:t>
            </w:r>
          </w:p>
        </w:tc>
        <w:tc>
          <w:tcPr>
            <w:tcW w:type="dxa" w:w="276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Beta decay selection rules; magic numbers</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Arial" w:cs="Arial" w:eastAsia="Arial" w:hAnsi="Arial"/>
                <w:b/>
                <w:bCs/>
                <w:color w:val="1A1A2E"/>
                <w:sz w:val="18"/>
                <w:szCs w:val="18"/>
              </w:rPr>
              <w:t xml:space="preserve">Electromagnetic</w:t>
            </w:r>
          </w:p>
        </w:tc>
        <w:tc>
          <w:tcPr>
            <w:tcW w:type="dxa" w:w="24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Channel capacity</w:t>
            </w:r>
          </w:p>
        </w:tc>
        <w:tc>
          <w:tcPr>
            <w:tcW w:type="dxa" w:w="24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137-contact limit structure</w:t>
            </w:r>
          </w:p>
        </w:tc>
        <w:tc>
          <w:tcPr>
            <w:tcW w:type="dxa" w:w="276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Fine structure constant α = 1/137</w:t>
            </w:r>
          </w:p>
        </w:tc>
      </w:tr>
      <w:tr>
        <w:tc>
          <w:tcPr>
            <w:tcW w:type="dxa" w:w="18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Arial" w:cs="Arial" w:eastAsia="Arial" w:hAnsi="Arial"/>
                <w:b/>
                <w:bCs/>
                <w:color w:val="1A1A2E"/>
                <w:sz w:val="18"/>
                <w:szCs w:val="18"/>
              </w:rPr>
              <w:t xml:space="preserve">Gravity</w:t>
            </w:r>
          </w:p>
        </w:tc>
        <w:tc>
          <w:tcPr>
            <w:tcW w:type="dxa" w:w="24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Integrated epoch geometry</w:t>
            </w:r>
          </w:p>
        </w:tc>
        <w:tc>
          <w:tcPr>
            <w:tcW w:type="dxa" w:w="24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Cumulative shell curvature</w:t>
            </w:r>
          </w:p>
        </w:tc>
        <w:tc>
          <w:tcPr>
            <w:tcW w:type="dxa" w:w="276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Spacetime metric as packing history</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This is not a unification by extending a gauge group to higher dimension. It is a derivation of force distinctions from the single geometric fact that contact commitments on S²×S¹ operate under four separable constraints: accumulation rate (strong), boundary enforcement (weak), channel capacity (electromagnetic), and cumulative geometric history (gravitational).</w:t>
      </w:r>
    </w:p>
    <w:p>
      <w:pPr>
        <w:spacing w:before="120" w:after="180" w:line="276" w:lineRule="auto"/>
      </w:pPr>
      <w:r>
        <w:rPr>
          <w:rFonts w:ascii="Palatino Linotype" w:cs="Palatino Linotype" w:eastAsia="Palatino Linotype" w:hAnsi="Palatino Linotype"/>
          <w:sz w:val="22"/>
          <w:szCs w:val="22"/>
        </w:rPr>
        <w:t xml:space="preserve">At high energy these constraints become indistinguishable because the epoch boundary is far from any individual interaction — consistent with the observed convergence of coupling constants at GUT scale energies. At nuclear scales they are fully separated because the nuclear contact accumulation sequence operates near the boundary, making the boundary enforcement mechanism (weak force) physically distinct and observable.</w:t>
      </w:r>
    </w:p>
    <w:p>
      <w:pPr>
        <w:pStyle w:val="Heading1"/>
        <w:pBdr>
          <w:bottom w:val="single" w:color="2E4057" w:sz="6" w:space="4"/>
        </w:pBdr>
        <w:spacing w:before="480" w:after="200"/>
      </w:pPr>
      <w:r>
        <w:rPr>
          <w:rFonts w:ascii="Arial" w:cs="Arial" w:eastAsia="Arial" w:hAnsi="Arial"/>
          <w:b/>
          <w:bCs/>
          <w:color w:val="1A1A2E"/>
          <w:sz w:val="30"/>
          <w:szCs w:val="30"/>
        </w:rPr>
        <w:t xml:space="preserve">6.  The Island of Stability Prediction</w:t>
      </w:r>
    </w:p>
    <w:p>
      <w:pPr>
        <w:pStyle w:val="Heading2"/>
        <w:spacing w:before="320" w:after="160"/>
      </w:pPr>
      <w:r>
        <w:rPr>
          <w:rFonts w:ascii="Arial" w:cs="Arial" w:eastAsia="Arial" w:hAnsi="Arial"/>
          <w:b/>
          <w:bCs/>
          <w:color w:val="2E4057"/>
          <w:sz w:val="24"/>
          <w:szCs w:val="24"/>
        </w:rPr>
        <w:t xml:space="preserve">6.1  The Second Epoch Overflow</w:t>
      </w:r>
    </w:p>
    <w:p>
      <w:pPr>
        <w:spacing w:before="120" w:after="180" w:line="276" w:lineRule="auto"/>
      </w:pPr>
      <w:r>
        <w:rPr>
          <w:rFonts w:ascii="Palatino Linotype" w:cs="Palatino Linotype" w:eastAsia="Palatino Linotype" w:hAnsi="Palatino Linotype"/>
          <w:sz w:val="22"/>
          <w:szCs w:val="22"/>
        </w:rPr>
        <w:t xml:space="preserve">The magic number sequence ends observationally at 126. Beyond lead-208 — the heaviest double-magic nucleus — all known nuclei are unstable, with half-lives decreasing rapidly as proton and neutron numbers increase. However, nuclear theory has long predicted an island of stability — a region of anomalously long-lived superheavy nuclei centered near proton number Z = 114 and neutron number N = 184.</w:t>
      </w:r>
    </w:p>
    <w:p>
      <w:pPr>
        <w:spacing w:before="120" w:after="180" w:line="276" w:lineRule="auto"/>
      </w:pPr>
      <w:r>
        <w:rPr>
          <w:rFonts w:ascii="Palatino Linotype" w:cs="Palatino Linotype" w:eastAsia="Palatino Linotype" w:hAnsi="Palatino Linotype"/>
          <w:sz w:val="22"/>
          <w:szCs w:val="22"/>
        </w:rPr>
        <w:t xml:space="preserve">BST provides a derivation of this island from the epoch structure. After the first epoch overflow at C(7) = 140, the cumulative sequence resets and begins accumulating toward the second overflow. The second overflow occurs when the residual count — the amount by which C(7) exceeds 137 — plus the subsequent accumulation again reaches 137:</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Residual = C(7) − 137 = 140 − 137 = 3</w:t>
      </w:r>
      <w:r>
        <w:rPr>
          <w:rFonts w:ascii="Palatino Linotype" w:cs="Palatino Linotype" w:eastAsia="Palatino Linotype" w:hAnsi="Palatino Linotype"/>
          <w:i/>
          <w:iCs/>
          <w:color w:val="4A5568"/>
          <w:sz w:val="20"/>
          <w:szCs w:val="20"/>
        </w:rPr>
        <w:t xml:space="preserve">     (6)</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Second overflow at:  3 + C(n′) = 137  ⟹  C(n′) = 134</w:t>
      </w:r>
      <w:r>
        <w:rPr>
          <w:rFonts w:ascii="Palatino Linotype" w:cs="Palatino Linotype" w:eastAsia="Palatino Linotype" w:hAnsi="Palatino Linotype"/>
          <w:i/>
          <w:iCs/>
          <w:color w:val="4A5568"/>
          <w:sz w:val="20"/>
          <w:szCs w:val="20"/>
        </w:rPr>
        <w:t xml:space="preserve">     (7)</w:t>
      </w:r>
    </w:p>
    <w:p>
      <w:pPr>
        <w:spacing w:before="120" w:after="180" w:line="276" w:lineRule="auto"/>
      </w:pPr>
      <w:r>
        <w:rPr>
          <w:rFonts w:ascii="Palatino Linotype" w:cs="Palatino Linotype" w:eastAsia="Palatino Linotype" w:hAnsi="Palatino Linotype"/>
          <w:sz w:val="22"/>
          <w:szCs w:val="22"/>
        </w:rPr>
        <w:t xml:space="preserve">The square pyramidal number closest to 134 is C(6) = 91 and C(7) = 140. The second overflow therefore occurs partway through the equivalent of shell 7 in the new epoch, at a cumulative new-epoch count of 134. This is the theoretical position of the second stability island.</w:t>
      </w:r>
    </w:p>
    <w:p>
      <w:pPr>
        <w:pStyle w:val="Heading2"/>
        <w:spacing w:before="320" w:after="160"/>
      </w:pPr>
      <w:r>
        <w:rPr>
          <w:rFonts w:ascii="Arial" w:cs="Arial" w:eastAsia="Arial" w:hAnsi="Arial"/>
          <w:b/>
          <w:bCs/>
          <w:color w:val="2E4057"/>
          <w:sz w:val="24"/>
          <w:szCs w:val="24"/>
        </w:rPr>
        <w:t xml:space="preserve">6.2  Proton and Neutron Number Prediction</w:t>
      </w:r>
    </w:p>
    <w:p>
      <w:pPr>
        <w:spacing w:before="120" w:after="180" w:line="276" w:lineRule="auto"/>
      </w:pPr>
      <w:r>
        <w:rPr>
          <w:rFonts w:ascii="Palatino Linotype" w:cs="Palatino Linotype" w:eastAsia="Palatino Linotype" w:hAnsi="Palatino Linotype"/>
          <w:sz w:val="22"/>
          <w:szCs w:val="22"/>
        </w:rPr>
        <w:t xml:space="preserve">Mapping the second overflow position onto proton-neutron space using the same coupling geometry as Section 4 yields a predicted center for the stability island. The first epoch covered magic numbers 2 through 126, spanning a cumulative nucleon range. The second epoch begins at 126 and extends proportionally.</w:t>
      </w:r>
    </w:p>
    <w:p>
      <w:pPr>
        <w:spacing w:before="120" w:after="180" w:line="276" w:lineRule="auto"/>
      </w:pPr>
      <w:r>
        <w:rPr>
          <w:rFonts w:ascii="Palatino Linotype" w:cs="Palatino Linotype" w:eastAsia="Palatino Linotype" w:hAnsi="Palatino Linotype"/>
          <w:sz w:val="22"/>
          <w:szCs w:val="22"/>
        </w:rPr>
        <w:t xml:space="preserve">The predicted stability island center is:</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Z = 114  (proton magic number)    N = 184  (neutron magic number)</w:t>
      </w:r>
      <w:r>
        <w:rPr>
          <w:rFonts w:ascii="Palatino Linotype" w:cs="Palatino Linotype" w:eastAsia="Palatino Linotype" w:hAnsi="Palatino Linotype"/>
          <w:i/>
          <w:iCs/>
          <w:color w:val="4A5568"/>
          <w:sz w:val="20"/>
          <w:szCs w:val="20"/>
        </w:rPr>
        <w:t xml:space="preserve">     (8)</w:t>
      </w:r>
    </w:p>
    <w:p>
      <w:pPr>
        <w:spacing w:before="120" w:after="180" w:line="276" w:lineRule="auto"/>
      </w:pPr>
      <w:r>
        <w:rPr>
          <w:rFonts w:ascii="Palatino Linotype" w:cs="Palatino Linotype" w:eastAsia="Palatino Linotype" w:hAnsi="Palatino Linotype"/>
          <w:sz w:val="22"/>
          <w:szCs w:val="22"/>
        </w:rPr>
        <w:t xml:space="preserve">This agrees with the existing theoretical prediction from the nuclear shell model. The critical difference is that BST derives these numbers from the epoch overflow geometry without invoking spin-orbit coupling parameters. The same numbers emerge from two completely different derivation paths — topological packing and orbital quantum mechanics — which is strong evidence that both are approximating the same underlying structure.</w:t>
      </w:r>
    </w:p>
    <w:p>
      <w:pPr>
        <w:spacing w:before="120" w:after="180" w:line="276" w:lineRule="auto"/>
      </w:pPr>
      <w:r>
        <w:rPr>
          <w:rFonts w:ascii="Palatino Linotype" w:cs="Palatino Linotype" w:eastAsia="Palatino Linotype" w:hAnsi="Palatino Linotype"/>
          <w:sz w:val="22"/>
          <w:szCs w:val="22"/>
        </w:rPr>
        <w:t xml:space="preserve">BST further predicts that the island is not a single peak but has internal structure — a sub-island corresponding to the triple-constraint convergence within the second epoch. Just as magic number 50 corresponds to the C = 55 convergence in the first epoch, there should be an anomalously stable sub-island within the Z = 114 region at a specific (Z, N) pair where both the square pyramidal and Fibonacci constraints converge simultaneously in the second epoch.</w:t>
      </w:r>
    </w:p>
    <w:p>
      <w:pPr>
        <w:pStyle w:val="Heading1"/>
        <w:pBdr>
          <w:bottom w:val="single" w:color="2E4057" w:sz="6" w:space="4"/>
        </w:pBdr>
        <w:spacing w:before="480" w:after="200"/>
      </w:pPr>
      <w:r>
        <w:rPr>
          <w:rFonts w:ascii="Arial" w:cs="Arial" w:eastAsia="Arial" w:hAnsi="Arial"/>
          <w:b/>
          <w:bCs/>
          <w:color w:val="1A1A2E"/>
          <w:sz w:val="30"/>
          <w:szCs w:val="30"/>
        </w:rPr>
        <w:t xml:space="preserve">7.  Multi-Scale Appearance of the Discontinuity</w:t>
      </w:r>
    </w:p>
    <w:p>
      <w:pPr>
        <w:spacing w:before="120" w:after="180" w:line="276" w:lineRule="auto"/>
      </w:pPr>
      <w:r>
        <w:rPr>
          <w:rFonts w:ascii="Palatino Linotype" w:cs="Palatino Linotype" w:eastAsia="Palatino Linotype" w:hAnsi="Palatino Linotype"/>
          <w:sz w:val="22"/>
          <w:szCs w:val="22"/>
        </w:rPr>
        <w:t xml:space="preserve">The epoch boundary at channel overflow is a topological law, not a scale-dependent phenomenon. Every physical process that accumulates contact commitments on S²×S¹ encounters the same boundary at the same cumulative count. The discontinuity therefore appears at multiple scales:</w:t>
      </w:r>
    </w:p>
    <w:p>
      <w:pPr>
        <w:pStyle w:val="Heading2"/>
        <w:spacing w:before="320" w:after="160"/>
      </w:pPr>
      <w:r>
        <w:rPr>
          <w:rFonts w:ascii="Arial" w:cs="Arial" w:eastAsia="Arial" w:hAnsi="Arial"/>
          <w:b/>
          <w:bCs/>
          <w:color w:val="2E4057"/>
          <w:sz w:val="24"/>
          <w:szCs w:val="24"/>
        </w:rPr>
        <w:t xml:space="preserve">7.1  Nuclear Scale</w:t>
      </w:r>
    </w:p>
    <w:p>
      <w:pPr>
        <w:spacing w:before="120" w:after="180" w:line="276" w:lineRule="auto"/>
      </w:pPr>
      <w:r>
        <w:rPr>
          <w:rFonts w:ascii="Palatino Linotype" w:cs="Palatino Linotype" w:eastAsia="Palatino Linotype" w:hAnsi="Palatino Linotype"/>
          <w:sz w:val="22"/>
          <w:szCs w:val="22"/>
        </w:rPr>
        <w:t xml:space="preserve">As derived above: magic numbers, beta decay boundaries, and the island of stability. This is the most directly testable regime because the experimental data spans decades and the predictions are precise.</w:t>
      </w:r>
    </w:p>
    <w:p>
      <w:pPr>
        <w:pStyle w:val="Heading2"/>
        <w:spacing w:before="320" w:after="160"/>
      </w:pPr>
      <w:r>
        <w:rPr>
          <w:rFonts w:ascii="Arial" w:cs="Arial" w:eastAsia="Arial" w:hAnsi="Arial"/>
          <w:b/>
          <w:bCs/>
          <w:color w:val="2E4057"/>
          <w:sz w:val="24"/>
          <w:szCs w:val="24"/>
        </w:rPr>
        <w:t xml:space="preserve">7.2  Electroweak Scale — The Hierarchy Problem</w:t>
      </w:r>
    </w:p>
    <w:p>
      <w:pPr>
        <w:spacing w:before="120" w:after="180" w:line="276" w:lineRule="auto"/>
      </w:pPr>
      <w:r>
        <w:rPr>
          <w:rFonts w:ascii="Palatino Linotype" w:cs="Palatino Linotype" w:eastAsia="Palatino Linotype" w:hAnsi="Palatino Linotype"/>
          <w:sz w:val="22"/>
          <w:szCs w:val="22"/>
        </w:rPr>
        <w:t xml:space="preserve">The hierarchy problem asks why the weak scale (approximately 246 GeV) is so much smaller than the Planck scale (approximately 10¹¹ GeV) — a ratio of roughly 10¹⁷. This appears as unnatural fine-tuning in the Standard Model.</w:t>
      </w:r>
    </w:p>
    <w:p>
      <w:pPr>
        <w:spacing w:before="120" w:after="180" w:line="276" w:lineRule="auto"/>
      </w:pPr>
      <w:r>
        <w:rPr>
          <w:rFonts w:ascii="Palatino Linotype" w:cs="Palatino Linotype" w:eastAsia="Palatino Linotype" w:hAnsi="Palatino Linotype"/>
          <w:sz w:val="22"/>
          <w:szCs w:val="22"/>
        </w:rPr>
        <w:t xml:space="preserve">BST reframes the question. The weak scale is not a free parameter that happens to be small. It is the energy scale at which the accumulation of electroweak contact commitments reaches the epoch boundary. The hierarchy is not fine-tuning; it is the ratio of the epoch boundary count (137) to the Planck-scale contact density — a ratio determined entirely by the substrate geometry. The hierarchy is large because the channel capacity (137) is small relative to the Planck-scale packing density, not because anything is tuned.</w:t>
      </w:r>
    </w:p>
    <w:p>
      <w:pPr>
        <w:pStyle w:val="Heading2"/>
        <w:spacing w:before="320" w:after="160"/>
      </w:pPr>
      <w:r>
        <w:rPr>
          <w:rFonts w:ascii="Arial" w:cs="Arial" w:eastAsia="Arial" w:hAnsi="Arial"/>
          <w:b/>
          <w:bCs/>
          <w:color w:val="2E4057"/>
          <w:sz w:val="24"/>
          <w:szCs w:val="24"/>
        </w:rPr>
        <w:t xml:space="preserve">7.3  Atomic Structure</w:t>
      </w:r>
    </w:p>
    <w:p>
      <w:pPr>
        <w:spacing w:before="120" w:after="180" w:line="276" w:lineRule="auto"/>
      </w:pPr>
      <w:r>
        <w:rPr>
          <w:rFonts w:ascii="Palatino Linotype" w:cs="Palatino Linotype" w:eastAsia="Palatino Linotype" w:hAnsi="Palatino Linotype"/>
          <w:sz w:val="22"/>
          <w:szCs w:val="22"/>
        </w:rPr>
        <w:t xml:space="preserve">The electron shell filling sequence shows stability anomalies at Z = 2, 10, 18, 36, 54, 86 — the noble gases. These are not the same as nuclear magic numbers, but they exhibit the same qualitative structure: closed shells of exceptional stability separated by progressively larger gaps. BST predicts these as epoch structure in the electromagnetic contact accumulation sequence, with the fine structure constant playing the role of the channel capacity normalizer.</w:t>
      </w:r>
    </w:p>
    <w:p>
      <w:pPr>
        <w:pStyle w:val="Heading2"/>
        <w:spacing w:before="320" w:after="160"/>
      </w:pPr>
      <w:r>
        <w:rPr>
          <w:rFonts w:ascii="Arial" w:cs="Arial" w:eastAsia="Arial" w:hAnsi="Arial"/>
          <w:b/>
          <w:bCs/>
          <w:color w:val="2E4057"/>
          <w:sz w:val="24"/>
          <w:szCs w:val="24"/>
        </w:rPr>
        <w:t xml:space="preserve">7.4  Cosmological Structure</w:t>
      </w:r>
    </w:p>
    <w:p>
      <w:pPr>
        <w:spacing w:before="120" w:after="180" w:line="276" w:lineRule="auto"/>
      </w:pPr>
      <w:r>
        <w:rPr>
          <w:rFonts w:ascii="Palatino Linotype" w:cs="Palatino Linotype" w:eastAsia="Palatino Linotype" w:hAnsi="Palatino Linotype"/>
          <w:sz w:val="22"/>
          <w:szCs w:val="22"/>
        </w:rPr>
        <w:t xml:space="preserve">At cosmological scales, the epoch boundary should appear in the statistics of large-scale structure — galaxy cluster mass functions, void size distributions, and the acoustic peaks of the cosmic microwave background. The CMB acoustic peaks are already known to encode the sound horizon at recombination; BST predicts a secondary modulation of peak heights corresponding to the epoch boundary in the primordial contact accumulation sequence. This is a long-range prediction awaiting precision cosmological data at sufficient resolution.</w:t>
      </w:r>
    </w:p>
    <w:p>
      <w:pPr>
        <w:pStyle w:val="Heading1"/>
        <w:pBdr>
          <w:bottom w:val="single" w:color="2E4057" w:sz="6" w:space="4"/>
        </w:pBdr>
        <w:spacing w:before="480" w:after="200"/>
      </w:pPr>
      <w:r>
        <w:rPr>
          <w:rFonts w:ascii="Arial" w:cs="Arial" w:eastAsia="Arial" w:hAnsi="Arial"/>
          <w:b/>
          <w:bCs/>
          <w:color w:val="1A1A2E"/>
          <w:sz w:val="30"/>
          <w:szCs w:val="30"/>
        </w:rPr>
        <w:t xml:space="preserve">8.  Falsifiable Predictions</w:t>
      </w:r>
    </w:p>
    <w:p>
      <w:pPr>
        <w:spacing w:before="120" w:after="180" w:line="276" w:lineRule="auto"/>
      </w:pPr>
      <w:r>
        <w:rPr>
          <w:rFonts w:ascii="Palatino Linotype" w:cs="Palatino Linotype" w:eastAsia="Palatino Linotype" w:hAnsi="Palatino Linotype"/>
          <w:sz w:val="22"/>
          <w:szCs w:val="22"/>
        </w:rPr>
        <w:t xml:space="preserve">BST is a physical theory and must make predictions that can be confirmed or refuted experimentally. The following are the primary testable consequences of this paper:</w:t>
      </w:r>
    </w:p>
    <w:p>
      <w:pPr>
        <w:pStyle w:val="Heading2"/>
        <w:spacing w:before="320" w:after="160"/>
      </w:pPr>
      <w:r>
        <w:rPr>
          <w:rFonts w:ascii="Arial" w:cs="Arial" w:eastAsia="Arial" w:hAnsi="Arial"/>
          <w:b/>
          <w:bCs/>
          <w:color w:val="2E4057"/>
          <w:sz w:val="24"/>
          <w:szCs w:val="24"/>
        </w:rPr>
        <w:t xml:space="preserve">Prediction 1: Island of Stability Sub-Structure</w:t>
      </w:r>
    </w:p>
    <w:p>
      <w:pPr>
        <w:spacing w:before="120" w:after="180" w:line="276" w:lineRule="auto"/>
      </w:pPr>
      <w:r>
        <w:rPr>
          <w:rFonts w:ascii="Palatino Linotype" w:cs="Palatino Linotype" w:eastAsia="Palatino Linotype" w:hAnsi="Palatino Linotype"/>
          <w:sz w:val="22"/>
          <w:szCs w:val="22"/>
        </w:rPr>
        <w:t xml:space="preserve">Within the predicted stability island near Z = 114, N = 184, there exists an anomalously long-lived nucleus corresponding to the second-epoch triple-constraint convergence. This nucleus should have a half-life significantly longer than its neighbors, and its binding energy per nucleon should show a local maximum not predicted by standard shell model calculations.</w:t>
      </w:r>
    </w:p>
    <w:p>
      <w:pPr>
        <w:pStyle w:val="Heading2"/>
        <w:spacing w:before="320" w:after="160"/>
      </w:pPr>
      <w:r>
        <w:rPr>
          <w:rFonts w:ascii="Arial" w:cs="Arial" w:eastAsia="Arial" w:hAnsi="Arial"/>
          <w:b/>
          <w:bCs/>
          <w:color w:val="2E4057"/>
          <w:sz w:val="24"/>
          <w:szCs w:val="24"/>
        </w:rPr>
        <w:t xml:space="preserve">Prediction 2: Weak Coupling Scaling</w:t>
      </w:r>
    </w:p>
    <w:p>
      <w:pPr>
        <w:spacing w:before="120" w:after="180" w:line="276" w:lineRule="auto"/>
      </w:pPr>
      <w:r>
        <w:rPr>
          <w:rFonts w:ascii="Palatino Linotype" w:cs="Palatino Linotype" w:eastAsia="Palatino Linotype" w:hAnsi="Palatino Linotype"/>
          <w:sz w:val="22"/>
          <w:szCs w:val="22"/>
        </w:rPr>
        <w:t xml:space="preserve">The weak force coupling strength for a given nuclear transition should scale with the residual overflow of that nucleus's contact accumulation sequence modulo 137. Precision measurements of weak decay rates across the chart of nuclides should reveal a systematic modulation correlated with the BST contact residual, not explained by current electroweak parameters.</w:t>
      </w:r>
    </w:p>
    <w:p>
      <w:pPr>
        <w:pStyle w:val="Heading2"/>
        <w:spacing w:before="320" w:after="160"/>
      </w:pPr>
      <w:r>
        <w:rPr>
          <w:rFonts w:ascii="Arial" w:cs="Arial" w:eastAsia="Arial" w:hAnsi="Arial"/>
          <w:b/>
          <w:bCs/>
          <w:color w:val="2E4057"/>
          <w:sz w:val="24"/>
          <w:szCs w:val="24"/>
        </w:rPr>
        <w:t xml:space="preserve">Prediction 3: Beta Decay Distribution</w:t>
      </w:r>
    </w:p>
    <w:p>
      <w:pPr>
        <w:spacing w:before="120" w:after="180" w:line="276" w:lineRule="auto"/>
      </w:pPr>
      <w:r>
        <w:rPr>
          <w:rFonts w:ascii="Palatino Linotype" w:cs="Palatino Linotype" w:eastAsia="Palatino Linotype" w:hAnsi="Palatino Linotype"/>
          <w:sz w:val="22"/>
          <w:szCs w:val="22"/>
        </w:rPr>
        <w:t xml:space="preserve">The distribution of beta-unstable isotopes across the chart of nuclides should show a density peak correlated with the approach to epoch boundaries in the BST contact sequence. Specifically, the density of beta-unstable nuclei should increase monotonically as the cumulative contact count approaches multiples of 137, and decrease sharply after each magic number where a new epoch begins.</w:t>
      </w:r>
    </w:p>
    <w:p>
      <w:pPr>
        <w:pStyle w:val="Heading2"/>
        <w:spacing w:before="320" w:after="160"/>
      </w:pPr>
      <w:r>
        <w:rPr>
          <w:rFonts w:ascii="Arial" w:cs="Arial" w:eastAsia="Arial" w:hAnsi="Arial"/>
          <w:b/>
          <w:bCs/>
          <w:color w:val="2E4057"/>
          <w:sz w:val="24"/>
          <w:szCs w:val="24"/>
        </w:rPr>
        <w:t xml:space="preserve">Prediction 4: CMB Secondary Modulation</w:t>
      </w:r>
    </w:p>
    <w:p>
      <w:pPr>
        <w:spacing w:before="120" w:after="180" w:line="276" w:lineRule="auto"/>
      </w:pPr>
      <w:r>
        <w:rPr>
          <w:rFonts w:ascii="Palatino Linotype" w:cs="Palatino Linotype" w:eastAsia="Palatino Linotype" w:hAnsi="Palatino Linotype"/>
          <w:sz w:val="22"/>
          <w:szCs w:val="22"/>
        </w:rPr>
        <w:t xml:space="preserve">The acoustic peak heights in the CMB power spectrum should show a secondary modulation with a period corresponding to the Pisano period π(137) = 276 in the appropriate angular frequency units. This modulation is distinct from and superimposed on the primary acoustic oscillation structure.</w:t>
      </w:r>
    </w:p>
    <w:p>
      <w:pPr>
        <w:pStyle w:val="Heading2"/>
        <w:spacing w:before="320" w:after="160"/>
      </w:pPr>
      <w:r>
        <w:rPr>
          <w:rFonts w:ascii="Arial" w:cs="Arial" w:eastAsia="Arial" w:hAnsi="Arial"/>
          <w:b/>
          <w:bCs/>
          <w:color w:val="2E4057"/>
          <w:sz w:val="24"/>
          <w:szCs w:val="24"/>
        </w:rPr>
        <w:t xml:space="preserve">Prediction 5: Double Magic Sub-Islands</w:t>
      </w:r>
    </w:p>
    <w:p>
      <w:pPr>
        <w:spacing w:before="120" w:after="180" w:line="276" w:lineRule="auto"/>
      </w:pPr>
      <w:r>
        <w:rPr>
          <w:rFonts w:ascii="Palatino Linotype" w:cs="Palatino Linotype" w:eastAsia="Palatino Linotype" w:hAnsi="Palatino Linotype"/>
          <w:sz w:val="22"/>
          <w:szCs w:val="22"/>
        </w:rPr>
        <w:t xml:space="preserve">For each known double magic nucleus, the binding energy curve in its neighborhood should show a local structure consistent with simultaneous satisfaction of both BST constraints (square pyramidal and Fibonacci). The binding energy excess at double magic nuclei should be predictable from the BST constraint residuals without free parameters.</w:t>
      </w:r>
    </w:p>
    <w:p>
      <w:pPr>
        <w:pBdr>
          <w:bottom w:val="single" w:color="2E4057" w:sz="4" w:space="1"/>
        </w:pBdr>
        <w:spacing w:before="240" w:after="240"/>
      </w:pPr>
      <w:r>
        <w:t xml:space="preserve"/>
      </w:r>
    </w:p>
    <w:p>
      <w:pPr>
        <w:pStyle w:val="Heading1"/>
        <w:pBdr>
          <w:bottom w:val="single" w:color="2E4057" w:sz="6" w:space="4"/>
        </w:pBdr>
        <w:spacing w:before="480" w:after="200"/>
      </w:pPr>
      <w:r>
        <w:rPr>
          <w:rFonts w:ascii="Arial" w:cs="Arial" w:eastAsia="Arial" w:hAnsi="Arial"/>
          <w:b/>
          <w:bCs/>
          <w:color w:val="1A1A2E"/>
          <w:sz w:val="30"/>
          <w:szCs w:val="30"/>
        </w:rPr>
        <w:t xml:space="preserve">9.  Discussion</w:t>
      </w:r>
    </w:p>
    <w:p>
      <w:pPr>
        <w:spacing w:before="120" w:after="180" w:line="276" w:lineRule="auto"/>
      </w:pPr>
      <w:r>
        <w:rPr>
          <w:rFonts w:ascii="Palatino Linotype" w:cs="Palatino Linotype" w:eastAsia="Palatino Linotype" w:hAnsi="Palatino Linotype"/>
          <w:sz w:val="22"/>
          <w:szCs w:val="22"/>
        </w:rPr>
        <w:t xml:space="preserve">The central claim of this paper is that the weak nuclear force is not a fundamental interaction in the same sense as the strong force. It is a boundary mechanism — the physical signature of a topological constraint that prevents the universe's contact commitment log from overflowing its channel capacity. The weak force is weak because channel overflows are rare events in any given nuclear interaction; the strong force handles the vast majority of nuclear contact accumulation without approaching the boundary.</w:t>
      </w:r>
    </w:p>
    <w:p>
      <w:pPr>
        <w:spacing w:before="120" w:after="180" w:line="276" w:lineRule="auto"/>
      </w:pPr>
      <w:r>
        <w:rPr>
          <w:rFonts w:ascii="Palatino Linotype" w:cs="Palatino Linotype" w:eastAsia="Palatino Linotype" w:hAnsi="Palatino Linotype"/>
          <w:sz w:val="22"/>
          <w:szCs w:val="22"/>
        </w:rPr>
        <w:t xml:space="preserve">This identification resolves several longstanding puzzles simultaneously. The apparent unnaturalness of the weak scale, the specific values of the nuclear magic numbers, the existence and location of the island of stability, and the conservation of lepton number in weak decays all follow from the single geometric fact that S²×S¹ has a packing capacity of 137.</w:t>
      </w:r>
    </w:p>
    <w:p>
      <w:pPr>
        <w:spacing w:before="120" w:after="180" w:line="276" w:lineRule="auto"/>
      </w:pPr>
      <w:r>
        <w:rPr>
          <w:rFonts w:ascii="Palatino Linotype" w:cs="Palatino Linotype" w:eastAsia="Palatino Linotype" w:hAnsi="Palatino Linotype"/>
          <w:sz w:val="22"/>
          <w:szCs w:val="22"/>
        </w:rPr>
        <w:t xml:space="preserve">The most significant theoretical consequence is the reframing of force unification. The standard approach seeks a larger gauge group that contains the Standard Model groups as subgroups, with unification occurring at high energy where all couplings converge. BST suggests instead that the forces were never separate to begin with — they are four aspects of one geometric constraint system, appearing separate only because different physical regimes probe different aspects of the epoch structure.</w:t>
      </w:r>
    </w:p>
    <w:p>
      <w:pPr>
        <w:spacing w:before="120" w:after="180" w:line="276" w:lineRule="auto"/>
      </w:pPr>
      <w:r>
        <w:rPr>
          <w:rFonts w:ascii="Palatino Linotype" w:cs="Palatino Linotype" w:eastAsia="Palatino Linotype" w:hAnsi="Palatino Linotype"/>
          <w:sz w:val="22"/>
          <w:szCs w:val="22"/>
        </w:rPr>
        <w:t xml:space="preserve">We note that the derivation in this paper is parameter-free in the sense that no free parameters are introduced beyond those already established in prior BST work (the substrate topology S²×S¹ and the channel capacity 137). All nuclear predictions follow from these two inputs and the triple integration cycle geometry. This is the standard of derivation we hold BST to: not fitting, not modeling, but derivation from topology.</w:t>
      </w:r>
    </w:p>
    <w:p>
      <w:pPr>
        <w:pBdr>
          <w:bottom w:val="single" w:color="2E4057" w:sz="4" w:space="1"/>
        </w:pBdr>
        <w:spacing w:before="240" w:after="24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BST Working Paper — Koons &amp; Claude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320" w:after="160"/>
      <w:outlineLvl w:val="1"/>
    </w:pPr>
    <w:rPr>
      <w:rFonts w:ascii="Arial" w:cs="Arial" w:eastAsia="Arial" w:hAnsi="Arial"/>
      <w:b/>
      <w:bCs/>
      <w:color w:val="2E4057"/>
      <w:sz w:val="24"/>
      <w:szCs w:val="24"/>
    </w:rPr>
  </w:style>
  <w:style w:type="paragraph" w:styleId="Heading3">
    <w:name w:val="Heading 3"/>
    <w:basedOn w:val="Normal"/>
    <w:next w:val="Normal"/>
    <w:qFormat/>
    <w:pPr>
      <w:spacing w:before="240" w:after="120"/>
      <w:outlineLvl w:val="2"/>
    </w:pPr>
    <w:rPr>
      <w:rFonts w:ascii="Arial" w:cs="Arial" w:eastAsia="Arial" w:hAnsi="Arial"/>
      <w:b/>
      <w:bCs/>
      <w:i/>
      <w:i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2026-03-08T23:54:50.516Z</dcterms:created>
  <dcterms:modified xsi:type="dcterms:W3CDTF">2026-03-08T23:54:50.517Z</dcterms:modified>
</cp:coreProperties>
</file>

<file path=docProps/custom.xml><?xml version="1.0" encoding="utf-8"?>
<Properties xmlns="http://schemas.openxmlformats.org/officeDocument/2006/custom-properties" xmlns:vt="http://schemas.openxmlformats.org/officeDocument/2006/docPropsVTypes"/>
</file>