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0BFA6" w14:textId="5803DE4B" w:rsidR="004E128D" w:rsidRPr="00FD1353" w:rsidRDefault="004E128D" w:rsidP="00B73DFB">
      <w:pPr>
        <w:spacing w:after="0" w:line="240" w:lineRule="auto"/>
        <w:rPr>
          <w:rFonts w:ascii="Times New Roman" w:hAnsi="Times New Roman" w:cs="Times New Roman"/>
          <w:i/>
          <w:sz w:val="24"/>
        </w:rPr>
      </w:pPr>
      <w:r>
        <w:rPr>
          <w:rFonts w:ascii="Times New Roman" w:hAnsi="Times New Roman" w:cs="Times New Roman"/>
          <w:b/>
          <w:i/>
          <w:sz w:val="24"/>
        </w:rPr>
        <w:t xml:space="preserve">Team 1: </w:t>
      </w:r>
      <w:r w:rsidR="00FD1353" w:rsidRPr="00FD1353">
        <w:rPr>
          <w:rFonts w:ascii="Times New Roman" w:hAnsi="Times New Roman" w:cs="Times New Roman"/>
          <w:i/>
          <w:sz w:val="24"/>
        </w:rPr>
        <w:t>Christos Korgan, Sarah Perez, Sheri Rosalia</w:t>
      </w:r>
    </w:p>
    <w:p w14:paraId="2773BC1D" w14:textId="77777777" w:rsidR="00FD1353" w:rsidRPr="004E128D" w:rsidRDefault="00FD1353" w:rsidP="00B73DFB">
      <w:pPr>
        <w:spacing w:after="0" w:line="240" w:lineRule="auto"/>
        <w:rPr>
          <w:rFonts w:ascii="Times New Roman" w:hAnsi="Times New Roman" w:cs="Times New Roman"/>
          <w:b/>
          <w:i/>
          <w:sz w:val="24"/>
        </w:rPr>
      </w:pPr>
      <w:bookmarkStart w:id="0" w:name="_GoBack"/>
      <w:bookmarkEnd w:id="0"/>
    </w:p>
    <w:p w14:paraId="339E86A7" w14:textId="4EFA81C2" w:rsidR="00B73DFB" w:rsidRDefault="00B73DFB" w:rsidP="00B73DFB">
      <w:pPr>
        <w:spacing w:after="0" w:line="240" w:lineRule="auto"/>
        <w:rPr>
          <w:rFonts w:ascii="Times New Roman" w:hAnsi="Times New Roman" w:cs="Times New Roman"/>
          <w:b/>
          <w:sz w:val="24"/>
        </w:rPr>
      </w:pPr>
      <w:r>
        <w:rPr>
          <w:rFonts w:ascii="Times New Roman" w:hAnsi="Times New Roman" w:cs="Times New Roman"/>
          <w:b/>
          <w:sz w:val="24"/>
        </w:rPr>
        <w:t>Problem Statement</w:t>
      </w:r>
    </w:p>
    <w:p w14:paraId="4CD12A07" w14:textId="2E89282F" w:rsidR="00F84E89" w:rsidRDefault="00B73DFB" w:rsidP="00B73DFB">
      <w:pPr>
        <w:spacing w:after="0" w:line="240" w:lineRule="auto"/>
        <w:rPr>
          <w:rFonts w:ascii="Times New Roman" w:hAnsi="Times New Roman" w:cs="Times New Roman"/>
          <w:sz w:val="24"/>
        </w:rPr>
      </w:pPr>
      <w:r>
        <w:rPr>
          <w:rFonts w:ascii="Times New Roman" w:hAnsi="Times New Roman" w:cs="Times New Roman"/>
          <w:sz w:val="24"/>
        </w:rPr>
        <w:tab/>
        <w:t>American colleges and universities continue to experience draconian funding cuts, impacting operations to include tuition hikes and a myriad of staffing issues</w:t>
      </w:r>
      <w:r w:rsidR="00021CD2">
        <w:rPr>
          <w:rFonts w:ascii="Times New Roman" w:hAnsi="Times New Roman" w:cs="Times New Roman"/>
          <w:sz w:val="24"/>
        </w:rPr>
        <w:t xml:space="preserve"> (Katsina et al., 2016; Mitchell, Leachman, &amp; Masterson, 2017)</w:t>
      </w:r>
      <w:r>
        <w:rPr>
          <w:rFonts w:ascii="Times New Roman" w:hAnsi="Times New Roman" w:cs="Times New Roman"/>
          <w:sz w:val="24"/>
        </w:rPr>
        <w:t>. At the same time, students are left to shoulder increased tuition and fees by arranging funding across multiple sources</w:t>
      </w:r>
      <w:r w:rsidR="009D0295">
        <w:rPr>
          <w:rFonts w:ascii="Times New Roman" w:hAnsi="Times New Roman" w:cs="Times New Roman"/>
          <w:sz w:val="24"/>
        </w:rPr>
        <w:t xml:space="preserve">. The cruciality of the aforemention is even more poignant for small, liberal arts and sciences institutions </w:t>
      </w:r>
      <w:r w:rsidR="00021CD2">
        <w:rPr>
          <w:rFonts w:ascii="Times New Roman" w:hAnsi="Times New Roman" w:cs="Times New Roman"/>
          <w:sz w:val="24"/>
        </w:rPr>
        <w:t>–</w:t>
      </w:r>
      <w:r w:rsidR="009D0295">
        <w:rPr>
          <w:rFonts w:ascii="Times New Roman" w:hAnsi="Times New Roman" w:cs="Times New Roman"/>
          <w:sz w:val="24"/>
        </w:rPr>
        <w:t xml:space="preserve"> </w:t>
      </w:r>
      <w:r w:rsidR="00021CD2">
        <w:rPr>
          <w:rFonts w:ascii="Times New Roman" w:hAnsi="Times New Roman" w:cs="Times New Roman"/>
          <w:sz w:val="24"/>
        </w:rPr>
        <w:t>closures continue to make the news and students scramble for direction (Biemiller, 2019).</w:t>
      </w:r>
      <w:r w:rsidR="00F84E89">
        <w:rPr>
          <w:rFonts w:ascii="Times New Roman" w:hAnsi="Times New Roman" w:cs="Times New Roman"/>
          <w:sz w:val="24"/>
        </w:rPr>
        <w:t xml:space="preserve"> Students’ mounting financial pressures make their persistence to graduation significantly less likely (Bonet &amp; Walters, 2016; Raji &amp; Schumacher, 2015), coupled with course-taking behaviors (Floyd, Shryock, Tripathi, Srinivasa, &amp; Simon, 2015</w:t>
      </w:r>
      <w:r w:rsidR="00841D1C">
        <w:rPr>
          <w:rFonts w:ascii="Times New Roman" w:hAnsi="Times New Roman" w:cs="Times New Roman"/>
          <w:sz w:val="24"/>
        </w:rPr>
        <w:t>; Wong, 2018</w:t>
      </w:r>
      <w:r w:rsidR="00F84E89">
        <w:rPr>
          <w:rFonts w:ascii="Times New Roman" w:hAnsi="Times New Roman" w:cs="Times New Roman"/>
          <w:sz w:val="24"/>
        </w:rPr>
        <w:t>)</w:t>
      </w:r>
      <w:r w:rsidR="00841D1C">
        <w:rPr>
          <w:rFonts w:ascii="Times New Roman" w:hAnsi="Times New Roman" w:cs="Times New Roman"/>
          <w:sz w:val="24"/>
        </w:rPr>
        <w:t>.</w:t>
      </w:r>
    </w:p>
    <w:p w14:paraId="43ED4ED4" w14:textId="6B2F1780" w:rsidR="00FB689D" w:rsidRDefault="00F84E89" w:rsidP="00B73DFB">
      <w:pPr>
        <w:spacing w:after="0" w:line="240" w:lineRule="auto"/>
        <w:rPr>
          <w:rFonts w:ascii="Times New Roman" w:hAnsi="Times New Roman" w:cs="Times New Roman"/>
          <w:sz w:val="24"/>
        </w:rPr>
      </w:pPr>
      <w:r>
        <w:rPr>
          <w:rFonts w:ascii="Times New Roman" w:hAnsi="Times New Roman" w:cs="Times New Roman"/>
          <w:sz w:val="24"/>
        </w:rPr>
        <w:tab/>
        <w:t>To explore the issue</w:t>
      </w:r>
      <w:r w:rsidR="00841D1C">
        <w:rPr>
          <w:rFonts w:ascii="Times New Roman" w:hAnsi="Times New Roman" w:cs="Times New Roman"/>
          <w:sz w:val="24"/>
        </w:rPr>
        <w:t xml:space="preserve"> in great depth</w:t>
      </w:r>
      <w:r>
        <w:rPr>
          <w:rFonts w:ascii="Times New Roman" w:hAnsi="Times New Roman" w:cs="Times New Roman"/>
          <w:sz w:val="24"/>
        </w:rPr>
        <w:t xml:space="preserve">, this investigation </w:t>
      </w:r>
      <w:r w:rsidR="00841D1C">
        <w:rPr>
          <w:rFonts w:ascii="Times New Roman" w:hAnsi="Times New Roman" w:cs="Times New Roman"/>
          <w:sz w:val="24"/>
        </w:rPr>
        <w:t>takes a case study approach and piecemeals disparate sources of quantitative information. This aggregation strategy offers a unique opportunity to delve into the issue, shedding light on the borderlands of the bottomline and the student experience. Surprisingly, to date, no single empirical investigation has offered multiple frames of reference within a singular context, despite the far-reaching implications of such work.</w:t>
      </w:r>
      <w:r w:rsidR="00FB689D">
        <w:rPr>
          <w:rFonts w:ascii="Times New Roman" w:hAnsi="Times New Roman" w:cs="Times New Roman"/>
          <w:sz w:val="24"/>
        </w:rPr>
        <w:t xml:space="preserve"> To respond to this area, using the data sources below, this work asks the following questions:</w:t>
      </w:r>
    </w:p>
    <w:p w14:paraId="08A56943" w14:textId="37ECDE73" w:rsidR="00FB689D" w:rsidRDefault="00FB689D" w:rsidP="00FB689D">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Does a </w:t>
      </w:r>
      <w:proofErr w:type="gramStart"/>
      <w:r>
        <w:rPr>
          <w:rFonts w:ascii="Times New Roman" w:hAnsi="Times New Roman" w:cs="Times New Roman"/>
          <w:sz w:val="24"/>
        </w:rPr>
        <w:t>particular sequence</w:t>
      </w:r>
      <w:proofErr w:type="gramEnd"/>
      <w:r>
        <w:rPr>
          <w:rFonts w:ascii="Times New Roman" w:hAnsi="Times New Roman" w:cs="Times New Roman"/>
          <w:sz w:val="24"/>
        </w:rPr>
        <w:t xml:space="preserve"> of courses benefit student persistence?</w:t>
      </w:r>
    </w:p>
    <w:p w14:paraId="151EAA03" w14:textId="31586E4F" w:rsidR="008358D5" w:rsidRDefault="008358D5" w:rsidP="008358D5">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Does sequence matter, after controlling for students’ background characteristics?</w:t>
      </w:r>
    </w:p>
    <w:p w14:paraId="1BA4A0F2" w14:textId="783E96A0" w:rsidR="00FB689D" w:rsidRDefault="00FB689D" w:rsidP="00FB689D">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Does institutional funding impact student persistence?</w:t>
      </w:r>
    </w:p>
    <w:p w14:paraId="14256AFE" w14:textId="2B982DC5" w:rsidR="008358D5" w:rsidRPr="00FB689D" w:rsidRDefault="008358D5" w:rsidP="008358D5">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How much does financial support help, after controlling for students’ background characteristics?</w:t>
      </w:r>
    </w:p>
    <w:p w14:paraId="243E42D9" w14:textId="039756F4" w:rsidR="00841D1C" w:rsidRDefault="00841D1C" w:rsidP="00B73DFB">
      <w:pPr>
        <w:spacing w:after="0" w:line="240" w:lineRule="auto"/>
        <w:rPr>
          <w:rFonts w:ascii="Times New Roman" w:hAnsi="Times New Roman" w:cs="Times New Roman"/>
          <w:sz w:val="24"/>
        </w:rPr>
      </w:pPr>
    </w:p>
    <w:p w14:paraId="5FEF7321" w14:textId="2F0223F5" w:rsidR="00841D1C" w:rsidRDefault="00841D1C" w:rsidP="00B73DFB">
      <w:pPr>
        <w:spacing w:after="0" w:line="240" w:lineRule="auto"/>
        <w:rPr>
          <w:rFonts w:ascii="Times New Roman" w:hAnsi="Times New Roman" w:cs="Times New Roman"/>
          <w:b/>
          <w:sz w:val="24"/>
        </w:rPr>
      </w:pPr>
      <w:r>
        <w:rPr>
          <w:rFonts w:ascii="Times New Roman" w:hAnsi="Times New Roman" w:cs="Times New Roman"/>
          <w:b/>
          <w:sz w:val="24"/>
        </w:rPr>
        <w:t>Data Sources</w:t>
      </w:r>
      <w:r w:rsidR="00FB689D">
        <w:rPr>
          <w:rFonts w:ascii="Times New Roman" w:hAnsi="Times New Roman" w:cs="Times New Roman"/>
          <w:b/>
          <w:sz w:val="24"/>
        </w:rPr>
        <w:t xml:space="preserve"> </w:t>
      </w:r>
    </w:p>
    <w:p w14:paraId="2E1F74BD" w14:textId="37A9E7AC" w:rsidR="00841D1C" w:rsidRPr="008358D5" w:rsidRDefault="00841D1C" w:rsidP="00B73DFB">
      <w:pPr>
        <w:spacing w:after="0" w:line="240" w:lineRule="auto"/>
        <w:rPr>
          <w:rFonts w:ascii="Times New Roman" w:hAnsi="Times New Roman" w:cs="Times New Roman"/>
          <w:i/>
          <w:sz w:val="24"/>
        </w:rPr>
      </w:pPr>
      <w:r w:rsidRPr="008358D5">
        <w:rPr>
          <w:rFonts w:ascii="Times New Roman" w:hAnsi="Times New Roman" w:cs="Times New Roman"/>
          <w:i/>
          <w:sz w:val="24"/>
        </w:rPr>
        <w:t>Institution-Level</w:t>
      </w:r>
    </w:p>
    <w:p w14:paraId="0C298BED" w14:textId="51C698F3" w:rsidR="00841D1C" w:rsidRDefault="00841D1C" w:rsidP="00841D1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Financial Aid and Funding Sources </w:t>
      </w:r>
      <w:r w:rsidR="00FB689D">
        <w:rPr>
          <w:rFonts w:ascii="Times New Roman" w:hAnsi="Times New Roman" w:cs="Times New Roman"/>
          <w:sz w:val="24"/>
        </w:rPr>
        <w:t>–</w:t>
      </w:r>
      <w:r>
        <w:rPr>
          <w:rFonts w:ascii="Times New Roman" w:hAnsi="Times New Roman" w:cs="Times New Roman"/>
          <w:sz w:val="24"/>
        </w:rPr>
        <w:t xml:space="preserve"> </w:t>
      </w:r>
      <w:r w:rsidR="00FB689D">
        <w:rPr>
          <w:rFonts w:ascii="Times New Roman" w:hAnsi="Times New Roman" w:cs="Times New Roman"/>
          <w:sz w:val="24"/>
        </w:rPr>
        <w:t>Populi, Student Information System</w:t>
      </w:r>
    </w:p>
    <w:p w14:paraId="4AE6729A" w14:textId="37076969" w:rsidR="00FB689D" w:rsidRDefault="00FB689D" w:rsidP="00841D1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Enrollment Data – Populi, Student Information System</w:t>
      </w:r>
    </w:p>
    <w:p w14:paraId="3263AEFF" w14:textId="2B556260" w:rsidR="00FB689D" w:rsidRDefault="00FB689D" w:rsidP="00841D1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Students’ Beliefs and Perceptions – Internal datasets derived from and collected through validated survey instrumentation</w:t>
      </w:r>
    </w:p>
    <w:p w14:paraId="05ABC256" w14:textId="69329DFF" w:rsidR="00FB689D" w:rsidRDefault="00FB689D" w:rsidP="00841D1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Students’ Performances – Data from the Educational Testing Service’s Proficiency Profile (ETS PP) measuring quantitative, written, and critical thinking abilities</w:t>
      </w:r>
    </w:p>
    <w:p w14:paraId="55E43DAA" w14:textId="00AD4A82" w:rsidR="00FB689D" w:rsidRDefault="00FB689D" w:rsidP="00FB689D">
      <w:pPr>
        <w:spacing w:after="0" w:line="240" w:lineRule="auto"/>
        <w:rPr>
          <w:rFonts w:ascii="Times New Roman" w:hAnsi="Times New Roman" w:cs="Times New Roman"/>
          <w:sz w:val="24"/>
        </w:rPr>
      </w:pPr>
    </w:p>
    <w:p w14:paraId="130FFEDF" w14:textId="24651F35" w:rsidR="00FB689D" w:rsidRPr="008358D5" w:rsidRDefault="00FB689D" w:rsidP="00FB689D">
      <w:pPr>
        <w:spacing w:after="0" w:line="240" w:lineRule="auto"/>
        <w:rPr>
          <w:rFonts w:ascii="Times New Roman" w:hAnsi="Times New Roman" w:cs="Times New Roman"/>
          <w:i/>
          <w:sz w:val="24"/>
        </w:rPr>
      </w:pPr>
      <w:r w:rsidRPr="008358D5">
        <w:rPr>
          <w:rFonts w:ascii="Times New Roman" w:hAnsi="Times New Roman" w:cs="Times New Roman"/>
          <w:i/>
          <w:sz w:val="24"/>
        </w:rPr>
        <w:t>Community-Level</w:t>
      </w:r>
    </w:p>
    <w:p w14:paraId="566B0972" w14:textId="776F37EE" w:rsidR="00FB689D" w:rsidRDefault="00FB689D" w:rsidP="00FB689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U.S. Census Data – Employed to glean insights into students’ communities of origin</w:t>
      </w:r>
    </w:p>
    <w:p w14:paraId="00C1A97D" w14:textId="7E2C726E" w:rsidR="00FB689D" w:rsidRPr="00FB689D" w:rsidRDefault="00FB689D" w:rsidP="00FB689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U.S. Dept. of Education – Used to collect detail on students’ high schools </w:t>
      </w:r>
    </w:p>
    <w:p w14:paraId="2A9C31C0" w14:textId="0820A155" w:rsidR="00021CD2" w:rsidRDefault="00021CD2" w:rsidP="00B73DFB">
      <w:pPr>
        <w:spacing w:after="0" w:line="240" w:lineRule="auto"/>
        <w:rPr>
          <w:rFonts w:ascii="Times New Roman" w:hAnsi="Times New Roman" w:cs="Times New Roman"/>
          <w:sz w:val="24"/>
        </w:rPr>
      </w:pPr>
    </w:p>
    <w:p w14:paraId="66D9E749" w14:textId="3F96DFB9" w:rsidR="008358D5" w:rsidRPr="008358D5" w:rsidRDefault="008358D5" w:rsidP="008358D5">
      <w:pPr>
        <w:spacing w:after="0" w:line="240" w:lineRule="auto"/>
        <w:jc w:val="center"/>
        <w:rPr>
          <w:rFonts w:ascii="Times New Roman" w:hAnsi="Times New Roman" w:cs="Times New Roman"/>
          <w:b/>
          <w:sz w:val="24"/>
        </w:rPr>
      </w:pPr>
      <w:r>
        <w:rPr>
          <w:rFonts w:ascii="Times New Roman" w:hAnsi="Times New Roman" w:cs="Times New Roman"/>
          <w:b/>
          <w:sz w:val="24"/>
        </w:rPr>
        <w:t>References</w:t>
      </w:r>
    </w:p>
    <w:p w14:paraId="4D353C6A" w14:textId="4B2575C3" w:rsidR="00F84E89" w:rsidRDefault="00F84E89" w:rsidP="00B73DFB">
      <w:pPr>
        <w:spacing w:after="0" w:line="240" w:lineRule="auto"/>
        <w:rPr>
          <w:rFonts w:ascii="Times New Roman" w:hAnsi="Times New Roman" w:cs="Times New Roman"/>
          <w:sz w:val="24"/>
        </w:rPr>
      </w:pPr>
      <w:r w:rsidRPr="00F84E89">
        <w:rPr>
          <w:rFonts w:ascii="Times New Roman" w:hAnsi="Times New Roman" w:cs="Times New Roman"/>
          <w:sz w:val="24"/>
        </w:rPr>
        <w:t xml:space="preserve">Biemiller, L. (2019, January 20). Small Colleges Get Experimental in Bid to Survive. Retrieved </w:t>
      </w:r>
      <w:r>
        <w:rPr>
          <w:rFonts w:ascii="Times New Roman" w:hAnsi="Times New Roman" w:cs="Times New Roman"/>
          <w:sz w:val="24"/>
        </w:rPr>
        <w:tab/>
      </w:r>
      <w:r w:rsidRPr="00F84E89">
        <w:rPr>
          <w:rFonts w:ascii="Times New Roman" w:hAnsi="Times New Roman" w:cs="Times New Roman"/>
          <w:sz w:val="24"/>
        </w:rPr>
        <w:t xml:space="preserve">February 16, 2019, from </w:t>
      </w:r>
      <w:hyperlink r:id="rId5" w:history="1">
        <w:r w:rsidRPr="00B15418">
          <w:rPr>
            <w:rStyle w:val="Hyperlink"/>
            <w:rFonts w:ascii="Times New Roman" w:hAnsi="Times New Roman" w:cs="Times New Roman"/>
            <w:sz w:val="24"/>
          </w:rPr>
          <w:t>https://www.chronicle.com/article/Small-Colleges-Get/245512</w:t>
        </w:r>
      </w:hyperlink>
    </w:p>
    <w:p w14:paraId="4DB173BA" w14:textId="2290B473" w:rsidR="00F84E89" w:rsidRDefault="00F84E89" w:rsidP="00B73DFB">
      <w:pPr>
        <w:spacing w:after="0" w:line="240" w:lineRule="auto"/>
        <w:rPr>
          <w:rFonts w:ascii="Times New Roman" w:hAnsi="Times New Roman" w:cs="Times New Roman"/>
          <w:sz w:val="24"/>
        </w:rPr>
      </w:pPr>
      <w:r w:rsidRPr="00F84E89">
        <w:rPr>
          <w:rFonts w:ascii="Times New Roman" w:hAnsi="Times New Roman" w:cs="Times New Roman"/>
          <w:sz w:val="24"/>
        </w:rPr>
        <w:t xml:space="preserve">Bonet, G., &amp; Walters, B. R. (2016). High impact practices: Student engagement and retention. </w:t>
      </w:r>
      <w:r>
        <w:rPr>
          <w:rFonts w:ascii="Times New Roman" w:hAnsi="Times New Roman" w:cs="Times New Roman"/>
          <w:sz w:val="24"/>
        </w:rPr>
        <w:tab/>
      </w:r>
      <w:r w:rsidRPr="00F84E89">
        <w:rPr>
          <w:rFonts w:ascii="Times New Roman" w:hAnsi="Times New Roman" w:cs="Times New Roman"/>
          <w:sz w:val="24"/>
        </w:rPr>
        <w:t>College Student Journal, 50(2), 224-235.</w:t>
      </w:r>
    </w:p>
    <w:p w14:paraId="24675B92" w14:textId="50798A81" w:rsidR="00F84E89" w:rsidRDefault="00F84E89" w:rsidP="00B73DFB">
      <w:pPr>
        <w:spacing w:after="0" w:line="240" w:lineRule="auto"/>
        <w:rPr>
          <w:rFonts w:ascii="Times New Roman" w:hAnsi="Times New Roman" w:cs="Times New Roman"/>
          <w:sz w:val="24"/>
        </w:rPr>
      </w:pPr>
      <w:r w:rsidRPr="00F84E89">
        <w:rPr>
          <w:rFonts w:ascii="Times New Roman" w:hAnsi="Times New Roman" w:cs="Times New Roman"/>
          <w:sz w:val="24"/>
        </w:rPr>
        <w:t xml:space="preserve">Froyd, J. E., Shryock, K. J., Tripathy, M., Srinivasa, A. R., &amp; Simon, R. C. (2015, June). Patterns </w:t>
      </w:r>
      <w:r>
        <w:rPr>
          <w:rFonts w:ascii="Times New Roman" w:hAnsi="Times New Roman" w:cs="Times New Roman"/>
          <w:sz w:val="24"/>
        </w:rPr>
        <w:tab/>
      </w:r>
      <w:r w:rsidRPr="00F84E89">
        <w:rPr>
          <w:rFonts w:ascii="Times New Roman" w:hAnsi="Times New Roman" w:cs="Times New Roman"/>
          <w:sz w:val="24"/>
        </w:rPr>
        <w:t xml:space="preserve">of Students’ Success: How Engineering Students Progress Through a Course Sequence. </w:t>
      </w:r>
      <w:r>
        <w:rPr>
          <w:rFonts w:ascii="Times New Roman" w:hAnsi="Times New Roman" w:cs="Times New Roman"/>
          <w:sz w:val="24"/>
        </w:rPr>
        <w:lastRenderedPageBreak/>
        <w:tab/>
      </w:r>
      <w:r w:rsidRPr="00F84E89">
        <w:rPr>
          <w:rFonts w:ascii="Times New Roman" w:hAnsi="Times New Roman" w:cs="Times New Roman"/>
          <w:sz w:val="24"/>
        </w:rPr>
        <w:t xml:space="preserve">In Persistence and Retention. 122nd American Society for Engineering Education </w:t>
      </w:r>
      <w:r>
        <w:rPr>
          <w:rFonts w:ascii="Times New Roman" w:hAnsi="Times New Roman" w:cs="Times New Roman"/>
          <w:sz w:val="24"/>
        </w:rPr>
        <w:tab/>
      </w:r>
      <w:r w:rsidRPr="00F84E89">
        <w:rPr>
          <w:rFonts w:ascii="Times New Roman" w:hAnsi="Times New Roman" w:cs="Times New Roman"/>
          <w:sz w:val="24"/>
        </w:rPr>
        <w:t>(ASEE) Annual Conference &amp; Exposition. Seattle, WA.</w:t>
      </w:r>
    </w:p>
    <w:p w14:paraId="761526E7" w14:textId="1D7AC1EB" w:rsidR="00021CD2" w:rsidRDefault="00021CD2" w:rsidP="00B73DFB">
      <w:pPr>
        <w:spacing w:after="0" w:line="240" w:lineRule="auto"/>
        <w:rPr>
          <w:rFonts w:ascii="Times New Roman" w:hAnsi="Times New Roman" w:cs="Times New Roman"/>
          <w:sz w:val="24"/>
        </w:rPr>
      </w:pPr>
      <w:r w:rsidRPr="00021CD2">
        <w:rPr>
          <w:rFonts w:ascii="Times New Roman" w:hAnsi="Times New Roman" w:cs="Times New Roman"/>
          <w:sz w:val="24"/>
        </w:rPr>
        <w:t xml:space="preserve">Katsinas, S. G., D'Amico, M. M., Friedel, J. N., Adair, J. L., Warner, J. L., &amp; Malley, M. S. </w:t>
      </w:r>
      <w:r w:rsidR="00F84E89">
        <w:rPr>
          <w:rFonts w:ascii="Times New Roman" w:hAnsi="Times New Roman" w:cs="Times New Roman"/>
          <w:sz w:val="24"/>
        </w:rPr>
        <w:tab/>
      </w:r>
      <w:r w:rsidRPr="00021CD2">
        <w:rPr>
          <w:rFonts w:ascii="Times New Roman" w:hAnsi="Times New Roman" w:cs="Times New Roman"/>
          <w:sz w:val="24"/>
        </w:rPr>
        <w:t xml:space="preserve">(2016). After the Great Recession: Higher Education's New Normal: An Analysis of </w:t>
      </w:r>
      <w:r w:rsidR="00F84E89">
        <w:rPr>
          <w:rFonts w:ascii="Times New Roman" w:hAnsi="Times New Roman" w:cs="Times New Roman"/>
          <w:sz w:val="24"/>
        </w:rPr>
        <w:tab/>
      </w:r>
      <w:r w:rsidRPr="00021CD2">
        <w:rPr>
          <w:rFonts w:ascii="Times New Roman" w:hAnsi="Times New Roman" w:cs="Times New Roman"/>
          <w:sz w:val="24"/>
        </w:rPr>
        <w:t>National Surveys of Access and Finance Issues, 2011 to 2015.</w:t>
      </w:r>
    </w:p>
    <w:p w14:paraId="78A645CE" w14:textId="4B0235B8" w:rsidR="00021CD2" w:rsidRDefault="00021CD2" w:rsidP="00B73DFB">
      <w:pPr>
        <w:spacing w:after="0" w:line="240" w:lineRule="auto"/>
        <w:rPr>
          <w:rFonts w:ascii="Times New Roman" w:hAnsi="Times New Roman" w:cs="Times New Roman"/>
          <w:sz w:val="24"/>
        </w:rPr>
      </w:pPr>
      <w:r w:rsidRPr="00021CD2">
        <w:rPr>
          <w:rFonts w:ascii="Times New Roman" w:hAnsi="Times New Roman" w:cs="Times New Roman"/>
          <w:sz w:val="24"/>
        </w:rPr>
        <w:t xml:space="preserve">Mitchell, M., Leachman, M., &amp; Masterson, K. (2017). A lost decade in higher education funding </w:t>
      </w:r>
      <w:r w:rsidR="00F84E89">
        <w:rPr>
          <w:rFonts w:ascii="Times New Roman" w:hAnsi="Times New Roman" w:cs="Times New Roman"/>
          <w:sz w:val="24"/>
        </w:rPr>
        <w:tab/>
      </w:r>
      <w:r w:rsidRPr="00021CD2">
        <w:rPr>
          <w:rFonts w:ascii="Times New Roman" w:hAnsi="Times New Roman" w:cs="Times New Roman"/>
          <w:sz w:val="24"/>
        </w:rPr>
        <w:t>state cuts have driven up tuition and reduced quality.</w:t>
      </w:r>
    </w:p>
    <w:p w14:paraId="2ED3BE78" w14:textId="6148A3BA" w:rsidR="00F84E89" w:rsidRDefault="00F84E89" w:rsidP="00B73DFB">
      <w:pPr>
        <w:spacing w:after="0" w:line="240" w:lineRule="auto"/>
        <w:rPr>
          <w:rFonts w:ascii="Times New Roman" w:hAnsi="Times New Roman" w:cs="Times New Roman"/>
          <w:sz w:val="24"/>
        </w:rPr>
      </w:pPr>
      <w:r w:rsidRPr="00F84E89">
        <w:rPr>
          <w:rFonts w:ascii="Times New Roman" w:hAnsi="Times New Roman" w:cs="Times New Roman"/>
          <w:sz w:val="24"/>
        </w:rPr>
        <w:t xml:space="preserve">Raju, D., &amp; Schumacker, R. (2015). Exploring student characteristics of retention that lead to </w:t>
      </w:r>
      <w:r>
        <w:rPr>
          <w:rFonts w:ascii="Times New Roman" w:hAnsi="Times New Roman" w:cs="Times New Roman"/>
          <w:sz w:val="24"/>
        </w:rPr>
        <w:tab/>
      </w:r>
      <w:r w:rsidRPr="00F84E89">
        <w:rPr>
          <w:rFonts w:ascii="Times New Roman" w:hAnsi="Times New Roman" w:cs="Times New Roman"/>
          <w:sz w:val="24"/>
        </w:rPr>
        <w:t xml:space="preserve">graduation in higher education using data mining models. Journal of College Student </w:t>
      </w:r>
      <w:r>
        <w:rPr>
          <w:rFonts w:ascii="Times New Roman" w:hAnsi="Times New Roman" w:cs="Times New Roman"/>
          <w:sz w:val="24"/>
        </w:rPr>
        <w:tab/>
      </w:r>
      <w:r w:rsidRPr="00F84E89">
        <w:rPr>
          <w:rFonts w:ascii="Times New Roman" w:hAnsi="Times New Roman" w:cs="Times New Roman"/>
          <w:sz w:val="24"/>
        </w:rPr>
        <w:t>Retention: Research, Theory &amp; Practice, 16(4), 563-591.</w:t>
      </w:r>
    </w:p>
    <w:p w14:paraId="3ABDF761" w14:textId="0EB193EE" w:rsidR="00841D1C" w:rsidRPr="00B73DFB" w:rsidRDefault="00841D1C" w:rsidP="00B73DFB">
      <w:pPr>
        <w:spacing w:after="0" w:line="240" w:lineRule="auto"/>
        <w:rPr>
          <w:rFonts w:ascii="Times New Roman" w:hAnsi="Times New Roman" w:cs="Times New Roman"/>
          <w:sz w:val="24"/>
        </w:rPr>
      </w:pPr>
      <w:r w:rsidRPr="00841D1C">
        <w:rPr>
          <w:rFonts w:ascii="Times New Roman" w:hAnsi="Times New Roman" w:cs="Times New Roman"/>
          <w:sz w:val="24"/>
        </w:rPr>
        <w:t xml:space="preserve">Wong, C. (2018, June). Sequence Based Course Recommender for Personalized Curriculum </w:t>
      </w:r>
      <w:r>
        <w:rPr>
          <w:rFonts w:ascii="Times New Roman" w:hAnsi="Times New Roman" w:cs="Times New Roman"/>
          <w:sz w:val="24"/>
        </w:rPr>
        <w:tab/>
      </w:r>
      <w:r w:rsidRPr="00841D1C">
        <w:rPr>
          <w:rFonts w:ascii="Times New Roman" w:hAnsi="Times New Roman" w:cs="Times New Roman"/>
          <w:sz w:val="24"/>
        </w:rPr>
        <w:t>Planning. In International Conference on Artificial Intelligence in Education (pp. 531-</w:t>
      </w:r>
      <w:r>
        <w:rPr>
          <w:rFonts w:ascii="Times New Roman" w:hAnsi="Times New Roman" w:cs="Times New Roman"/>
          <w:sz w:val="24"/>
        </w:rPr>
        <w:tab/>
      </w:r>
      <w:r w:rsidRPr="00841D1C">
        <w:rPr>
          <w:rFonts w:ascii="Times New Roman" w:hAnsi="Times New Roman" w:cs="Times New Roman"/>
          <w:sz w:val="24"/>
        </w:rPr>
        <w:t>534). Springer, Cham.</w:t>
      </w:r>
    </w:p>
    <w:sectPr w:rsidR="00841D1C" w:rsidRPr="00B7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9126F"/>
    <w:multiLevelType w:val="hybridMultilevel"/>
    <w:tmpl w:val="B740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312B0"/>
    <w:multiLevelType w:val="hybridMultilevel"/>
    <w:tmpl w:val="19A41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50024"/>
    <w:multiLevelType w:val="hybridMultilevel"/>
    <w:tmpl w:val="35266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EB"/>
    <w:rsid w:val="00021CD2"/>
    <w:rsid w:val="004E128D"/>
    <w:rsid w:val="008358D5"/>
    <w:rsid w:val="00841D1C"/>
    <w:rsid w:val="009D0295"/>
    <w:rsid w:val="009E3CEA"/>
    <w:rsid w:val="00B233EB"/>
    <w:rsid w:val="00B70EEB"/>
    <w:rsid w:val="00B73DFB"/>
    <w:rsid w:val="00D35EA7"/>
    <w:rsid w:val="00F84E89"/>
    <w:rsid w:val="00FB689D"/>
    <w:rsid w:val="00FD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BFD5"/>
  <w15:chartTrackingRefBased/>
  <w15:docId w15:val="{4A44EAD6-5ECA-4D1A-8855-F77B6B84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3DFB"/>
    <w:rPr>
      <w:sz w:val="16"/>
      <w:szCs w:val="16"/>
    </w:rPr>
  </w:style>
  <w:style w:type="paragraph" w:styleId="CommentText">
    <w:name w:val="annotation text"/>
    <w:basedOn w:val="Normal"/>
    <w:link w:val="CommentTextChar"/>
    <w:uiPriority w:val="99"/>
    <w:semiHidden/>
    <w:unhideWhenUsed/>
    <w:rsid w:val="00B73DFB"/>
    <w:pPr>
      <w:spacing w:line="240" w:lineRule="auto"/>
    </w:pPr>
    <w:rPr>
      <w:sz w:val="20"/>
      <w:szCs w:val="20"/>
    </w:rPr>
  </w:style>
  <w:style w:type="character" w:customStyle="1" w:styleId="CommentTextChar">
    <w:name w:val="Comment Text Char"/>
    <w:basedOn w:val="DefaultParagraphFont"/>
    <w:link w:val="CommentText"/>
    <w:uiPriority w:val="99"/>
    <w:semiHidden/>
    <w:rsid w:val="00B73DFB"/>
    <w:rPr>
      <w:sz w:val="20"/>
      <w:szCs w:val="20"/>
    </w:rPr>
  </w:style>
  <w:style w:type="paragraph" w:styleId="CommentSubject">
    <w:name w:val="annotation subject"/>
    <w:basedOn w:val="CommentText"/>
    <w:next w:val="CommentText"/>
    <w:link w:val="CommentSubjectChar"/>
    <w:uiPriority w:val="99"/>
    <w:semiHidden/>
    <w:unhideWhenUsed/>
    <w:rsid w:val="00B73DFB"/>
    <w:rPr>
      <w:b/>
      <w:bCs/>
    </w:rPr>
  </w:style>
  <w:style w:type="character" w:customStyle="1" w:styleId="CommentSubjectChar">
    <w:name w:val="Comment Subject Char"/>
    <w:basedOn w:val="CommentTextChar"/>
    <w:link w:val="CommentSubject"/>
    <w:uiPriority w:val="99"/>
    <w:semiHidden/>
    <w:rsid w:val="00B73DFB"/>
    <w:rPr>
      <w:b/>
      <w:bCs/>
      <w:sz w:val="20"/>
      <w:szCs w:val="20"/>
    </w:rPr>
  </w:style>
  <w:style w:type="paragraph" w:styleId="BalloonText">
    <w:name w:val="Balloon Text"/>
    <w:basedOn w:val="Normal"/>
    <w:link w:val="BalloonTextChar"/>
    <w:uiPriority w:val="99"/>
    <w:semiHidden/>
    <w:unhideWhenUsed/>
    <w:rsid w:val="00B73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DFB"/>
    <w:rPr>
      <w:rFonts w:ascii="Segoe UI" w:hAnsi="Segoe UI" w:cs="Segoe UI"/>
      <w:sz w:val="18"/>
      <w:szCs w:val="18"/>
    </w:rPr>
  </w:style>
  <w:style w:type="character" w:styleId="Hyperlink">
    <w:name w:val="Hyperlink"/>
    <w:basedOn w:val="DefaultParagraphFont"/>
    <w:uiPriority w:val="99"/>
    <w:unhideWhenUsed/>
    <w:rsid w:val="00F84E89"/>
    <w:rPr>
      <w:color w:val="0563C1" w:themeColor="hyperlink"/>
      <w:u w:val="single"/>
    </w:rPr>
  </w:style>
  <w:style w:type="character" w:styleId="UnresolvedMention">
    <w:name w:val="Unresolved Mention"/>
    <w:basedOn w:val="DefaultParagraphFont"/>
    <w:uiPriority w:val="99"/>
    <w:semiHidden/>
    <w:unhideWhenUsed/>
    <w:rsid w:val="00F84E89"/>
    <w:rPr>
      <w:color w:val="605E5C"/>
      <w:shd w:val="clear" w:color="auto" w:fill="E1DFDD"/>
    </w:rPr>
  </w:style>
  <w:style w:type="paragraph" w:styleId="ListParagraph">
    <w:name w:val="List Paragraph"/>
    <w:basedOn w:val="Normal"/>
    <w:uiPriority w:val="34"/>
    <w:qFormat/>
    <w:rsid w:val="0084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08968">
      <w:bodyDiv w:val="1"/>
      <w:marLeft w:val="0"/>
      <w:marRight w:val="0"/>
      <w:marTop w:val="0"/>
      <w:marBottom w:val="0"/>
      <w:divBdr>
        <w:top w:val="none" w:sz="0" w:space="0" w:color="auto"/>
        <w:left w:val="none" w:sz="0" w:space="0" w:color="auto"/>
        <w:bottom w:val="none" w:sz="0" w:space="0" w:color="auto"/>
        <w:right w:val="none" w:sz="0" w:space="0" w:color="auto"/>
      </w:divBdr>
      <w:divsChild>
        <w:div w:id="62023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ronicle.com/article/Small-Colleges-Get/245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Christos Korgan</dc:creator>
  <cp:keywords/>
  <dc:description/>
  <cp:lastModifiedBy>Dr. Christos Korgan</cp:lastModifiedBy>
  <cp:revision>4</cp:revision>
  <dcterms:created xsi:type="dcterms:W3CDTF">2019-02-16T21:37:00Z</dcterms:created>
  <dcterms:modified xsi:type="dcterms:W3CDTF">2019-02-16T21:41:00Z</dcterms:modified>
</cp:coreProperties>
</file>