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4EA6"/>
          <w:sz w:val="54"/>
        </w:rPr>
        <w:t>ENTERPRISE GOOGLE CLOUD</w:t>
        <w:br/>
        <w:t>DATA PLATFORM BLUEPRINT</w:t>
      </w:r>
    </w:p>
    <w:p>
      <w:pPr>
        <w:jc w:val="center"/>
      </w:pPr>
      <w:r>
        <w:rPr>
          <w:rFonts w:ascii="Arial" w:hAnsi="Arial"/>
          <w:b/>
          <w:color w:val="1A73E8"/>
          <w:sz w:val="40"/>
        </w:rPr>
        <w:t>VOLUME 01</w:t>
      </w:r>
    </w:p>
    <w:p>
      <w:pPr>
        <w:jc w:val="center"/>
      </w:pPr>
      <w:r>
        <w:rPr>
          <w:rFonts w:ascii="Arial" w:hAnsi="Arial"/>
          <w:b/>
          <w:color w:val="3C4043"/>
          <w:sz w:val="48"/>
        </w:rPr>
        <w:t>Enterprise Architecture Overview</w:t>
      </w:r>
    </w:p>
    <w:p>
      <w:pPr>
        <w:jc w:val="center"/>
      </w:pPr>
      <w:r>
        <w:drawing>
          <wp:inline xmlns:a="http://schemas.openxmlformats.org/drawingml/2006/main" xmlns:pic="http://schemas.openxmlformats.org/drawingml/2006/picture">
            <wp:extent cx="6035040" cy="3026390"/>
            <wp:docPr id="1" name="Picture 1"/>
            <wp:cNvGraphicFramePr>
              <a:graphicFrameLocks noChangeAspect="1"/>
            </wp:cNvGraphicFramePr>
            <a:graphic>
              <a:graphicData uri="http://schemas.openxmlformats.org/drawingml/2006/picture">
                <pic:pic>
                  <pic:nvPicPr>
                    <pic:cNvPr id="0" name="01_enterprise_conceptual.png"/>
                    <pic:cNvPicPr/>
                  </pic:nvPicPr>
                  <pic:blipFill>
                    <a:blip r:embed="rId11"/>
                    <a:stretch>
                      <a:fillRect/>
                    </a:stretch>
                  </pic:blipFill>
                  <pic:spPr>
                    <a:xfrm>
                      <a:off x="0" y="0"/>
                      <a:ext cx="6035040" cy="3026390"/>
                    </a:xfrm>
                    <a:prstGeom prst="rect"/>
                  </pic:spPr>
                </pic:pic>
              </a:graphicData>
            </a:graphic>
          </wp:inline>
        </w:drawing>
      </w:r>
    </w:p>
    <w:p>
      <w:pPr>
        <w:spacing w:after="160"/>
        <w:jc w:val="center"/>
      </w:pPr>
      <w:r>
        <w:rPr>
          <w:b/>
          <w:color w:val="5F6368"/>
          <w:sz w:val="17"/>
        </w:rPr>
        <w:t>Fortune 100 Enterprise Data and AI Platform - Conceptual View</w:t>
      </w:r>
    </w:p>
    <w:p>
      <w:pPr>
        <w:jc w:val="center"/>
      </w:pPr>
      <w:r>
        <w:rPr>
          <w:rFonts w:ascii="Arial" w:hAnsi="Arial"/>
          <w:b/>
          <w:color w:val="5F6368"/>
          <w:sz w:val="22"/>
        </w:rPr>
        <w:t>Implementation-ready reference architecture</w:t>
        <w:br/>
      </w:r>
      <w:r>
        <w:rPr>
          <w:rFonts w:ascii="Arial" w:hAnsi="Arial"/>
          <w:b w:val="0"/>
          <w:color w:val="5F6368"/>
          <w:sz w:val="18"/>
        </w:rPr>
        <w:t>Fortune 100 scale | Petabyte data estate | Global regions | Regulated workloads</w:t>
        <w:br/>
      </w:r>
      <w:r>
        <w:rPr>
          <w:rFonts w:ascii="Arial" w:hAnsi="Arial"/>
          <w:b w:val="0"/>
          <w:color w:val="5F6368"/>
          <w:sz w:val="18"/>
        </w:rPr>
        <w:t>Version 1.0 | July 2026</w:t>
        <w:br/>
      </w:r>
    </w:p>
    <w:p>
      <w:r>
        <w:br w:type="page"/>
      </w:r>
    </w:p>
    <w:p>
      <w:pPr>
        <w:pStyle w:val="Heading1"/>
      </w:pPr>
      <w:r>
        <w:t>Document Control</w:t>
      </w:r>
    </w:p>
    <w:p>
      <w:pPr>
        <w:pStyle w:val="Lead"/>
      </w:pPr>
      <w:r>
        <w:t>This volume establishes the business, architectural and technology foundation for the complete Enterprise Google Cloud Data Platform Blueprint Series. It is a reusable reference architecture, not a substitute for organization-specific discovery and design authority.</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establish a common enterprise baseline; define measurable architecture requirements; record major technology decisions; provide a staged adoption roadmap.</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70" w:type="dxa"/>
              <w:start w:w="80" w:type="dxa"/>
              <w:bottom w:w="70" w:type="dxa"/>
              <w:end w:w="80" w:type="dxa"/>
            </w:tcMar>
            <w:shd w:fill="1A73E8"/>
          </w:tcPr>
          <w:p>
            <w:pPr>
              <w:spacing w:after="0"/>
            </w:pPr>
            <w:r/>
            <w:r>
              <w:rPr>
                <w:rFonts w:ascii="Arial" w:hAnsi="Arial"/>
                <w:b/>
                <w:color w:val="FFFFFF"/>
                <w:sz w:val="16"/>
              </w:rPr>
              <w:t>Field</w:t>
            </w:r>
          </w:p>
        </w:tc>
        <w:tc>
          <w:tcPr>
            <w:tcW w:type="dxa" w:w="7632"/>
            <w:vAlign w:val="center"/>
            <w:tcMar>
              <w:top w:w="70" w:type="dxa"/>
              <w:start w:w="80" w:type="dxa"/>
              <w:bottom w:w="70" w:type="dxa"/>
              <w:end w:w="80" w:type="dxa"/>
            </w:tcMar>
            <w:shd w:fill="1A73E8"/>
          </w:tcPr>
          <w:p>
            <w:pPr>
              <w:spacing w:after="0"/>
            </w:pPr>
            <w:r/>
            <w:r>
              <w:rPr>
                <w:rFonts w:ascii="Arial" w:hAnsi="Arial"/>
                <w:b/>
                <w:color w:val="FFFFFF"/>
                <w:sz w:val="16"/>
              </w:rPr>
              <w:t>Value</w:t>
            </w:r>
          </w:p>
        </w:tc>
      </w:tr>
      <w:tr>
        <w:tc>
          <w:tcPr>
            <w:tcW w:type="dxa" w:w="2448"/>
            <w:vAlign w:val="center"/>
            <w:tcMar>
              <w:top w:w="70" w:type="dxa"/>
              <w:start w:w="80" w:type="dxa"/>
              <w:bottom w:w="70" w:type="dxa"/>
              <w:end w:w="80" w:type="dxa"/>
            </w:tcMar>
          </w:tcPr>
          <w:p>
            <w:pPr>
              <w:spacing w:after="0"/>
            </w:pPr>
            <w:r/>
            <w:r>
              <w:rPr>
                <w:rFonts w:ascii="Arial" w:hAnsi="Arial"/>
                <w:b w:val="0"/>
                <w:sz w:val="17"/>
              </w:rPr>
              <w:t>Document title</w:t>
            </w:r>
          </w:p>
        </w:tc>
        <w:tc>
          <w:tcPr>
            <w:tcW w:type="dxa" w:w="7632"/>
            <w:vAlign w:val="center"/>
            <w:tcMar>
              <w:top w:w="70" w:type="dxa"/>
              <w:start w:w="80" w:type="dxa"/>
              <w:bottom w:w="70" w:type="dxa"/>
              <w:end w:w="80" w:type="dxa"/>
            </w:tcMar>
          </w:tcPr>
          <w:p>
            <w:pPr>
              <w:spacing w:after="0"/>
            </w:pPr>
            <w:r/>
            <w:r>
              <w:rPr>
                <w:rFonts w:ascii="Arial" w:hAnsi="Arial"/>
                <w:b w:val="0"/>
                <w:sz w:val="17"/>
              </w:rPr>
              <w:t>Enterprise Google Cloud Data Platform Blueprint - Volume 01: Enterprise Architecture Overview</w:t>
            </w:r>
          </w:p>
        </w:tc>
      </w:tr>
      <w:tr>
        <w:tc>
          <w:tcPr>
            <w:tcW w:type="dxa" w:w="2448"/>
            <w:vAlign w:val="center"/>
            <w:tcMar>
              <w:top w:w="70" w:type="dxa"/>
              <w:start w:w="80" w:type="dxa"/>
              <w:bottom w:w="70" w:type="dxa"/>
              <w:end w:w="80" w:type="dxa"/>
            </w:tcMar>
            <w:shd w:fill="F8F9FA"/>
          </w:tcPr>
          <w:p>
            <w:pPr>
              <w:spacing w:after="0"/>
            </w:pPr>
            <w:r/>
            <w:r>
              <w:rPr>
                <w:rFonts w:ascii="Arial" w:hAnsi="Arial"/>
                <w:b w:val="0"/>
                <w:sz w:val="17"/>
              </w:rPr>
              <w:t>Document type</w:t>
            </w:r>
          </w:p>
        </w:tc>
        <w:tc>
          <w:tcPr>
            <w:tcW w:type="dxa" w:w="7632"/>
            <w:vAlign w:val="center"/>
            <w:tcMar>
              <w:top w:w="70" w:type="dxa"/>
              <w:start w:w="80" w:type="dxa"/>
              <w:bottom w:w="70" w:type="dxa"/>
              <w:end w:w="80" w:type="dxa"/>
            </w:tcMar>
            <w:shd w:fill="F8F9FA"/>
          </w:tcPr>
          <w:p>
            <w:pPr>
              <w:spacing w:after="0"/>
            </w:pPr>
            <w:r/>
            <w:r>
              <w:rPr>
                <w:rFonts w:ascii="Arial" w:hAnsi="Arial"/>
                <w:b w:val="0"/>
                <w:sz w:val="17"/>
              </w:rPr>
              <w:t>Enterprise reference architecture and transformation guide</w:t>
            </w:r>
          </w:p>
        </w:tc>
      </w:tr>
      <w:tr>
        <w:tc>
          <w:tcPr>
            <w:tcW w:type="dxa" w:w="2448"/>
            <w:vAlign w:val="center"/>
            <w:tcMar>
              <w:top w:w="70" w:type="dxa"/>
              <w:start w:w="80" w:type="dxa"/>
              <w:bottom w:w="70" w:type="dxa"/>
              <w:end w:w="80" w:type="dxa"/>
            </w:tcMar>
          </w:tcPr>
          <w:p>
            <w:pPr>
              <w:spacing w:after="0"/>
            </w:pPr>
            <w:r/>
            <w:r>
              <w:rPr>
                <w:rFonts w:ascii="Arial" w:hAnsi="Arial"/>
                <w:b w:val="0"/>
                <w:sz w:val="17"/>
              </w:rPr>
              <w:t>Version</w:t>
            </w:r>
          </w:p>
        </w:tc>
        <w:tc>
          <w:tcPr>
            <w:tcW w:type="dxa" w:w="7632"/>
            <w:vAlign w:val="center"/>
            <w:tcMar>
              <w:top w:w="70" w:type="dxa"/>
              <w:start w:w="80" w:type="dxa"/>
              <w:bottom w:w="70" w:type="dxa"/>
              <w:end w:w="80" w:type="dxa"/>
            </w:tcMar>
          </w:tcPr>
          <w:p>
            <w:pPr>
              <w:spacing w:after="0"/>
            </w:pPr>
            <w:r/>
            <w:r>
              <w:rPr>
                <w:rFonts w:ascii="Arial" w:hAnsi="Arial"/>
                <w:b w:val="0"/>
                <w:sz w:val="17"/>
              </w:rPr>
              <w:t>1.0</w:t>
            </w:r>
          </w:p>
        </w:tc>
      </w:tr>
      <w:tr>
        <w:tc>
          <w:tcPr>
            <w:tcW w:type="dxa" w:w="2448"/>
            <w:vAlign w:val="center"/>
            <w:tcMar>
              <w:top w:w="70" w:type="dxa"/>
              <w:start w:w="80" w:type="dxa"/>
              <w:bottom w:w="70" w:type="dxa"/>
              <w:end w:w="80" w:type="dxa"/>
            </w:tcMar>
            <w:shd w:fill="F8F9FA"/>
          </w:tcPr>
          <w:p>
            <w:pPr>
              <w:spacing w:after="0"/>
            </w:pPr>
            <w:r/>
            <w:r>
              <w:rPr>
                <w:rFonts w:ascii="Arial" w:hAnsi="Arial"/>
                <w:b w:val="0"/>
                <w:sz w:val="17"/>
              </w:rPr>
              <w:t>Status</w:t>
            </w:r>
          </w:p>
        </w:tc>
        <w:tc>
          <w:tcPr>
            <w:tcW w:type="dxa" w:w="7632"/>
            <w:vAlign w:val="center"/>
            <w:tcMar>
              <w:top w:w="70" w:type="dxa"/>
              <w:start w:w="80" w:type="dxa"/>
              <w:bottom w:w="70" w:type="dxa"/>
              <w:end w:w="80" w:type="dxa"/>
            </w:tcMar>
            <w:shd w:fill="F8F9FA"/>
          </w:tcPr>
          <w:p>
            <w:pPr>
              <w:spacing w:after="0"/>
            </w:pPr>
            <w:r/>
            <w:r>
              <w:rPr>
                <w:rFonts w:ascii="Arial" w:hAnsi="Arial"/>
                <w:b w:val="0"/>
                <w:sz w:val="17"/>
              </w:rPr>
              <w:t>Reference baseline for architecture review</w:t>
            </w:r>
          </w:p>
        </w:tc>
      </w:tr>
      <w:tr>
        <w:tc>
          <w:tcPr>
            <w:tcW w:type="dxa" w:w="2448"/>
            <w:vAlign w:val="center"/>
            <w:tcMar>
              <w:top w:w="70" w:type="dxa"/>
              <w:start w:w="80" w:type="dxa"/>
              <w:bottom w:w="70" w:type="dxa"/>
              <w:end w:w="80" w:type="dxa"/>
            </w:tcMar>
          </w:tcPr>
          <w:p>
            <w:pPr>
              <w:spacing w:after="0"/>
            </w:pPr>
            <w:r/>
            <w:r>
              <w:rPr>
                <w:rFonts w:ascii="Arial" w:hAnsi="Arial"/>
                <w:b w:val="0"/>
                <w:sz w:val="17"/>
              </w:rPr>
              <w:t>Audience</w:t>
            </w:r>
          </w:p>
        </w:tc>
        <w:tc>
          <w:tcPr>
            <w:tcW w:type="dxa" w:w="7632"/>
            <w:vAlign w:val="center"/>
            <w:tcMar>
              <w:top w:w="70" w:type="dxa"/>
              <w:start w:w="80" w:type="dxa"/>
              <w:bottom w:w="70" w:type="dxa"/>
              <w:end w:w="80" w:type="dxa"/>
            </w:tcMar>
          </w:tcPr>
          <w:p>
            <w:pPr>
              <w:spacing w:after="0"/>
            </w:pPr>
            <w:r/>
            <w:r>
              <w:rPr>
                <w:rFonts w:ascii="Arial" w:hAnsi="Arial"/>
                <w:b w:val="0"/>
                <w:sz w:val="17"/>
              </w:rPr>
              <w:t>CIO, CTO, CDO, CISO, enterprise architects, platform leaders, data leaders, engineering and FinOps</w:t>
            </w:r>
          </w:p>
        </w:tc>
      </w:tr>
      <w:tr>
        <w:tc>
          <w:tcPr>
            <w:tcW w:type="dxa" w:w="2448"/>
            <w:vAlign w:val="center"/>
            <w:tcMar>
              <w:top w:w="70" w:type="dxa"/>
              <w:start w:w="80" w:type="dxa"/>
              <w:bottom w:w="70" w:type="dxa"/>
              <w:end w:w="80" w:type="dxa"/>
            </w:tcMar>
            <w:shd w:fill="F8F9FA"/>
          </w:tcPr>
          <w:p>
            <w:pPr>
              <w:spacing w:after="0"/>
            </w:pPr>
            <w:r/>
            <w:r>
              <w:rPr>
                <w:rFonts w:ascii="Arial" w:hAnsi="Arial"/>
                <w:b w:val="0"/>
                <w:sz w:val="17"/>
              </w:rPr>
              <w:t>Scope</w:t>
            </w:r>
          </w:p>
        </w:tc>
        <w:tc>
          <w:tcPr>
            <w:tcW w:type="dxa" w:w="7632"/>
            <w:vAlign w:val="center"/>
            <w:tcMar>
              <w:top w:w="70" w:type="dxa"/>
              <w:start w:w="80" w:type="dxa"/>
              <w:bottom w:w="70" w:type="dxa"/>
              <w:end w:w="80" w:type="dxa"/>
            </w:tcMar>
            <w:shd w:fill="F8F9FA"/>
          </w:tcPr>
          <w:p>
            <w:pPr>
              <w:spacing w:after="0"/>
            </w:pPr>
            <w:r/>
            <w:r>
              <w:rPr>
                <w:rFonts w:ascii="Arial" w:hAnsi="Arial"/>
                <w:b w:val="0"/>
                <w:sz w:val="17"/>
              </w:rPr>
              <w:t>Business drivers through target reference architecture, technology decisions and roadmap</w:t>
            </w:r>
          </w:p>
        </w:tc>
      </w:tr>
      <w:tr>
        <w:tc>
          <w:tcPr>
            <w:tcW w:type="dxa" w:w="2448"/>
            <w:vAlign w:val="center"/>
            <w:tcMar>
              <w:top w:w="70" w:type="dxa"/>
              <w:start w:w="80" w:type="dxa"/>
              <w:bottom w:w="70" w:type="dxa"/>
              <w:end w:w="80" w:type="dxa"/>
            </w:tcMar>
          </w:tcPr>
          <w:p>
            <w:pPr>
              <w:spacing w:after="0"/>
            </w:pPr>
            <w:r/>
            <w:r>
              <w:rPr>
                <w:rFonts w:ascii="Arial" w:hAnsi="Arial"/>
                <w:b w:val="0"/>
                <w:sz w:val="17"/>
              </w:rPr>
              <w:t>Out of scope</w:t>
            </w:r>
          </w:p>
        </w:tc>
        <w:tc>
          <w:tcPr>
            <w:tcW w:type="dxa" w:w="7632"/>
            <w:vAlign w:val="center"/>
            <w:tcMar>
              <w:top w:w="70" w:type="dxa"/>
              <w:start w:w="80" w:type="dxa"/>
              <w:bottom w:w="70" w:type="dxa"/>
              <w:end w:w="80" w:type="dxa"/>
            </w:tcMar>
          </w:tcPr>
          <w:p>
            <w:pPr>
              <w:spacing w:after="0"/>
            </w:pPr>
            <w:r/>
            <w:r>
              <w:rPr>
                <w:rFonts w:ascii="Arial" w:hAnsi="Arial"/>
                <w:b w:val="0"/>
                <w:sz w:val="17"/>
              </w:rPr>
              <w:t>Detailed deployment code, workload-specific low-level design and production change records</w:t>
            </w:r>
          </w:p>
        </w:tc>
      </w:tr>
      <w:tr>
        <w:tc>
          <w:tcPr>
            <w:tcW w:type="dxa" w:w="2448"/>
            <w:vAlign w:val="center"/>
            <w:tcMar>
              <w:top w:w="70" w:type="dxa"/>
              <w:start w:w="80" w:type="dxa"/>
              <w:bottom w:w="70" w:type="dxa"/>
              <w:end w:w="80" w:type="dxa"/>
            </w:tcMar>
            <w:shd w:fill="F8F9FA"/>
          </w:tcPr>
          <w:p>
            <w:pPr>
              <w:spacing w:after="0"/>
            </w:pPr>
            <w:r/>
            <w:r>
              <w:rPr>
                <w:rFonts w:ascii="Arial" w:hAnsi="Arial"/>
                <w:b w:val="0"/>
                <w:sz w:val="17"/>
              </w:rPr>
              <w:t>Assurance cadence</w:t>
            </w:r>
          </w:p>
        </w:tc>
        <w:tc>
          <w:tcPr>
            <w:tcW w:type="dxa" w:w="7632"/>
            <w:vAlign w:val="center"/>
            <w:tcMar>
              <w:top w:w="70" w:type="dxa"/>
              <w:start w:w="80" w:type="dxa"/>
              <w:bottom w:w="70" w:type="dxa"/>
              <w:end w:w="80" w:type="dxa"/>
            </w:tcMar>
            <w:shd w:fill="F8F9FA"/>
          </w:tcPr>
          <w:p>
            <w:pPr>
              <w:spacing w:after="0"/>
            </w:pPr>
            <w:r/>
            <w:r>
              <w:rPr>
                <w:rFonts w:ascii="Arial" w:hAnsi="Arial"/>
                <w:b w:val="0"/>
                <w:sz w:val="17"/>
              </w:rPr>
              <w:t>Quarterly architecture review and event-driven review after material platform changes</w:t>
            </w:r>
          </w:p>
        </w:tc>
      </w:tr>
      <w:tr>
        <w:tc>
          <w:tcPr>
            <w:tcW w:type="dxa" w:w="2448"/>
            <w:vAlign w:val="center"/>
            <w:tcMar>
              <w:top w:w="70" w:type="dxa"/>
              <w:start w:w="80" w:type="dxa"/>
              <w:bottom w:w="70" w:type="dxa"/>
              <w:end w:w="80" w:type="dxa"/>
            </w:tcMar>
          </w:tcPr>
          <w:p>
            <w:pPr>
              <w:spacing w:after="0"/>
            </w:pPr>
            <w:r/>
            <w:r>
              <w:rPr>
                <w:rFonts w:ascii="Arial" w:hAnsi="Arial"/>
                <w:b w:val="0"/>
                <w:sz w:val="17"/>
              </w:rPr>
              <w:t>Source prompt</w:t>
            </w:r>
          </w:p>
        </w:tc>
        <w:tc>
          <w:tcPr>
            <w:tcW w:type="dxa" w:w="7632"/>
            <w:vAlign w:val="center"/>
            <w:tcMar>
              <w:top w:w="70" w:type="dxa"/>
              <w:start w:w="80" w:type="dxa"/>
              <w:bottom w:w="70" w:type="dxa"/>
              <w:end w:w="80" w:type="dxa"/>
            </w:tcMar>
          </w:tcPr>
          <w:p>
            <w:pPr>
              <w:spacing w:after="0"/>
            </w:pPr>
            <w:r/>
            <w:r>
              <w:rPr>
                <w:rFonts w:ascii="Arial" w:hAnsi="Arial"/>
                <w:b w:val="0"/>
                <w:sz w:val="17"/>
              </w:rPr>
              <w:t>Enterprise Google Cloud Data Platform Blueprint Series master prompt supplied by the user</w:t>
            </w:r>
          </w:p>
        </w:tc>
      </w:tr>
    </w:tbl>
    <w:p>
      <w:pPr>
        <w:spacing w:after="20"/>
      </w:pPr>
    </w:p>
    <w:p>
      <w:pPr>
        <w:pStyle w:val="Heading2"/>
      </w:pPr>
      <w:r>
        <w:t>Revision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tcMar>
              <w:top w:w="70" w:type="dxa"/>
              <w:start w:w="80" w:type="dxa"/>
              <w:bottom w:w="70" w:type="dxa"/>
              <w:end w:w="80" w:type="dxa"/>
            </w:tcMar>
            <w:shd w:fill="1A73E8"/>
          </w:tcPr>
          <w:p>
            <w:pPr>
              <w:spacing w:after="0"/>
            </w:pPr>
            <w:r/>
            <w:r>
              <w:rPr>
                <w:rFonts w:ascii="Arial" w:hAnsi="Arial"/>
                <w:b/>
                <w:color w:val="FFFFFF"/>
                <w:sz w:val="16"/>
              </w:rPr>
              <w:t>Version</w:t>
            </w:r>
          </w:p>
        </w:tc>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Date</w:t>
            </w:r>
          </w:p>
        </w:tc>
        <w:tc>
          <w:tcPr>
            <w:tcW w:type="dxa" w:w="2880"/>
            <w:vAlign w:val="center"/>
            <w:tcMar>
              <w:top w:w="70" w:type="dxa"/>
              <w:start w:w="80" w:type="dxa"/>
              <w:bottom w:w="70" w:type="dxa"/>
              <w:end w:w="80" w:type="dxa"/>
            </w:tcMar>
            <w:shd w:fill="1A73E8"/>
          </w:tcPr>
          <w:p>
            <w:pPr>
              <w:spacing w:after="0"/>
            </w:pPr>
            <w:r/>
            <w:r>
              <w:rPr>
                <w:rFonts w:ascii="Arial" w:hAnsi="Arial"/>
                <w:b/>
                <w:color w:val="FFFFFF"/>
                <w:sz w:val="16"/>
              </w:rPr>
              <w:t>Authoring body</w:t>
            </w:r>
          </w:p>
        </w:tc>
        <w:tc>
          <w:tcPr>
            <w:tcW w:type="dxa" w:w="4464"/>
            <w:vAlign w:val="center"/>
            <w:tcMar>
              <w:top w:w="70" w:type="dxa"/>
              <w:start w:w="80" w:type="dxa"/>
              <w:bottom w:w="70" w:type="dxa"/>
              <w:end w:w="80" w:type="dxa"/>
            </w:tcMar>
            <w:shd w:fill="1A73E8"/>
          </w:tcPr>
          <w:p>
            <w:pPr>
              <w:spacing w:after="0"/>
            </w:pPr>
            <w:r/>
            <w:r>
              <w:rPr>
                <w:rFonts w:ascii="Arial" w:hAnsi="Arial"/>
                <w:b/>
                <w:color w:val="FFFFFF"/>
                <w:sz w:val="16"/>
              </w:rPr>
              <w:t>Change</w:t>
            </w:r>
          </w:p>
        </w:tc>
      </w:tr>
      <w:tr>
        <w:tc>
          <w:tcPr>
            <w:tcW w:type="dxa" w:w="1152"/>
            <w:vAlign w:val="center"/>
            <w:tcMar>
              <w:top w:w="70" w:type="dxa"/>
              <w:start w:w="80" w:type="dxa"/>
              <w:bottom w:w="70" w:type="dxa"/>
              <w:end w:w="80" w:type="dxa"/>
            </w:tcMar>
          </w:tcPr>
          <w:p>
            <w:pPr>
              <w:spacing w:after="0"/>
            </w:pPr>
            <w:r/>
            <w:r>
              <w:rPr>
                <w:rFonts w:ascii="Arial" w:hAnsi="Arial"/>
                <w:b w:val="0"/>
                <w:sz w:val="16"/>
              </w:rPr>
              <w:t>0.1</w:t>
            </w:r>
          </w:p>
        </w:tc>
        <w:tc>
          <w:tcPr>
            <w:tcW w:type="dxa" w:w="1584"/>
            <w:vAlign w:val="center"/>
            <w:tcMar>
              <w:top w:w="70" w:type="dxa"/>
              <w:start w:w="80" w:type="dxa"/>
              <w:bottom w:w="70" w:type="dxa"/>
              <w:end w:w="80" w:type="dxa"/>
            </w:tcMar>
          </w:tcPr>
          <w:p>
            <w:pPr>
              <w:spacing w:after="0"/>
            </w:pPr>
            <w:r/>
            <w:r>
              <w:rPr>
                <w:rFonts w:ascii="Arial" w:hAnsi="Arial"/>
                <w:b w:val="0"/>
                <w:sz w:val="16"/>
              </w:rPr>
              <w:t>July 2026</w:t>
            </w:r>
          </w:p>
        </w:tc>
        <w:tc>
          <w:tcPr>
            <w:tcW w:type="dxa" w:w="2880"/>
            <w:vAlign w:val="center"/>
            <w:tcMar>
              <w:top w:w="70" w:type="dxa"/>
              <w:start w:w="80" w:type="dxa"/>
              <w:bottom w:w="70" w:type="dxa"/>
              <w:end w:w="80" w:type="dxa"/>
            </w:tcMar>
          </w:tcPr>
          <w:p>
            <w:pPr>
              <w:spacing w:after="0"/>
            </w:pPr>
            <w:r/>
            <w:r>
              <w:rPr>
                <w:rFonts w:ascii="Arial" w:hAnsi="Arial"/>
                <w:b w:val="0"/>
                <w:sz w:val="16"/>
              </w:rPr>
              <w:t>Enterprise Architecture Team</w:t>
            </w:r>
          </w:p>
        </w:tc>
        <w:tc>
          <w:tcPr>
            <w:tcW w:type="dxa" w:w="4464"/>
            <w:vAlign w:val="center"/>
            <w:tcMar>
              <w:top w:w="70" w:type="dxa"/>
              <w:start w:w="80" w:type="dxa"/>
              <w:bottom w:w="70" w:type="dxa"/>
              <w:end w:w="80" w:type="dxa"/>
            </w:tcMar>
          </w:tcPr>
          <w:p>
            <w:pPr>
              <w:spacing w:after="0"/>
            </w:pPr>
            <w:r/>
            <w:r>
              <w:rPr>
                <w:rFonts w:ascii="Arial" w:hAnsi="Arial"/>
                <w:b w:val="0"/>
                <w:sz w:val="16"/>
              </w:rPr>
              <w:t>Initial working draft</w:t>
            </w:r>
          </w:p>
        </w:tc>
      </w:tr>
      <w:tr>
        <w:tc>
          <w:tcPr>
            <w:tcW w:type="dxa" w:w="1152"/>
            <w:vAlign w:val="center"/>
            <w:tcMar>
              <w:top w:w="70" w:type="dxa"/>
              <w:start w:w="80" w:type="dxa"/>
              <w:bottom w:w="70" w:type="dxa"/>
              <w:end w:w="80" w:type="dxa"/>
            </w:tcMar>
            <w:shd w:fill="F8F9FA"/>
          </w:tcPr>
          <w:p>
            <w:pPr>
              <w:spacing w:after="0"/>
            </w:pPr>
            <w:r/>
            <w:r>
              <w:rPr>
                <w:rFonts w:ascii="Arial" w:hAnsi="Arial"/>
                <w:b w:val="0"/>
                <w:sz w:val="16"/>
              </w:rPr>
              <w:t>0.9</w:t>
            </w:r>
          </w:p>
        </w:tc>
        <w:tc>
          <w:tcPr>
            <w:tcW w:type="dxa" w:w="1584"/>
            <w:vAlign w:val="center"/>
            <w:tcMar>
              <w:top w:w="70" w:type="dxa"/>
              <w:start w:w="80" w:type="dxa"/>
              <w:bottom w:w="70" w:type="dxa"/>
              <w:end w:w="80" w:type="dxa"/>
            </w:tcMar>
            <w:shd w:fill="F8F9FA"/>
          </w:tcPr>
          <w:p>
            <w:pPr>
              <w:spacing w:after="0"/>
            </w:pPr>
            <w:r/>
            <w:r>
              <w:rPr>
                <w:rFonts w:ascii="Arial" w:hAnsi="Arial"/>
                <w:b w:val="0"/>
                <w:sz w:val="16"/>
              </w:rPr>
              <w:t>July 2026</w:t>
            </w:r>
          </w:p>
        </w:tc>
        <w:tc>
          <w:tcPr>
            <w:tcW w:type="dxa" w:w="2880"/>
            <w:vAlign w:val="center"/>
            <w:tcMar>
              <w:top w:w="70" w:type="dxa"/>
              <w:start w:w="80" w:type="dxa"/>
              <w:bottom w:w="70" w:type="dxa"/>
              <w:end w:w="80" w:type="dxa"/>
            </w:tcMar>
            <w:shd w:fill="F8F9FA"/>
          </w:tcPr>
          <w:p>
            <w:pPr>
              <w:spacing w:after="0"/>
            </w:pPr>
            <w:r/>
            <w:r>
              <w:rPr>
                <w:rFonts w:ascii="Arial" w:hAnsi="Arial"/>
                <w:b w:val="0"/>
                <w:sz w:val="16"/>
              </w:rPr>
              <w:t>Architecture Review Board</w:t>
            </w:r>
          </w:p>
        </w:tc>
        <w:tc>
          <w:tcPr>
            <w:tcW w:type="dxa" w:w="4464"/>
            <w:vAlign w:val="center"/>
            <w:tcMar>
              <w:top w:w="70" w:type="dxa"/>
              <w:start w:w="80" w:type="dxa"/>
              <w:bottom w:w="70" w:type="dxa"/>
              <w:end w:w="80" w:type="dxa"/>
            </w:tcMar>
            <w:shd w:fill="F8F9FA"/>
          </w:tcPr>
          <w:p>
            <w:pPr>
              <w:spacing w:after="0"/>
            </w:pPr>
            <w:r/>
            <w:r>
              <w:rPr>
                <w:rFonts w:ascii="Arial" w:hAnsi="Arial"/>
                <w:b w:val="0"/>
                <w:sz w:val="16"/>
              </w:rPr>
              <w:t>Quality and consistency review</w:t>
            </w:r>
          </w:p>
        </w:tc>
      </w:tr>
      <w:tr>
        <w:tc>
          <w:tcPr>
            <w:tcW w:type="dxa" w:w="1152"/>
            <w:vAlign w:val="center"/>
            <w:tcMar>
              <w:top w:w="70" w:type="dxa"/>
              <w:start w:w="80" w:type="dxa"/>
              <w:bottom w:w="70" w:type="dxa"/>
              <w:end w:w="80" w:type="dxa"/>
            </w:tcMar>
          </w:tcPr>
          <w:p>
            <w:pPr>
              <w:spacing w:after="0"/>
            </w:pPr>
            <w:r/>
            <w:r>
              <w:rPr>
                <w:rFonts w:ascii="Arial" w:hAnsi="Arial"/>
                <w:b w:val="0"/>
                <w:sz w:val="16"/>
              </w:rPr>
              <w:t>1.0</w:t>
            </w:r>
          </w:p>
        </w:tc>
        <w:tc>
          <w:tcPr>
            <w:tcW w:type="dxa" w:w="1584"/>
            <w:vAlign w:val="center"/>
            <w:tcMar>
              <w:top w:w="70" w:type="dxa"/>
              <w:start w:w="80" w:type="dxa"/>
              <w:bottom w:w="70" w:type="dxa"/>
              <w:end w:w="80" w:type="dxa"/>
            </w:tcMar>
          </w:tcPr>
          <w:p>
            <w:pPr>
              <w:spacing w:after="0"/>
            </w:pPr>
            <w:r/>
            <w:r>
              <w:rPr>
                <w:rFonts w:ascii="Arial" w:hAnsi="Arial"/>
                <w:b w:val="0"/>
                <w:sz w:val="16"/>
              </w:rPr>
              <w:t>July 2026</w:t>
            </w:r>
          </w:p>
        </w:tc>
        <w:tc>
          <w:tcPr>
            <w:tcW w:type="dxa" w:w="2880"/>
            <w:vAlign w:val="center"/>
            <w:tcMar>
              <w:top w:w="70" w:type="dxa"/>
              <w:start w:w="80" w:type="dxa"/>
              <w:bottom w:w="70" w:type="dxa"/>
              <w:end w:w="80" w:type="dxa"/>
            </w:tcMar>
          </w:tcPr>
          <w:p>
            <w:pPr>
              <w:spacing w:after="0"/>
            </w:pPr>
            <w:r/>
            <w:r>
              <w:rPr>
                <w:rFonts w:ascii="Arial" w:hAnsi="Arial"/>
                <w:b w:val="0"/>
                <w:sz w:val="16"/>
              </w:rPr>
              <w:t>Enterprise Data and AI Council</w:t>
            </w:r>
          </w:p>
        </w:tc>
        <w:tc>
          <w:tcPr>
            <w:tcW w:type="dxa" w:w="4464"/>
            <w:vAlign w:val="center"/>
            <w:tcMar>
              <w:top w:w="70" w:type="dxa"/>
              <w:start w:w="80" w:type="dxa"/>
              <w:bottom w:w="70" w:type="dxa"/>
              <w:end w:w="80" w:type="dxa"/>
            </w:tcMar>
          </w:tcPr>
          <w:p>
            <w:pPr>
              <w:spacing w:after="0"/>
            </w:pPr>
            <w:r/>
            <w:r>
              <w:rPr>
                <w:rFonts w:ascii="Arial" w:hAnsi="Arial"/>
                <w:b w:val="0"/>
                <w:sz w:val="16"/>
              </w:rPr>
              <w:t>Reference baseline issued</w:t>
            </w:r>
          </w:p>
        </w:tc>
      </w:tr>
    </w:tbl>
    <w:p>
      <w:pPr>
        <w:spacing w:after="20"/>
      </w:pPr>
    </w:p>
    <w:p>
      <w:pPr>
        <w:pStyle w:val="Heading2"/>
      </w:pPr>
      <w:r>
        <w:t>How to Use This Volume</w:t>
      </w:r>
    </w:p>
    <w:p>
      <w:r>
        <w:t>This guide is written for a large global enterprise that must reconcile speed, regulatory control, open interoperability, regional data sovereignty and cost accountability. It provides a preferred architecture together with explicit exceptions, decision criteria and acceptance evidence.</w:t>
      </w:r>
    </w:p>
    <w:p>
      <w:r>
        <w:t>Architecture teams should use the requirements and principles as review criteria. Platform engineering should use the service mappings and roadmap as a planning baseline. Domain teams should use the capability model to identify which responsibilities are supplied centrally and which remain with data-product teams.</w:t>
      </w:r>
    </w:p>
    <w:p>
      <w:r>
        <w:t>All product capabilities, locations, quotas, pricing constructs and regulatory mappings must be validated against current authoritative documentation before production implementation. The references section identifies the primary Google Cloud sources used for this baseline.</w:t>
      </w:r>
    </w:p>
    <w:p>
      <w:r>
        <w:br w:type="page"/>
      </w:r>
    </w:p>
    <w:p>
      <w:pPr>
        <w:pStyle w:val="Heading1"/>
      </w:pPr>
      <w:r>
        <w:t>Contents</w:t>
      </w:r>
    </w:p>
    <w:p>
      <w:pPr>
        <w:pStyle w:val="Lead"/>
      </w:pPr>
      <w:r>
        <w:t>The document is organized as a decision sequence: why the enterprise needs the platform, what the platform must achieve, the principles that constrain design, the target architecture, the decisions that shape implementation and the roadmap that converts architecture into delivery.</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executive alignment; architecture traceability; technology governance; delivery sequencing.</w:t>
            </w:r>
          </w:p>
        </w:tc>
      </w:tr>
    </w:tbl>
    <w:p>
      <w:pPr>
        <w:spacing w:after="20"/>
      </w:pPr>
    </w:p>
    <w:p>
      <w:pPr>
        <w:pStyle w:val="ListNumber"/>
        <w:spacing w:after="40"/>
      </w:pPr>
      <w:r>
        <w:t>1. Executive Summary</w:t>
      </w:r>
    </w:p>
    <w:p>
      <w:pPr>
        <w:pStyle w:val="ListNumber"/>
        <w:spacing w:after="40"/>
      </w:pPr>
      <w:r>
        <w:t>2. Enterprise Context and Business Drivers</w:t>
      </w:r>
    </w:p>
    <w:p>
      <w:pPr>
        <w:pStyle w:val="ListNumber"/>
        <w:spacing w:after="40"/>
      </w:pPr>
      <w:r>
        <w:t>3. Business Requirements</w:t>
      </w:r>
    </w:p>
    <w:p>
      <w:pPr>
        <w:pStyle w:val="ListNumber"/>
        <w:spacing w:after="40"/>
      </w:pPr>
      <w:r>
        <w:t>4. Non-functional Requirements</w:t>
      </w:r>
    </w:p>
    <w:p>
      <w:pPr>
        <w:pStyle w:val="ListNumber"/>
        <w:spacing w:after="40"/>
      </w:pPr>
      <w:r>
        <w:t>5. Architecture Principles</w:t>
      </w:r>
    </w:p>
    <w:p>
      <w:pPr>
        <w:pStyle w:val="ListNumber"/>
        <w:spacing w:after="40"/>
      </w:pPr>
      <w:r>
        <w:t>6. Cloud Adoption Strategy</w:t>
      </w:r>
    </w:p>
    <w:p>
      <w:pPr>
        <w:pStyle w:val="ListNumber"/>
        <w:spacing w:after="40"/>
      </w:pPr>
      <w:r>
        <w:t>7. Enterprise Reference Architecture</w:t>
      </w:r>
    </w:p>
    <w:p>
      <w:pPr>
        <w:pStyle w:val="ListNumber"/>
        <w:spacing w:after="40"/>
      </w:pPr>
      <w:r>
        <w:t>8. Architecture Decision Records</w:t>
      </w:r>
    </w:p>
    <w:p>
      <w:pPr>
        <w:pStyle w:val="ListNumber"/>
        <w:spacing w:after="40"/>
      </w:pPr>
      <w:r>
        <w:t>9. Technology Selection Matrix</w:t>
      </w:r>
    </w:p>
    <w:p>
      <w:pPr>
        <w:pStyle w:val="ListNumber"/>
        <w:spacing w:after="40"/>
      </w:pPr>
      <w:r>
        <w:t>10. Google Cloud Service Mapping</w:t>
      </w:r>
    </w:p>
    <w:p>
      <w:pPr>
        <w:pStyle w:val="ListNumber"/>
        <w:spacing w:after="40"/>
      </w:pPr>
      <w:r>
        <w:t>11. Enterprise Capability Matrix</w:t>
      </w:r>
    </w:p>
    <w:p>
      <w:pPr>
        <w:pStyle w:val="ListNumber"/>
        <w:spacing w:after="40"/>
      </w:pPr>
      <w:r>
        <w:t>12. Architecture and Transformation Roadmap</w:t>
      </w:r>
    </w:p>
    <w:p>
      <w:pPr>
        <w:pStyle w:val="ListNumber"/>
        <w:spacing w:after="40"/>
      </w:pPr>
      <w:r>
        <w:t>13. Operating Model and Governance</w:t>
      </w:r>
    </w:p>
    <w:p>
      <w:pPr>
        <w:pStyle w:val="ListNumber"/>
        <w:spacing w:after="40"/>
      </w:pPr>
      <w:r>
        <w:t>14. Risk Register</w:t>
      </w:r>
    </w:p>
    <w:p>
      <w:pPr>
        <w:pStyle w:val="ListNumber"/>
        <w:spacing w:after="40"/>
      </w:pPr>
      <w:r>
        <w:t>15. Architecture Assurance and Acceptance Criteria</w:t>
      </w:r>
    </w:p>
    <w:p>
      <w:pPr>
        <w:pStyle w:val="ListNumber"/>
        <w:spacing w:after="40"/>
      </w:pPr>
      <w:r>
        <w:t>Appendix A. Assumptions</w:t>
      </w:r>
    </w:p>
    <w:p>
      <w:pPr>
        <w:pStyle w:val="ListNumber"/>
        <w:spacing w:after="40"/>
      </w:pPr>
      <w:r>
        <w:t>Appendix B. Glossary</w:t>
      </w:r>
    </w:p>
    <w:p>
      <w:pPr>
        <w:pStyle w:val="ListNumber"/>
        <w:spacing w:after="40"/>
      </w:pPr>
      <w:r>
        <w:t>Appendix C. Reference Sources</w:t>
      </w:r>
    </w:p>
    <w:tbl>
      <w:tblPr>
        <w:tblW w:type="auto" w:w="0"/>
        <w:jc w:val="center"/>
        <w:tblLook w:firstColumn="1" w:firstRow="1" w:lastColumn="0" w:lastRow="0" w:noHBand="0" w:noVBand="1" w:val="04A0"/>
      </w:tblPr>
      <w:tblGrid>
        <w:gridCol w:w="10166"/>
      </w:tblGrid>
      <w:tr>
        <w:tc>
          <w:tcPr>
            <w:tcW w:type="dxa" w:w="10166"/>
            <w:shd w:fill="FFF4CE"/>
            <w:tcMar>
              <w:top w:w="120" w:type="dxa"/>
              <w:start w:w="140" w:type="dxa"/>
              <w:bottom w:w="120" w:type="dxa"/>
              <w:end w:w="140" w:type="dxa"/>
            </w:tcMar>
          </w:tcPr>
          <w:p>
            <w:pPr>
              <w:spacing w:after="80"/>
            </w:pPr>
            <w:r>
              <w:rPr>
                <w:rFonts w:ascii="Arial" w:hAnsi="Arial"/>
                <w:b/>
                <w:color w:val="1A73E8"/>
                <w:sz w:val="20"/>
              </w:rPr>
              <w:t>Document scale</w:t>
            </w:r>
          </w:p>
          <w:p>
            <w:pPr>
              <w:pStyle w:val="BodyText"/>
              <w:spacing w:after="0"/>
            </w:pPr>
            <w:r>
              <w:t>This volume is intentionally detailed and is designed to exceed seventy rendered pages. Detailed landing-zone implementation, pipeline code, security control mapping and industry-specific designs are developed in subsequent volumes.</w:t>
            </w:r>
          </w:p>
        </w:tc>
      </w:tr>
    </w:tbl>
    <w:p>
      <w:pPr>
        <w:spacing w:after="20"/>
      </w:pPr>
    </w:p>
    <w:p>
      <w:r>
        <w:br w:type="page"/>
      </w:r>
    </w:p>
    <w:p>
      <w:pPr>
        <w:pStyle w:val="Heading1"/>
      </w:pPr>
      <w:r>
        <w:t>1. Executive Summary</w:t>
      </w:r>
    </w:p>
    <w:p>
      <w:pPr>
        <w:pStyle w:val="Lead"/>
      </w:pPr>
      <w:r>
        <w:t>The enterprise data platform is positioned as a governed business capability rather than a collection of cloud services. Its objective is to make trusted data and AI context available at the speed required by business operations while maintaining defensible security, privacy, resilience and financial controls.</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align executives on the target state; connect investment to measurable outcomes; define the recommended architecture stance; highlight decisions and risks requiring sponsorship.</w:t>
            </w:r>
          </w:p>
        </w:tc>
      </w:tr>
    </w:tbl>
    <w:p>
      <w:pPr>
        <w:spacing w:after="20"/>
      </w:pPr>
    </w:p>
    <w:p>
      <w:pPr>
        <w:pStyle w:val="Heading2"/>
      </w:pPr>
      <w:r>
        <w:t>1.1 Strategic Imperative</w:t>
      </w:r>
    </w:p>
    <w:p>
      <w:r>
        <w:t>The enterprise is accumulating data faster than existing operating models can govern, integrate and convert into business outcomes. Fragmented warehouses, local data lakes, uncoordinated streaming platforms and duplicated analytics create inconsistent metrics, rising operating cost and material regulatory exposure. The proposed platform creates a common foundation that separates enterprise controls from domain delivery, enabling business units to move faster without rebuilding security, ingestion and governance capabilities for every initiative.</w:t>
      </w:r>
    </w:p>
    <w:p>
      <w:r>
        <w:t>The transformation should be sponsored as a multi-year product program with stable funding, executive data ownership and measurable adoption targets. A project-only approach will create a technically capable platform that lacks the product management, domain accountability and operational ownership required for sustainable use.</w:t>
      </w:r>
    </w:p>
    <w:p>
      <w:pPr>
        <w:pStyle w:val="Heading2"/>
      </w:pPr>
      <w:r>
        <w:t>1.2 Recommended Architecture Position</w:t>
      </w:r>
    </w:p>
    <w:p>
      <w:r>
        <w:t>Adopt BigQuery as the primary governed analytical platform, Cloud Storage and BigLake for open-format lakehouse patterns, Pub/Sub and Dataflow for event-driven processing, Datastream for supported CDC, Dataform for BigQuery ELT, Managed Service for Apache Airflow for complex orchestration, Knowledge Catalog for data and AI context, Looker for governed semantics and Vertex AI for ML and generative AI.</w:t>
      </w:r>
    </w:p>
    <w:p>
      <w:r>
        <w:t>The architecture is serverless-first and managed-service-first. It does not prohibit Spark, Kafka, Kubernetes or third-party tools; it requires each exception to demonstrate a capability, portability or migration need that outweighs the operational and security burden of a self-managed service.</w:t>
      </w:r>
    </w:p>
    <w:p>
      <w:pPr>
        <w:pStyle w:val="Heading2"/>
      </w:pPr>
      <w:r>
        <w:t>1.3 Operating Model</w:t>
      </w:r>
    </w:p>
    <w:p>
      <w:r>
        <w:t>Use a centrally governed, federated delivery model. A central platform product team owns landing-zone patterns, shared ingestion, reusable pipeline templates, catalog integration, security controls, reliability standards and FinOps. Domain teams own data meaning, source relationships, quality, product interfaces, access approval and service levels.</w:t>
      </w:r>
    </w:p>
    <w:p>
      <w:r>
        <w:t>This model prevents the central team becoming a data-delivery bottleneck while avoiding the uncontrolled duplication that occurs when every business unit builds its own cloud platform. Governance is implemented computationally through templates, policy checks and metadata requirements rather than through manual review alone.</w:t>
      </w:r>
    </w:p>
    <w:p>
      <w:pPr>
        <w:pStyle w:val="Heading2"/>
      </w:pPr>
      <w:r>
        <w:t>1.4 Security and Compliance Position</w:t>
      </w:r>
    </w:p>
    <w:p>
      <w:r>
        <w:t>Establish identity, network, workload and data perimeters. Use group-based IAM, short-lived workload credentials, organization policies, Shared VPC, Private Service Connect, VPC Service Controls where supported, centralized KMS and secrets, comprehensive audit logging and automated classification.</w:t>
      </w:r>
    </w:p>
    <w:p>
      <w:r>
        <w:t>Controls must be proportional to data classification. Restricted data requires stronger key, perimeter, masking, approval and monitoring controls than internal operational data. The architecture avoids a one-size-fits-all control model that either leaves regulated data exposed or makes low-risk data impractical to use.</w:t>
      </w:r>
    </w:p>
    <w:p>
      <w:pPr>
        <w:pStyle w:val="Heading2"/>
      </w:pPr>
      <w:r>
        <w:t>1.5 Resilience Position</w:t>
      </w:r>
    </w:p>
    <w:p>
      <w:r>
        <w:t>Design critical ingestion and product interfaces for multi-zone operation and define cross-region recovery for Tier 0 and Tier 1 data products. Use replayable event logs, immutable raw storage, declarative infrastructure, source-controlled transformation logic and tested recovery runbooks.</w:t>
      </w:r>
    </w:p>
    <w:p>
      <w:r>
        <w:t>Managed-service availability does not eliminate enterprise recovery responsibility. Recovery objectives must be defined by data product and validated with exercises that test data, metadata, configuration, identities, network paths and operational communications.</w:t>
      </w:r>
    </w:p>
    <w:p>
      <w:pPr>
        <w:pStyle w:val="Heading2"/>
      </w:pPr>
      <w:r>
        <w:t>1.6 Financial Position</w:t>
      </w:r>
    </w:p>
    <w:p>
      <w:r>
        <w:t>Implement cost ownership at the domain and data-product level. Use budgets, billing export, standardized labels, BigQuery workload isolation, capacity planning, storage lifecycle policies, logging controls and unit-cost metrics.</w:t>
      </w:r>
    </w:p>
    <w:p>
      <w:r>
        <w:t>FinOps is embedded in architecture decisions. Teams must understand not only monthly service spend but also cost per terabyte ingested, per data product, per thousand events, per analytical workload and per AI interaction.</w:t>
      </w:r>
    </w:p>
    <w:p>
      <w:pPr>
        <w:pStyle w:val="Heading2"/>
      </w:pPr>
      <w:r>
        <w:t>1.7 AI Readiness</w:t>
      </w:r>
    </w:p>
    <w:p>
      <w:r>
        <w:t>Treat governed metadata, semantic definitions, lineage, quality and access policies as the foundation for AI. AI agents and RAG applications should retrieve from certified sources, apply identity-aware access, preserve citations and log model, prompt and retrieval behavior.</w:t>
      </w:r>
    </w:p>
    <w:p>
      <w:r>
        <w:t>The enterprise should not create a separate ungoverned AI data estate. Vertex AI and Gemini capabilities consume the same certified products, classifications and regional controls used by analytics and operational applications.</w:t>
      </w:r>
    </w:p>
    <w:p>
      <w:pPr>
        <w:pStyle w:val="Heading2"/>
      </w:pPr>
      <w:r>
        <w:t>1.8 Delivery Recommendation</w:t>
      </w:r>
    </w:p>
    <w:p>
      <w:r>
        <w:t>Deliver the platform in waves: mobilize, establish the foundation, release a minimum viable platform, prove lighthouse domains, industrialize reusable patterns, migrate at scale and optimize with AI-assisted operations.</w:t>
      </w:r>
    </w:p>
    <w:p>
      <w:r>
        <w:t>The first production release should include one representative batch pipeline, one CDC pipeline, one streaming use case, one restricted dataset, one certified data product, one BI product and one AI-readiness use case. This scope proves the cross-cutting platform rather than only a single technology component.</w:t>
      </w:r>
    </w:p>
    <w:p>
      <w:pPr>
        <w:pStyle w:val="Heading2"/>
      </w:pPr>
      <w:r>
        <w:t>1.9 Executive Outcome Scorecard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Outcome</w:t>
            </w:r>
          </w:p>
        </w:tc>
        <w:tc>
          <w:tcPr>
            <w:tcW w:type="dxa" w:w="3384"/>
            <w:vAlign w:val="center"/>
            <w:tcMar>
              <w:top w:w="70" w:type="dxa"/>
              <w:start w:w="80" w:type="dxa"/>
              <w:bottom w:w="70" w:type="dxa"/>
              <w:end w:w="80" w:type="dxa"/>
            </w:tcMar>
            <w:shd w:fill="1A73E8"/>
          </w:tcPr>
          <w:p>
            <w:pPr>
              <w:spacing w:after="0"/>
            </w:pPr>
            <w:r/>
            <w:r>
              <w:rPr>
                <w:rFonts w:ascii="Arial" w:hAnsi="Arial"/>
                <w:b/>
                <w:color w:val="FFFFFF"/>
                <w:sz w:val="16"/>
              </w:rPr>
              <w:t>Baseline challenge</w:t>
            </w:r>
          </w:p>
        </w:tc>
        <w:tc>
          <w:tcPr>
            <w:tcW w:type="dxa" w:w="3744"/>
            <w:vAlign w:val="center"/>
            <w:tcMar>
              <w:top w:w="70" w:type="dxa"/>
              <w:start w:w="80" w:type="dxa"/>
              <w:bottom w:w="70" w:type="dxa"/>
              <w:end w:w="80" w:type="dxa"/>
            </w:tcMar>
            <w:shd w:fill="1A73E8"/>
          </w:tcPr>
          <w:p>
            <w:pPr>
              <w:spacing w:after="0"/>
            </w:pPr>
            <w:r/>
            <w:r>
              <w:rPr>
                <w:rFonts w:ascii="Arial" w:hAnsi="Arial"/>
                <w:b/>
                <w:color w:val="FFFFFF"/>
                <w:sz w:val="16"/>
              </w:rPr>
              <w:t>36-month target</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Executive owner</w:t>
            </w:r>
          </w:p>
        </w:tc>
      </w:tr>
      <w:tr>
        <w:tc>
          <w:tcPr>
            <w:tcW w:type="dxa" w:w="1944"/>
            <w:vAlign w:val="center"/>
            <w:tcMar>
              <w:top w:w="70" w:type="dxa"/>
              <w:start w:w="80" w:type="dxa"/>
              <w:bottom w:w="70" w:type="dxa"/>
              <w:end w:w="80" w:type="dxa"/>
            </w:tcMar>
          </w:tcPr>
          <w:p>
            <w:pPr>
              <w:spacing w:after="0"/>
            </w:pPr>
            <w:r/>
            <w:r>
              <w:rPr>
                <w:rFonts w:ascii="Arial" w:hAnsi="Arial"/>
                <w:b w:val="0"/>
                <w:sz w:val="15"/>
              </w:rPr>
              <w:t>Trusted data availability</w:t>
            </w:r>
          </w:p>
        </w:tc>
        <w:tc>
          <w:tcPr>
            <w:tcW w:type="dxa" w:w="3384"/>
            <w:vAlign w:val="center"/>
            <w:tcMar>
              <w:top w:w="70" w:type="dxa"/>
              <w:start w:w="80" w:type="dxa"/>
              <w:bottom w:w="70" w:type="dxa"/>
              <w:end w:w="80" w:type="dxa"/>
            </w:tcMar>
          </w:tcPr>
          <w:p>
            <w:pPr>
              <w:spacing w:after="0"/>
            </w:pPr>
            <w:r/>
            <w:r>
              <w:rPr>
                <w:rFonts w:ascii="Arial" w:hAnsi="Arial"/>
                <w:b w:val="0"/>
                <w:sz w:val="15"/>
              </w:rPr>
              <w:t>Weeks to months to locate and approve data</w:t>
            </w:r>
          </w:p>
        </w:tc>
        <w:tc>
          <w:tcPr>
            <w:tcW w:type="dxa" w:w="3744"/>
            <w:vAlign w:val="center"/>
            <w:tcMar>
              <w:top w:w="70" w:type="dxa"/>
              <w:start w:w="80" w:type="dxa"/>
              <w:bottom w:w="70" w:type="dxa"/>
              <w:end w:w="80" w:type="dxa"/>
            </w:tcMar>
          </w:tcPr>
          <w:p>
            <w:pPr>
              <w:spacing w:after="0"/>
            </w:pPr>
            <w:r/>
            <w:r>
              <w:rPr>
                <w:rFonts w:ascii="Arial" w:hAnsi="Arial"/>
                <w:b w:val="0"/>
                <w:sz w:val="15"/>
              </w:rPr>
              <w:t>80% of strategic datasets cataloged; 60% certified</w:t>
            </w:r>
          </w:p>
        </w:tc>
        <w:tc>
          <w:tcPr>
            <w:tcW w:type="dxa" w:w="1728"/>
            <w:vAlign w:val="center"/>
            <w:tcMar>
              <w:top w:w="70" w:type="dxa"/>
              <w:start w:w="80" w:type="dxa"/>
              <w:bottom w:w="70" w:type="dxa"/>
              <w:end w:w="80" w:type="dxa"/>
            </w:tcMar>
          </w:tcPr>
          <w:p>
            <w:pPr>
              <w:spacing w:after="0"/>
            </w:pPr>
            <w:r/>
            <w:r>
              <w:rPr>
                <w:rFonts w:ascii="Arial" w:hAnsi="Arial"/>
                <w:b w:val="0"/>
                <w:sz w:val="15"/>
              </w:rPr>
              <w:t>Chief Data Officer</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Delivery speed</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Bespoke platform setup for each program</w:t>
            </w:r>
          </w:p>
        </w:tc>
        <w:tc>
          <w:tcPr>
            <w:tcW w:type="dxa" w:w="3744"/>
            <w:vAlign w:val="center"/>
            <w:tcMar>
              <w:top w:w="70" w:type="dxa"/>
              <w:start w:w="80" w:type="dxa"/>
              <w:bottom w:w="70" w:type="dxa"/>
              <w:end w:w="80" w:type="dxa"/>
            </w:tcMar>
            <w:shd w:fill="F8F9FA"/>
          </w:tcPr>
          <w:p>
            <w:pPr>
              <w:spacing w:after="0"/>
            </w:pPr>
            <w:r/>
            <w:r>
              <w:rPr>
                <w:rFonts w:ascii="Arial" w:hAnsi="Arial"/>
                <w:b w:val="0"/>
                <w:sz w:val="15"/>
              </w:rPr>
              <w:t>Standard domain environment in less than 10 business days</w:t>
            </w:r>
          </w:p>
        </w:tc>
        <w:tc>
          <w:tcPr>
            <w:tcW w:type="dxa" w:w="1728"/>
            <w:vAlign w:val="center"/>
            <w:tcMar>
              <w:top w:w="70" w:type="dxa"/>
              <w:start w:w="80" w:type="dxa"/>
              <w:bottom w:w="70" w:type="dxa"/>
              <w:end w:w="80" w:type="dxa"/>
            </w:tcMar>
            <w:shd w:fill="F8F9FA"/>
          </w:tcPr>
          <w:p>
            <w:pPr>
              <w:spacing w:after="0"/>
            </w:pPr>
            <w:r/>
            <w:r>
              <w:rPr>
                <w:rFonts w:ascii="Arial" w:hAnsi="Arial"/>
                <w:b w:val="0"/>
                <w:sz w:val="15"/>
              </w:rPr>
              <w:t>CTO / Platform Engineering</w:t>
            </w:r>
          </w:p>
        </w:tc>
      </w:tr>
      <w:tr>
        <w:tc>
          <w:tcPr>
            <w:tcW w:type="dxa" w:w="1944"/>
            <w:vAlign w:val="center"/>
            <w:tcMar>
              <w:top w:w="70" w:type="dxa"/>
              <w:start w:w="80" w:type="dxa"/>
              <w:bottom w:w="70" w:type="dxa"/>
              <w:end w:w="80" w:type="dxa"/>
            </w:tcMar>
          </w:tcPr>
          <w:p>
            <w:pPr>
              <w:spacing w:after="0"/>
            </w:pPr>
            <w:r/>
            <w:r>
              <w:rPr>
                <w:rFonts w:ascii="Arial" w:hAnsi="Arial"/>
                <w:b w:val="0"/>
                <w:sz w:val="15"/>
              </w:rPr>
              <w:t>Real-time capability</w:t>
            </w:r>
          </w:p>
        </w:tc>
        <w:tc>
          <w:tcPr>
            <w:tcW w:type="dxa" w:w="3384"/>
            <w:vAlign w:val="center"/>
            <w:tcMar>
              <w:top w:w="70" w:type="dxa"/>
              <w:start w:w="80" w:type="dxa"/>
              <w:bottom w:w="70" w:type="dxa"/>
              <w:end w:w="80" w:type="dxa"/>
            </w:tcMar>
          </w:tcPr>
          <w:p>
            <w:pPr>
              <w:spacing w:after="0"/>
            </w:pPr>
            <w:r/>
            <w:r>
              <w:rPr>
                <w:rFonts w:ascii="Arial" w:hAnsi="Arial"/>
                <w:b w:val="0"/>
                <w:sz w:val="15"/>
              </w:rPr>
              <w:t>Limited event integration and duplicated Kafka stacks</w:t>
            </w:r>
          </w:p>
        </w:tc>
        <w:tc>
          <w:tcPr>
            <w:tcW w:type="dxa" w:w="3744"/>
            <w:vAlign w:val="center"/>
            <w:tcMar>
              <w:top w:w="70" w:type="dxa"/>
              <w:start w:w="80" w:type="dxa"/>
              <w:bottom w:w="70" w:type="dxa"/>
              <w:end w:w="80" w:type="dxa"/>
            </w:tcMar>
          </w:tcPr>
          <w:p>
            <w:pPr>
              <w:spacing w:after="0"/>
            </w:pPr>
            <w:r/>
            <w:r>
              <w:rPr>
                <w:rFonts w:ascii="Arial" w:hAnsi="Arial"/>
                <w:b w:val="0"/>
                <w:sz w:val="15"/>
              </w:rPr>
              <w:t>Tier 0 events available to approved consumers within agreed seconds-level SLO</w:t>
            </w:r>
          </w:p>
        </w:tc>
        <w:tc>
          <w:tcPr>
            <w:tcW w:type="dxa" w:w="1728"/>
            <w:vAlign w:val="center"/>
            <w:tcMar>
              <w:top w:w="70" w:type="dxa"/>
              <w:start w:w="80" w:type="dxa"/>
              <w:bottom w:w="70" w:type="dxa"/>
              <w:end w:w="80" w:type="dxa"/>
            </w:tcMar>
          </w:tcPr>
          <w:p>
            <w:pPr>
              <w:spacing w:after="0"/>
            </w:pPr>
            <w:r/>
            <w:r>
              <w:rPr>
                <w:rFonts w:ascii="Arial" w:hAnsi="Arial"/>
                <w:b w:val="0"/>
                <w:sz w:val="15"/>
              </w:rPr>
              <w:t>Chief Digital Officer</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Security assurance</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Inconsistent project, key and identity controls</w:t>
            </w:r>
          </w:p>
        </w:tc>
        <w:tc>
          <w:tcPr>
            <w:tcW w:type="dxa" w:w="3744"/>
            <w:vAlign w:val="center"/>
            <w:tcMar>
              <w:top w:w="70" w:type="dxa"/>
              <w:start w:w="80" w:type="dxa"/>
              <w:bottom w:w="70" w:type="dxa"/>
              <w:end w:w="80" w:type="dxa"/>
            </w:tcMar>
            <w:shd w:fill="F8F9FA"/>
          </w:tcPr>
          <w:p>
            <w:pPr>
              <w:spacing w:after="0"/>
            </w:pPr>
            <w:r/>
            <w:r>
              <w:rPr>
                <w:rFonts w:ascii="Arial" w:hAnsi="Arial"/>
                <w:b w:val="0"/>
                <w:sz w:val="15"/>
              </w:rPr>
              <w:t>100% production workloads deployed through approved guardrails</w:t>
            </w:r>
          </w:p>
        </w:tc>
        <w:tc>
          <w:tcPr>
            <w:tcW w:type="dxa" w:w="1728"/>
            <w:vAlign w:val="center"/>
            <w:tcMar>
              <w:top w:w="70" w:type="dxa"/>
              <w:start w:w="80" w:type="dxa"/>
              <w:bottom w:w="70" w:type="dxa"/>
              <w:end w:w="80" w:type="dxa"/>
            </w:tcMar>
            <w:shd w:fill="F8F9FA"/>
          </w:tcPr>
          <w:p>
            <w:pPr>
              <w:spacing w:after="0"/>
            </w:pPr>
            <w:r/>
            <w:r>
              <w:rPr>
                <w:rFonts w:ascii="Arial" w:hAnsi="Arial"/>
                <w:b w:val="0"/>
                <w:sz w:val="15"/>
              </w:rPr>
              <w:t>CISO</w:t>
            </w:r>
          </w:p>
        </w:tc>
      </w:tr>
      <w:tr>
        <w:tc>
          <w:tcPr>
            <w:tcW w:type="dxa" w:w="1944"/>
            <w:vAlign w:val="center"/>
            <w:tcMar>
              <w:top w:w="70" w:type="dxa"/>
              <w:start w:w="80" w:type="dxa"/>
              <w:bottom w:w="70" w:type="dxa"/>
              <w:end w:w="80" w:type="dxa"/>
            </w:tcMar>
          </w:tcPr>
          <w:p>
            <w:pPr>
              <w:spacing w:after="0"/>
            </w:pPr>
            <w:r/>
            <w:r>
              <w:rPr>
                <w:rFonts w:ascii="Arial" w:hAnsi="Arial"/>
                <w:b w:val="0"/>
                <w:sz w:val="15"/>
              </w:rPr>
              <w:t>Resilience</w:t>
            </w:r>
          </w:p>
        </w:tc>
        <w:tc>
          <w:tcPr>
            <w:tcW w:type="dxa" w:w="3384"/>
            <w:vAlign w:val="center"/>
            <w:tcMar>
              <w:top w:w="70" w:type="dxa"/>
              <w:start w:w="80" w:type="dxa"/>
              <w:bottom w:w="70" w:type="dxa"/>
              <w:end w:w="80" w:type="dxa"/>
            </w:tcMar>
          </w:tcPr>
          <w:p>
            <w:pPr>
              <w:spacing w:after="0"/>
            </w:pPr>
            <w:r/>
            <w:r>
              <w:rPr>
                <w:rFonts w:ascii="Arial" w:hAnsi="Arial"/>
                <w:b w:val="0"/>
                <w:sz w:val="15"/>
              </w:rPr>
              <w:t>Recovery plans focus on infrastructure, not data products</w:t>
            </w:r>
          </w:p>
        </w:tc>
        <w:tc>
          <w:tcPr>
            <w:tcW w:type="dxa" w:w="3744"/>
            <w:vAlign w:val="center"/>
            <w:tcMar>
              <w:top w:w="70" w:type="dxa"/>
              <w:start w:w="80" w:type="dxa"/>
              <w:bottom w:w="70" w:type="dxa"/>
              <w:end w:w="80" w:type="dxa"/>
            </w:tcMar>
          </w:tcPr>
          <w:p>
            <w:pPr>
              <w:spacing w:after="0"/>
            </w:pPr>
            <w:r/>
            <w:r>
              <w:rPr>
                <w:rFonts w:ascii="Arial" w:hAnsi="Arial"/>
                <w:b w:val="0"/>
                <w:sz w:val="15"/>
              </w:rPr>
              <w:t>Tier 0 and Tier 1 recovery exercises pass twice yearly</w:t>
            </w:r>
          </w:p>
        </w:tc>
        <w:tc>
          <w:tcPr>
            <w:tcW w:type="dxa" w:w="1728"/>
            <w:vAlign w:val="center"/>
            <w:tcMar>
              <w:top w:w="70" w:type="dxa"/>
              <w:start w:w="80" w:type="dxa"/>
              <w:bottom w:w="70" w:type="dxa"/>
              <w:end w:w="80" w:type="dxa"/>
            </w:tcMar>
          </w:tcPr>
          <w:p>
            <w:pPr>
              <w:spacing w:after="0"/>
            </w:pPr>
            <w:r/>
            <w:r>
              <w:rPr>
                <w:rFonts w:ascii="Arial" w:hAnsi="Arial"/>
                <w:b w:val="0"/>
                <w:sz w:val="15"/>
              </w:rPr>
              <w:t>COO / SRE</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Cost transparency</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Shared cloud bill with limited ownership</w:t>
            </w:r>
          </w:p>
        </w:tc>
        <w:tc>
          <w:tcPr>
            <w:tcW w:type="dxa" w:w="3744"/>
            <w:vAlign w:val="center"/>
            <w:tcMar>
              <w:top w:w="70" w:type="dxa"/>
              <w:start w:w="80" w:type="dxa"/>
              <w:bottom w:w="70" w:type="dxa"/>
              <w:end w:w="80" w:type="dxa"/>
            </w:tcMar>
            <w:shd w:fill="F8F9FA"/>
          </w:tcPr>
          <w:p>
            <w:pPr>
              <w:spacing w:after="0"/>
            </w:pPr>
            <w:r/>
            <w:r>
              <w:rPr>
                <w:rFonts w:ascii="Arial" w:hAnsi="Arial"/>
                <w:b w:val="0"/>
                <w:sz w:val="15"/>
              </w:rPr>
              <w:t>95% of platform cost allocated to domain, product and environment</w:t>
            </w:r>
          </w:p>
        </w:tc>
        <w:tc>
          <w:tcPr>
            <w:tcW w:type="dxa" w:w="1728"/>
            <w:vAlign w:val="center"/>
            <w:tcMar>
              <w:top w:w="70" w:type="dxa"/>
              <w:start w:w="80" w:type="dxa"/>
              <w:bottom w:w="70" w:type="dxa"/>
              <w:end w:w="80" w:type="dxa"/>
            </w:tcMar>
            <w:shd w:fill="F8F9FA"/>
          </w:tcPr>
          <w:p>
            <w:pPr>
              <w:spacing w:after="0"/>
            </w:pPr>
            <w:r/>
            <w:r>
              <w:rPr>
                <w:rFonts w:ascii="Arial" w:hAnsi="Arial"/>
                <w:b w:val="0"/>
                <w:sz w:val="15"/>
              </w:rPr>
              <w:t>CFO / FinOps</w:t>
            </w:r>
          </w:p>
        </w:tc>
      </w:tr>
      <w:tr>
        <w:tc>
          <w:tcPr>
            <w:tcW w:type="dxa" w:w="1944"/>
            <w:vAlign w:val="center"/>
            <w:tcMar>
              <w:top w:w="70" w:type="dxa"/>
              <w:start w:w="80" w:type="dxa"/>
              <w:bottom w:w="70" w:type="dxa"/>
              <w:end w:w="80" w:type="dxa"/>
            </w:tcMar>
          </w:tcPr>
          <w:p>
            <w:pPr>
              <w:spacing w:after="0"/>
            </w:pPr>
            <w:r/>
            <w:r>
              <w:rPr>
                <w:rFonts w:ascii="Arial" w:hAnsi="Arial"/>
                <w:b w:val="0"/>
                <w:sz w:val="15"/>
              </w:rPr>
              <w:t>AI readiness</w:t>
            </w:r>
          </w:p>
        </w:tc>
        <w:tc>
          <w:tcPr>
            <w:tcW w:type="dxa" w:w="3384"/>
            <w:vAlign w:val="center"/>
            <w:tcMar>
              <w:top w:w="70" w:type="dxa"/>
              <w:start w:w="80" w:type="dxa"/>
              <w:bottom w:w="70" w:type="dxa"/>
              <w:end w:w="80" w:type="dxa"/>
            </w:tcMar>
          </w:tcPr>
          <w:p>
            <w:pPr>
              <w:spacing w:after="0"/>
            </w:pPr>
            <w:r/>
            <w:r>
              <w:rPr>
                <w:rFonts w:ascii="Arial" w:hAnsi="Arial"/>
                <w:b w:val="0"/>
                <w:sz w:val="15"/>
              </w:rPr>
              <w:t>Unstructured experiments use inconsistent context</w:t>
            </w:r>
          </w:p>
        </w:tc>
        <w:tc>
          <w:tcPr>
            <w:tcW w:type="dxa" w:w="3744"/>
            <w:vAlign w:val="center"/>
            <w:tcMar>
              <w:top w:w="70" w:type="dxa"/>
              <w:start w:w="80" w:type="dxa"/>
              <w:bottom w:w="70" w:type="dxa"/>
              <w:end w:w="80" w:type="dxa"/>
            </w:tcMar>
          </w:tcPr>
          <w:p>
            <w:pPr>
              <w:spacing w:after="0"/>
            </w:pPr>
            <w:r/>
            <w:r>
              <w:rPr>
                <w:rFonts w:ascii="Arial" w:hAnsi="Arial"/>
                <w:b w:val="0"/>
                <w:sz w:val="15"/>
              </w:rPr>
              <w:t>Certified AI-ready products and governed retrieval patterns</w:t>
            </w:r>
          </w:p>
        </w:tc>
        <w:tc>
          <w:tcPr>
            <w:tcW w:type="dxa" w:w="1728"/>
            <w:vAlign w:val="center"/>
            <w:tcMar>
              <w:top w:w="70" w:type="dxa"/>
              <w:start w:w="80" w:type="dxa"/>
              <w:bottom w:w="70" w:type="dxa"/>
              <w:end w:w="80" w:type="dxa"/>
            </w:tcMar>
          </w:tcPr>
          <w:p>
            <w:pPr>
              <w:spacing w:after="0"/>
            </w:pPr>
            <w:r/>
            <w:r>
              <w:rPr>
                <w:rFonts w:ascii="Arial" w:hAnsi="Arial"/>
                <w:b w:val="0"/>
                <w:sz w:val="15"/>
              </w:rPr>
              <w:t>Chief AI Officer</w:t>
            </w:r>
          </w:p>
        </w:tc>
      </w:tr>
    </w:tbl>
    <w:p>
      <w:pPr>
        <w:spacing w:after="20"/>
      </w:pPr>
    </w:p>
    <w:p>
      <w:pPr>
        <w:pStyle w:val="Heading2"/>
      </w:pPr>
      <w:r>
        <w:t>1.10 Executive Decisions Required</w:t>
      </w:r>
    </w:p>
    <w:p>
      <w:pPr>
        <w:pStyle w:val="ListNumber"/>
        <w:spacing w:after="40"/>
      </w:pPr>
      <w:r>
        <w:t>Approve the central platform product model and recurring funding mechanism.</w:t>
      </w:r>
    </w:p>
    <w:p>
      <w:pPr>
        <w:pStyle w:val="ListNumber"/>
        <w:spacing w:after="40"/>
      </w:pPr>
      <w:r>
        <w:t>Assign accountable data owners for each priority business domain.</w:t>
      </w:r>
    </w:p>
    <w:p>
      <w:pPr>
        <w:pStyle w:val="ListNumber"/>
        <w:spacing w:after="40"/>
      </w:pPr>
      <w:r>
        <w:t>Approve the regional data-residency and paired-recovery strategy.</w:t>
      </w:r>
    </w:p>
    <w:p>
      <w:pPr>
        <w:pStyle w:val="ListNumber"/>
        <w:spacing w:after="40"/>
      </w:pPr>
      <w:r>
        <w:t>Confirm BigQuery as the default analytical platform and approve an exception process.</w:t>
      </w:r>
    </w:p>
    <w:p>
      <w:pPr>
        <w:pStyle w:val="ListNumber"/>
        <w:spacing w:after="40"/>
      </w:pPr>
      <w:r>
        <w:t>Approve the classification-driven security model and selective CMEK policy.</w:t>
      </w:r>
    </w:p>
    <w:p>
      <w:pPr>
        <w:pStyle w:val="ListNumber"/>
        <w:spacing w:after="40"/>
      </w:pPr>
      <w:r>
        <w:t>Approve showback in year one and chargeback for mature domains from year two.</w:t>
      </w:r>
    </w:p>
    <w:p>
      <w:pPr>
        <w:pStyle w:val="ListNumber"/>
        <w:spacing w:after="40"/>
      </w:pPr>
      <w:r>
        <w:t>Nominate lighthouse domains and commit business resources to data-product ownership.</w:t>
      </w:r>
    </w:p>
    <w:p>
      <w:pPr>
        <w:pStyle w:val="ListNumber"/>
        <w:spacing w:after="40"/>
      </w:pPr>
      <w:r>
        <w:t>Approve target legacy platform retirement dates and migration incentives.</w:t>
      </w:r>
    </w:p>
    <w:p>
      <w:r>
        <w:br w:type="page"/>
      </w:r>
    </w:p>
    <w:p>
      <w:pPr>
        <w:pStyle w:val="Heading1"/>
      </w:pPr>
      <w:r>
        <w:t>2. Business Drivers</w:t>
      </w:r>
    </w:p>
    <w:p>
      <w:pPr>
        <w:pStyle w:val="Lead"/>
      </w:pPr>
      <w:r>
        <w:t>The target platform is justified by a combination of growth, resilience, regulatory, operating-model and artificial-intelligence imperatives. The drivers below establish the business outcomes against which architecture choices and investment decisions will be measured.</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A traceable case for change; Measurable outcomes; Architecture implications; Executive ownership.</w:t>
            </w:r>
          </w:p>
        </w:tc>
      </w:tr>
    </w:tbl>
    <w:p>
      <w:pPr>
        <w:spacing w:after="20"/>
      </w:pPr>
    </w:p>
    <w:p>
      <w:pPr>
        <w:pStyle w:val="Heading2"/>
      </w:pPr>
      <w:r>
        <w:t>2.1 BD-01 — Accelerate decision velocity</w:t>
      </w:r>
    </w:p>
    <w:p>
      <w:r>
        <w:t>Business leaders require trusted operational and strategic information in minutes rather than through weekly or monthly reporting cycles.</w:t>
      </w:r>
      <w:r>
        <w:rPr>
          <w:b/>
        </w:rPr>
        <w:t xml:space="preserve"> Architecture response: </w:t>
      </w:r>
      <w:r>
        <w:t>Reduce the elapsed time from source event to governed decision-ready data; standardize reusable metrics; support event-driven actions where latency has demonstrable business value.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Accelerate decision velocity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Reduce the elapsed time from source event to governed decision-ready data; standardize reusable metrics; support event-driven actions where latency has demonstrable business value.</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Median time to onboard a priority source; percentage of certified products meeting freshness SLO; time required to introduce a governed KPI.</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Chief Data Officer and business-unit executives</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2.2 BD-02 — Create a reusable enterprise data foundation</w:t>
      </w:r>
    </w:p>
    <w:p>
      <w:r>
        <w:t>Business units currently build overlapping ingestion, transformation and governance capabilities, creating duplication and inconsistent control.</w:t>
      </w:r>
      <w:r>
        <w:rPr>
          <w:b/>
        </w:rPr>
        <w:t xml:space="preserve"> Architecture response: </w:t>
      </w:r>
      <w:r>
        <w:t>Provide centrally engineered platform capabilities with domain-configurable templates for ingestion, quality, metadata, security, observability and delivery.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Create a reusable enterprise data foundation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Provide centrally engineered platform capabilities with domain-configurable templates for ingestion, quality, metadata, security, observability and delivery.</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Reuse rate of platform modules; reduction in duplicate tools; percentage of pipelines using approved templates.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CIO, CDO and Platform Product Owner</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2.3 BD-03 — Modernize legacy data warehouses and Hadoop estates</w:t>
      </w:r>
    </w:p>
    <w:p>
      <w:r>
        <w:t>Legacy warehouses and distributed data platforms carry high license, infrastructure and specialist-support costs and constrain elastic scale.</w:t>
      </w:r>
      <w:r>
        <w:rPr>
          <w:b/>
        </w:rPr>
        <w:t xml:space="preserve"> Architecture response: </w:t>
      </w:r>
      <w:r>
        <w:t>Adopt BigQuery, Cloud Storage and BigLake as the default analytical foundation while using controlled coexistence and migration waves to protect business continuity.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Modernize legacy data warehouses and Hadoop estates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Adopt BigQuery, Cloud Storage and BigLake as the default analytical foundation while using controlled coexistence and migration waves to protect business continuity.</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Workloads retired; legacy run-cost avoided; migrated query performance; reconciliation pass rate.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CIO, Application Modernization Lead and Finance</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2.4 BD-04 — Enable real-time and event-driven operations</w:t>
      </w:r>
    </w:p>
    <w:p>
      <w:r>
        <w:t>Fraud, customer experience, supply-chain and operational use cases lose value when data is available only after batch windows.</w:t>
      </w:r>
      <w:r>
        <w:rPr>
          <w:b/>
        </w:rPr>
        <w:t xml:space="preserve"> Architecture response: </w:t>
      </w:r>
      <w:r>
        <w:t>Use Pub/Sub and Dataflow for justified streaming patterns, with CDC through Datastream and explicit replay, idempotency and dead-letter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Enable real-time and event-driven operations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Use Pub/Sub and Dataflow for justified streaming patterns, with CDC through Datastream and explicit replay, idempotency and dead-letter controls.</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Event-to-insight latency; replay success rate; streaming SLO attainment; percentage of streams with defined owners.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Business Operations and Digital Product Leaders</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r>
        <w:br w:type="page"/>
      </w:r>
    </w:p>
    <w:p>
      <w:pPr>
        <w:pStyle w:val="Heading2"/>
      </w:pPr>
      <w:r>
        <w:t>2.5 BD-05 — Strengthen regulatory compliance and privacy</w:t>
      </w:r>
    </w:p>
    <w:p>
      <w:r>
        <w:t>The enterprise processes sensitive personal, financial, health and employee data across jurisdictions with different retention, access and residency obligations.</w:t>
      </w:r>
      <w:r>
        <w:rPr>
          <w:b/>
        </w:rPr>
        <w:t xml:space="preserve"> Architecture response: </w:t>
      </w:r>
      <w:r>
        <w:t>Implement policy-driven classification, fine-grained access, VPC Service Controls, auditability, selective CMEK, retention controls and privacy workflows.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Strengthen regulatory compliance and privacy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Implement policy-driven classification, fine-grained access, VPC Service Controls, auditability, selective CMEK, retention controls and privacy workflows.</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Control coverage; access-review completion; privacy-request cycle time; unresolved audit findings.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Chief Information Security Officer, Privacy Officer and General Counsel</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2.6 BD-06 — Support global sovereignty and regional autonomy</w:t>
      </w:r>
    </w:p>
    <w:p>
      <w:r>
        <w:t>Regional regulations and business-continuity requirements prevent a single global data location from satisfying every workload.</w:t>
      </w:r>
      <w:r>
        <w:rPr>
          <w:b/>
        </w:rPr>
        <w:t xml:space="preserve"> Architecture response: </w:t>
      </w:r>
      <w:r>
        <w:t>Use regional data-residency zones, explicit replication policies and globally consistent control standards while keeping data products discoverable across the enterprise.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Support global sovereignty and regional autonomy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Use regional data-residency zones, explicit replication policies and globally consistent control standards while keeping data products discoverable across the enterprise.</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Residency-policy compliance; approved cross-region transfers; regional recovery-test results.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Regional CIOs, Security and Data Governance</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2.7 BD-07 — Operate data as a product</w:t>
      </w:r>
    </w:p>
    <w:p>
      <w:r>
        <w:t>Datasets are often delivered without ownership, documentation, quality targets or support commitments, reducing trust and adoption.</w:t>
      </w:r>
      <w:r>
        <w:rPr>
          <w:b/>
        </w:rPr>
        <w:t xml:space="preserve"> Architecture response: </w:t>
      </w:r>
      <w:r>
        <w:t>Assign accountable domain owners, publish contracts and SLOs, certify products through Knowledge Catalog, and expose approved products through governed interfaces.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Operate data as a product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Assign accountable domain owners, publish contracts and SLOs, certify products through Knowledge Catalog, and expose approved products through governed interfaces.</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Certified-product count; product adoption; quality SLO attainment; consumer satisfaction.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Domain Executives and Data Product Owners</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2.8 BD-08 — Create an AI-ready and agent-ready foundation</w:t>
      </w:r>
    </w:p>
    <w:p>
      <w:r>
        <w:t>AI initiatives are slowed by fragmented data, inconsistent entitlements, weak lineage and manual model-operating processes.</w:t>
      </w:r>
      <w:r>
        <w:rPr>
          <w:b/>
        </w:rPr>
        <w:t xml:space="preserve"> Architecture response: </w:t>
      </w:r>
      <w:r>
        <w:t>Provide governed feature, document and analytical data to Vertex AI; implement MLOps and LLMOps controls; separate experimentation from production inference.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Create an AI-ready and agent-ready foundation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Provide governed feature, document and analytical data to Vertex AI; implement MLOps and LLMOps controls; separate experimentation from production inference.</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Time to provision governed AI data; model deployment lead time; evaluation coverage; AI control compliance.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Chief AI Officer, CDO and Risk</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r>
        <w:br w:type="page"/>
      </w:r>
    </w:p>
    <w:p>
      <w:pPr>
        <w:pStyle w:val="Heading2"/>
      </w:pPr>
      <w:r>
        <w:t>2.9 BD-09 — Improve reliability and recoverability</w:t>
      </w:r>
    </w:p>
    <w:p>
      <w:r>
        <w:t>Critical analytical and operational data services lack consistently tested recovery objectives and depend on manual restoration procedures.</w:t>
      </w:r>
      <w:r>
        <w:rPr>
          <w:b/>
        </w:rPr>
        <w:t xml:space="preserve"> Architecture response: </w:t>
      </w:r>
      <w:r>
        <w:t>Classify workloads by service tier, define SLOs and error budgets, automate infrastructure reconstruction, retain replayable data and conduct scheduled recovery exercises.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Improve reliability and recoverability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Classify workloads by service tier, define SLOs and error budgets, automate infrastructure reconstruction, retain replayable data and conduct scheduled recovery exercises.</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SLO attainment; mean time to restore; recovery-test pass rate; unplanned data-loss incidents.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CIO, SRE Lead and Business Continuity</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2.10 BD-10 — Create transparent and sustainable economics</w:t>
      </w:r>
    </w:p>
    <w:p>
      <w:r>
        <w:t>Shared platform costs are difficult to attribute, and teams optimize locally without visibility into enterprise unit economics.</w:t>
      </w:r>
      <w:r>
        <w:rPr>
          <w:b/>
        </w:rPr>
        <w:t xml:space="preserve"> Architecture response: </w:t>
      </w:r>
      <w:r>
        <w:t>Implement labels, billing exports, reservations, showback, product-level unit metrics and a FinOps operating cadence.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Create transparent and sustainable economics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Implement labels, billing exports, reservations, showback, product-level unit metrics and a FinOps operating cadence.</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Cost per terabyte processed; cost per product; budget variance; realized optimization savings.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CFO, FinOps Lead and Platform Product Owner</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2.11 BD-11 — Increase engineering productivity</w:t>
      </w:r>
    </w:p>
    <w:p>
      <w:r>
        <w:t>Teams repeatedly solve identity, connectivity, deployment, monitoring and pipeline patterns instead of focusing on differentiated business logic.</w:t>
      </w:r>
      <w:r>
        <w:rPr>
          <w:b/>
        </w:rPr>
        <w:t xml:space="preserve"> Architecture response: </w:t>
      </w:r>
      <w:r>
        <w:t>Provide golden Terraform modules, reusable pipeline components, automated tests, paved-road CI/CD and self-service provisioning.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Increase engineering productivity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Provide golden Terraform modules, reusable pipeline components, automated tests, paved-road CI/CD and self-service provisioning.</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Lead time for change; deployment frequency; template adoption; change-failure rate.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Engineering Leadership and Platform Product Owner</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pPr>
        <w:pStyle w:val="Heading2"/>
      </w:pPr>
      <w:r>
        <w:t>2.12 BD-12 — Reduce architectural complexity and vendor sprawl</w:t>
      </w:r>
    </w:p>
    <w:p>
      <w:r>
        <w:t>Acquisitions and local technology choices have produced overlapping data, integration, catalog, BI and ML platforms.</w:t>
      </w:r>
      <w:r>
        <w:rPr>
          <w:b/>
        </w:rPr>
        <w:t xml:space="preserve"> Architecture response: </w:t>
      </w:r>
      <w:r>
        <w:t>Converge on a small number of strategic services, enforce exception governance and retire redundant platforms through funded migration roadmaps.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232"/>
            <w:vAlign w:val="center"/>
            <w:tcMar>
              <w:top w:w="70" w:type="dxa"/>
              <w:start w:w="80" w:type="dxa"/>
              <w:bottom w:w="70" w:type="dxa"/>
              <w:end w:w="80" w:type="dxa"/>
            </w:tcMar>
          </w:tcPr>
          <w:p>
            <w:pPr>
              <w:spacing w:after="0"/>
            </w:pPr>
            <w:r/>
            <w:r>
              <w:rPr>
                <w:rFonts w:ascii="Arial" w:hAnsi="Arial"/>
                <w:b w:val="0"/>
                <w:sz w:val="16"/>
              </w:rPr>
              <w:t>Business outcome</w:t>
            </w:r>
          </w:p>
        </w:tc>
        <w:tc>
          <w:tcPr>
            <w:tcW w:type="dxa" w:w="7704"/>
            <w:vAlign w:val="center"/>
            <w:tcMar>
              <w:top w:w="70" w:type="dxa"/>
              <w:start w:w="80" w:type="dxa"/>
              <w:bottom w:w="70" w:type="dxa"/>
              <w:end w:w="80" w:type="dxa"/>
            </w:tcMar>
          </w:tcPr>
          <w:p>
            <w:pPr>
              <w:spacing w:after="0"/>
            </w:pPr>
            <w:r/>
            <w:r>
              <w:rPr>
                <w:rFonts w:ascii="Arial" w:hAnsi="Arial"/>
                <w:b w:val="0"/>
                <w:sz w:val="16"/>
              </w:rPr>
              <w:t>Reduce architectural complexity and vendor sprawl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Architecture implication</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Converge on a small number of strategic services, enforce exception governance and retire redundant platforms through funded migration roadmaps.</w:t>
            </w:r>
          </w:p>
        </w:tc>
      </w:tr>
      <w:tr>
        <w:tc>
          <w:tcPr>
            <w:tcW w:type="dxa" w:w="2232"/>
            <w:vAlign w:val="center"/>
            <w:tcMar>
              <w:top w:w="70" w:type="dxa"/>
              <w:start w:w="80" w:type="dxa"/>
              <w:bottom w:w="70" w:type="dxa"/>
              <w:end w:w="80" w:type="dxa"/>
            </w:tcMar>
          </w:tcPr>
          <w:p>
            <w:pPr>
              <w:spacing w:after="0"/>
            </w:pPr>
            <w:r/>
            <w:r>
              <w:rPr>
                <w:rFonts w:ascii="Arial" w:hAnsi="Arial"/>
                <w:b w:val="0"/>
                <w:sz w:val="16"/>
              </w:rPr>
              <w:t>Measures</w:t>
            </w:r>
          </w:p>
        </w:tc>
        <w:tc>
          <w:tcPr>
            <w:tcW w:type="dxa" w:w="7704"/>
            <w:vAlign w:val="center"/>
            <w:tcMar>
              <w:top w:w="70" w:type="dxa"/>
              <w:start w:w="80" w:type="dxa"/>
              <w:bottom w:w="70" w:type="dxa"/>
              <w:end w:w="80" w:type="dxa"/>
            </w:tcMar>
          </w:tcPr>
          <w:p>
            <w:pPr>
              <w:spacing w:after="0"/>
            </w:pPr>
            <w:r/>
            <w:r>
              <w:rPr>
                <w:rFonts w:ascii="Arial" w:hAnsi="Arial"/>
                <w:b w:val="0"/>
                <w:sz w:val="16"/>
              </w:rPr>
              <w:t>Strategic-service adoption; exception count and age; retired products; support-cost reduction.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6"/>
              </w:rPr>
              <w:t>Executive accountability</w:t>
            </w:r>
          </w:p>
        </w:tc>
        <w:tc>
          <w:tcPr>
            <w:tcW w:type="dxa" w:w="7704"/>
            <w:vAlign w:val="center"/>
            <w:tcMar>
              <w:top w:w="70" w:type="dxa"/>
              <w:start w:w="80" w:type="dxa"/>
              <w:bottom w:w="70" w:type="dxa"/>
              <w:end w:w="80" w:type="dxa"/>
            </w:tcMar>
            <w:shd w:fill="F8F9FA"/>
          </w:tcPr>
          <w:p>
            <w:pPr>
              <w:spacing w:after="0"/>
            </w:pPr>
            <w:r/>
            <w:r>
              <w:rPr>
                <w:rFonts w:ascii="Arial" w:hAnsi="Arial"/>
                <w:b w:val="0"/>
                <w:sz w:val="16"/>
              </w:rPr>
              <w:t>Enterprise Architecture Board and CIO</w:t>
            </w:r>
          </w:p>
        </w:tc>
      </w:tr>
      <w:tr>
        <w:tc>
          <w:tcPr>
            <w:tcW w:type="dxa" w:w="2232"/>
            <w:vAlign w:val="center"/>
            <w:tcMar>
              <w:top w:w="70" w:type="dxa"/>
              <w:start w:w="80" w:type="dxa"/>
              <w:bottom w:w="70" w:type="dxa"/>
              <w:end w:w="80" w:type="dxa"/>
            </w:tcMar>
          </w:tcPr>
          <w:p>
            <w:pPr>
              <w:spacing w:after="0"/>
            </w:pPr>
            <w:r/>
            <w:r>
              <w:rPr>
                <w:rFonts w:ascii="Arial" w:hAnsi="Arial"/>
                <w:b w:val="0"/>
                <w:sz w:val="16"/>
              </w:rPr>
              <w:t>Decision consequence</w:t>
            </w:r>
          </w:p>
        </w:tc>
        <w:tc>
          <w:tcPr>
            <w:tcW w:type="dxa" w:w="7704"/>
            <w:vAlign w:val="center"/>
            <w:tcMar>
              <w:top w:w="70" w:type="dxa"/>
              <w:start w:w="80" w:type="dxa"/>
              <w:bottom w:w="70" w:type="dxa"/>
              <w:end w:w="80" w:type="dxa"/>
            </w:tcMar>
          </w:tcPr>
          <w:p>
            <w:pPr>
              <w:spacing w:after="0"/>
            </w:pPr>
            <w:r/>
            <w:r>
              <w:rPr>
                <w:rFonts w:ascii="Arial" w:hAnsi="Arial"/>
                <w:b w:val="0"/>
                <w:sz w:val="16"/>
              </w:rPr>
              <w:t>Initiatives that do not map to this driver require an explicit exception or a separate approved business case.</w:t>
            </w:r>
          </w:p>
        </w:tc>
      </w:tr>
    </w:tbl>
    <w:p>
      <w:pPr>
        <w:spacing w:after="20"/>
      </w:pPr>
    </w:p>
    <w:p>
      <w:r>
        <w:t>The driver is treated as an investment constraint rather than a marketing statement. Architecture reviews must demonstrate which measurable outcome will improve, the baseline used, the target date, and the accountable owner. Benefits are tracked through the platform product backlog and quarterly value reviews.</w:t>
      </w:r>
    </w:p>
    <w:p>
      <w:r>
        <w:br w:type="page"/>
      </w:r>
    </w:p>
    <w:p>
      <w:pPr>
        <w:pStyle w:val="Heading2"/>
      </w:pPr>
      <w:r>
        <w:t>2.13 Driver Prioritization and Traceability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Driver</w:t>
            </w:r>
          </w:p>
        </w:tc>
        <w:tc>
          <w:tcPr>
            <w:tcW w:type="dxa" w:w="1440"/>
            <w:vAlign w:val="center"/>
            <w:tcMar>
              <w:top w:w="70" w:type="dxa"/>
              <w:start w:w="80" w:type="dxa"/>
              <w:bottom w:w="70" w:type="dxa"/>
              <w:end w:w="80" w:type="dxa"/>
            </w:tcMar>
            <w:shd w:fill="1A73E8"/>
          </w:tcPr>
          <w:p>
            <w:pPr>
              <w:spacing w:after="0"/>
            </w:pPr>
            <w:r/>
            <w:r>
              <w:rPr>
                <w:rFonts w:ascii="Arial" w:hAnsi="Arial"/>
                <w:b/>
                <w:color w:val="FFFFFF"/>
                <w:sz w:val="16"/>
              </w:rPr>
              <w:t>Strategic priority</w:t>
            </w:r>
          </w:p>
        </w:tc>
        <w:tc>
          <w:tcPr>
            <w:tcW w:type="dxa" w:w="3672"/>
            <w:vAlign w:val="center"/>
            <w:tcMar>
              <w:top w:w="70" w:type="dxa"/>
              <w:start w:w="80" w:type="dxa"/>
              <w:bottom w:w="70" w:type="dxa"/>
              <w:end w:w="80" w:type="dxa"/>
            </w:tcMar>
            <w:shd w:fill="1A73E8"/>
          </w:tcPr>
          <w:p>
            <w:pPr>
              <w:spacing w:after="0"/>
            </w:pPr>
            <w:r/>
            <w:r>
              <w:rPr>
                <w:rFonts w:ascii="Arial" w:hAnsi="Arial"/>
                <w:b/>
                <w:color w:val="FFFFFF"/>
                <w:sz w:val="16"/>
              </w:rPr>
              <w:t>Primary capability impact</w:t>
            </w:r>
          </w:p>
        </w:tc>
        <w:tc>
          <w:tcPr>
            <w:tcW w:type="dxa" w:w="3960"/>
            <w:vAlign w:val="center"/>
            <w:tcMar>
              <w:top w:w="70" w:type="dxa"/>
              <w:start w:w="80" w:type="dxa"/>
              <w:bottom w:w="70" w:type="dxa"/>
              <w:end w:w="80" w:type="dxa"/>
            </w:tcMar>
            <w:shd w:fill="1A73E8"/>
          </w:tcPr>
          <w:p>
            <w:pPr>
              <w:spacing w:after="0"/>
            </w:pPr>
            <w:r/>
            <w:r>
              <w:rPr>
                <w:rFonts w:ascii="Arial" w:hAnsi="Arial"/>
                <w:b/>
                <w:color w:val="FFFFFF"/>
                <w:sz w:val="16"/>
              </w:rPr>
              <w:t>First evidence expected</w:t>
            </w:r>
          </w:p>
        </w:tc>
      </w:tr>
      <w:tr>
        <w:tc>
          <w:tcPr>
            <w:tcW w:type="dxa" w:w="936"/>
            <w:vAlign w:val="center"/>
            <w:tcMar>
              <w:top w:w="70" w:type="dxa"/>
              <w:start w:w="80" w:type="dxa"/>
              <w:bottom w:w="70" w:type="dxa"/>
              <w:end w:w="80" w:type="dxa"/>
            </w:tcMar>
          </w:tcPr>
          <w:p>
            <w:pPr>
              <w:spacing w:after="0"/>
            </w:pPr>
            <w:r/>
            <w:r>
              <w:rPr>
                <w:rFonts w:ascii="Arial" w:hAnsi="Arial"/>
                <w:b w:val="0"/>
                <w:sz w:val="15"/>
              </w:rPr>
              <w:t>BD-01</w:t>
            </w:r>
          </w:p>
        </w:tc>
        <w:tc>
          <w:tcPr>
            <w:tcW w:type="dxa" w:w="1440"/>
            <w:vAlign w:val="center"/>
            <w:tcMar>
              <w:top w:w="70" w:type="dxa"/>
              <w:start w:w="80" w:type="dxa"/>
              <w:bottom w:w="70" w:type="dxa"/>
              <w:end w:w="80" w:type="dxa"/>
            </w:tcMar>
          </w:tcPr>
          <w:p>
            <w:pPr>
              <w:spacing w:after="0"/>
            </w:pPr>
            <w:r/>
            <w:r>
              <w:rPr>
                <w:rFonts w:ascii="Arial" w:hAnsi="Arial"/>
                <w:b w:val="0"/>
                <w:sz w:val="15"/>
              </w:rPr>
              <w:t>Critical</w:t>
            </w:r>
          </w:p>
        </w:tc>
        <w:tc>
          <w:tcPr>
            <w:tcW w:type="dxa" w:w="3672"/>
            <w:vAlign w:val="center"/>
            <w:tcMar>
              <w:top w:w="70" w:type="dxa"/>
              <w:start w:w="80" w:type="dxa"/>
              <w:bottom w:w="70" w:type="dxa"/>
              <w:end w:w="80" w:type="dxa"/>
            </w:tcMar>
          </w:tcPr>
          <w:p>
            <w:pPr>
              <w:spacing w:after="0"/>
            </w:pPr>
            <w:r/>
            <w:r>
              <w:rPr>
                <w:rFonts w:ascii="Arial" w:hAnsi="Arial"/>
                <w:b w:val="0"/>
                <w:sz w:val="15"/>
              </w:rPr>
              <w:t>Ingestion, semantic layer, product SLOs</w:t>
            </w:r>
          </w:p>
        </w:tc>
        <w:tc>
          <w:tcPr>
            <w:tcW w:type="dxa" w:w="3960"/>
            <w:vAlign w:val="center"/>
            <w:tcMar>
              <w:top w:w="70" w:type="dxa"/>
              <w:start w:w="80" w:type="dxa"/>
              <w:bottom w:w="70" w:type="dxa"/>
              <w:end w:w="80" w:type="dxa"/>
            </w:tcMar>
          </w:tcPr>
          <w:p>
            <w:pPr>
              <w:spacing w:after="0"/>
            </w:pPr>
            <w:r/>
            <w:r>
              <w:rPr>
                <w:rFonts w:ascii="Arial" w:hAnsi="Arial"/>
                <w:b w:val="0"/>
                <w:sz w:val="15"/>
              </w:rPr>
              <w:t>Pilot-domain freshness and KPI lead-time baseline</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BD-02</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Critical</w:t>
            </w:r>
          </w:p>
        </w:tc>
        <w:tc>
          <w:tcPr>
            <w:tcW w:type="dxa" w:w="3672"/>
            <w:vAlign w:val="center"/>
            <w:tcMar>
              <w:top w:w="70" w:type="dxa"/>
              <w:start w:w="80" w:type="dxa"/>
              <w:bottom w:w="70" w:type="dxa"/>
              <w:end w:w="80" w:type="dxa"/>
            </w:tcMar>
            <w:shd w:fill="F8F9FA"/>
          </w:tcPr>
          <w:p>
            <w:pPr>
              <w:spacing w:after="0"/>
            </w:pPr>
            <w:r/>
            <w:r>
              <w:rPr>
                <w:rFonts w:ascii="Arial" w:hAnsi="Arial"/>
                <w:b w:val="0"/>
                <w:sz w:val="15"/>
              </w:rPr>
              <w:t>Platform engineering, self-service, IaC</w:t>
            </w:r>
          </w:p>
        </w:tc>
        <w:tc>
          <w:tcPr>
            <w:tcW w:type="dxa" w:w="3960"/>
            <w:vAlign w:val="center"/>
            <w:tcMar>
              <w:top w:w="70" w:type="dxa"/>
              <w:start w:w="80" w:type="dxa"/>
              <w:bottom w:w="70" w:type="dxa"/>
              <w:end w:w="80" w:type="dxa"/>
            </w:tcMar>
            <w:shd w:fill="F8F9FA"/>
          </w:tcPr>
          <w:p>
            <w:pPr>
              <w:spacing w:after="0"/>
            </w:pPr>
            <w:r/>
            <w:r>
              <w:rPr>
                <w:rFonts w:ascii="Arial" w:hAnsi="Arial"/>
                <w:b w:val="0"/>
                <w:sz w:val="15"/>
              </w:rPr>
              <w:t>Golden path adopted by first three domains</w:t>
            </w:r>
          </w:p>
        </w:tc>
      </w:tr>
      <w:tr>
        <w:tc>
          <w:tcPr>
            <w:tcW w:type="dxa" w:w="936"/>
            <w:vAlign w:val="center"/>
            <w:tcMar>
              <w:top w:w="70" w:type="dxa"/>
              <w:start w:w="80" w:type="dxa"/>
              <w:bottom w:w="70" w:type="dxa"/>
              <w:end w:w="80" w:type="dxa"/>
            </w:tcMar>
          </w:tcPr>
          <w:p>
            <w:pPr>
              <w:spacing w:after="0"/>
            </w:pPr>
            <w:r/>
            <w:r>
              <w:rPr>
                <w:rFonts w:ascii="Arial" w:hAnsi="Arial"/>
                <w:b w:val="0"/>
                <w:sz w:val="15"/>
              </w:rPr>
              <w:t>BD-03</w:t>
            </w:r>
          </w:p>
        </w:tc>
        <w:tc>
          <w:tcPr>
            <w:tcW w:type="dxa" w:w="1440"/>
            <w:vAlign w:val="center"/>
            <w:tcMar>
              <w:top w:w="70" w:type="dxa"/>
              <w:start w:w="80" w:type="dxa"/>
              <w:bottom w:w="70" w:type="dxa"/>
              <w:end w:w="80" w:type="dxa"/>
            </w:tcMar>
          </w:tcPr>
          <w:p>
            <w:pPr>
              <w:spacing w:after="0"/>
            </w:pPr>
            <w:r/>
            <w:r>
              <w:rPr>
                <w:rFonts w:ascii="Arial" w:hAnsi="Arial"/>
                <w:b w:val="0"/>
                <w:sz w:val="15"/>
              </w:rPr>
              <w:t>High</w:t>
            </w:r>
          </w:p>
        </w:tc>
        <w:tc>
          <w:tcPr>
            <w:tcW w:type="dxa" w:w="3672"/>
            <w:vAlign w:val="center"/>
            <w:tcMar>
              <w:top w:w="70" w:type="dxa"/>
              <w:start w:w="80" w:type="dxa"/>
              <w:bottom w:w="70" w:type="dxa"/>
              <w:end w:w="80" w:type="dxa"/>
            </w:tcMar>
          </w:tcPr>
          <w:p>
            <w:pPr>
              <w:spacing w:after="0"/>
            </w:pPr>
            <w:r/>
            <w:r>
              <w:rPr>
                <w:rFonts w:ascii="Arial" w:hAnsi="Arial"/>
                <w:b w:val="0"/>
                <w:sz w:val="15"/>
              </w:rPr>
              <w:t>Warehouse modernization, migration factory</w:t>
            </w:r>
          </w:p>
        </w:tc>
        <w:tc>
          <w:tcPr>
            <w:tcW w:type="dxa" w:w="3960"/>
            <w:vAlign w:val="center"/>
            <w:tcMar>
              <w:top w:w="70" w:type="dxa"/>
              <w:start w:w="80" w:type="dxa"/>
              <w:bottom w:w="70" w:type="dxa"/>
              <w:end w:w="80" w:type="dxa"/>
            </w:tcMar>
          </w:tcPr>
          <w:p>
            <w:pPr>
              <w:spacing w:after="0"/>
            </w:pPr>
            <w:r/>
            <w:r>
              <w:rPr>
                <w:rFonts w:ascii="Arial" w:hAnsi="Arial"/>
                <w:b w:val="0"/>
                <w:sz w:val="15"/>
              </w:rPr>
              <w:t>Validated workload waves and retirement dates</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BD-04</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High</w:t>
            </w:r>
          </w:p>
        </w:tc>
        <w:tc>
          <w:tcPr>
            <w:tcW w:type="dxa" w:w="3672"/>
            <w:vAlign w:val="center"/>
            <w:tcMar>
              <w:top w:w="70" w:type="dxa"/>
              <w:start w:w="80" w:type="dxa"/>
              <w:bottom w:w="70" w:type="dxa"/>
              <w:end w:w="80" w:type="dxa"/>
            </w:tcMar>
            <w:shd w:fill="F8F9FA"/>
          </w:tcPr>
          <w:p>
            <w:pPr>
              <w:spacing w:after="0"/>
            </w:pPr>
            <w:r/>
            <w:r>
              <w:rPr>
                <w:rFonts w:ascii="Arial" w:hAnsi="Arial"/>
                <w:b w:val="0"/>
                <w:sz w:val="15"/>
              </w:rPr>
              <w:t>Streaming, CDC, event governance</w:t>
            </w:r>
          </w:p>
        </w:tc>
        <w:tc>
          <w:tcPr>
            <w:tcW w:type="dxa" w:w="3960"/>
            <w:vAlign w:val="center"/>
            <w:tcMar>
              <w:top w:w="70" w:type="dxa"/>
              <w:start w:w="80" w:type="dxa"/>
              <w:bottom w:w="70" w:type="dxa"/>
              <w:end w:w="80" w:type="dxa"/>
            </w:tcMar>
            <w:shd w:fill="F8F9FA"/>
          </w:tcPr>
          <w:p>
            <w:pPr>
              <w:spacing w:after="0"/>
            </w:pPr>
            <w:r/>
            <w:r>
              <w:rPr>
                <w:rFonts w:ascii="Arial" w:hAnsi="Arial"/>
                <w:b w:val="0"/>
                <w:sz w:val="15"/>
              </w:rPr>
              <w:t>Two production streams with replay tests</w:t>
            </w:r>
          </w:p>
        </w:tc>
      </w:tr>
      <w:tr>
        <w:tc>
          <w:tcPr>
            <w:tcW w:type="dxa" w:w="936"/>
            <w:vAlign w:val="center"/>
            <w:tcMar>
              <w:top w:w="70" w:type="dxa"/>
              <w:start w:w="80" w:type="dxa"/>
              <w:bottom w:w="70" w:type="dxa"/>
              <w:end w:w="80" w:type="dxa"/>
            </w:tcMar>
          </w:tcPr>
          <w:p>
            <w:pPr>
              <w:spacing w:after="0"/>
            </w:pPr>
            <w:r/>
            <w:r>
              <w:rPr>
                <w:rFonts w:ascii="Arial" w:hAnsi="Arial"/>
                <w:b w:val="0"/>
                <w:sz w:val="15"/>
              </w:rPr>
              <w:t>BD-05</w:t>
            </w:r>
          </w:p>
        </w:tc>
        <w:tc>
          <w:tcPr>
            <w:tcW w:type="dxa" w:w="1440"/>
            <w:vAlign w:val="center"/>
            <w:tcMar>
              <w:top w:w="70" w:type="dxa"/>
              <w:start w:w="80" w:type="dxa"/>
              <w:bottom w:w="70" w:type="dxa"/>
              <w:end w:w="80" w:type="dxa"/>
            </w:tcMar>
          </w:tcPr>
          <w:p>
            <w:pPr>
              <w:spacing w:after="0"/>
            </w:pPr>
            <w:r/>
            <w:r>
              <w:rPr>
                <w:rFonts w:ascii="Arial" w:hAnsi="Arial"/>
                <w:b w:val="0"/>
                <w:sz w:val="15"/>
              </w:rPr>
              <w:t>Critical</w:t>
            </w:r>
          </w:p>
        </w:tc>
        <w:tc>
          <w:tcPr>
            <w:tcW w:type="dxa" w:w="3672"/>
            <w:vAlign w:val="center"/>
            <w:tcMar>
              <w:top w:w="70" w:type="dxa"/>
              <w:start w:w="80" w:type="dxa"/>
              <w:bottom w:w="70" w:type="dxa"/>
              <w:end w:w="80" w:type="dxa"/>
            </w:tcMar>
          </w:tcPr>
          <w:p>
            <w:pPr>
              <w:spacing w:after="0"/>
            </w:pPr>
            <w:r/>
            <w:r>
              <w:rPr>
                <w:rFonts w:ascii="Arial" w:hAnsi="Arial"/>
                <w:b w:val="0"/>
                <w:sz w:val="15"/>
              </w:rPr>
              <w:t>Security, privacy, audit and retention</w:t>
            </w:r>
          </w:p>
        </w:tc>
        <w:tc>
          <w:tcPr>
            <w:tcW w:type="dxa" w:w="3960"/>
            <w:vAlign w:val="center"/>
            <w:tcMar>
              <w:top w:w="70" w:type="dxa"/>
              <w:start w:w="80" w:type="dxa"/>
              <w:bottom w:w="70" w:type="dxa"/>
              <w:end w:w="80" w:type="dxa"/>
            </w:tcMar>
          </w:tcPr>
          <w:p>
            <w:pPr>
              <w:spacing w:after="0"/>
            </w:pPr>
            <w:r/>
            <w:r>
              <w:rPr>
                <w:rFonts w:ascii="Arial" w:hAnsi="Arial"/>
                <w:b w:val="0"/>
                <w:sz w:val="15"/>
              </w:rPr>
              <w:t>Control mapping and restricted-data perimeter</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BD-06</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High</w:t>
            </w:r>
          </w:p>
        </w:tc>
        <w:tc>
          <w:tcPr>
            <w:tcW w:type="dxa" w:w="3672"/>
            <w:vAlign w:val="center"/>
            <w:tcMar>
              <w:top w:w="70" w:type="dxa"/>
              <w:start w:w="80" w:type="dxa"/>
              <w:bottom w:w="70" w:type="dxa"/>
              <w:end w:w="80" w:type="dxa"/>
            </w:tcMar>
            <w:shd w:fill="F8F9FA"/>
          </w:tcPr>
          <w:p>
            <w:pPr>
              <w:spacing w:after="0"/>
            </w:pPr>
            <w:r/>
            <w:r>
              <w:rPr>
                <w:rFonts w:ascii="Arial" w:hAnsi="Arial"/>
                <w:b w:val="0"/>
                <w:sz w:val="15"/>
              </w:rPr>
              <w:t>Region strategy and sovereignty</w:t>
            </w:r>
          </w:p>
        </w:tc>
        <w:tc>
          <w:tcPr>
            <w:tcW w:type="dxa" w:w="3960"/>
            <w:vAlign w:val="center"/>
            <w:tcMar>
              <w:top w:w="70" w:type="dxa"/>
              <w:start w:w="80" w:type="dxa"/>
              <w:bottom w:w="70" w:type="dxa"/>
              <w:end w:w="80" w:type="dxa"/>
            </w:tcMar>
            <w:shd w:fill="F8F9FA"/>
          </w:tcPr>
          <w:p>
            <w:pPr>
              <w:spacing w:after="0"/>
            </w:pPr>
            <w:r/>
            <w:r>
              <w:rPr>
                <w:rFonts w:ascii="Arial" w:hAnsi="Arial"/>
                <w:b w:val="0"/>
                <w:sz w:val="15"/>
              </w:rPr>
              <w:t>Approved residency matrix</w:t>
            </w:r>
          </w:p>
        </w:tc>
      </w:tr>
      <w:tr>
        <w:tc>
          <w:tcPr>
            <w:tcW w:type="dxa" w:w="936"/>
            <w:vAlign w:val="center"/>
            <w:tcMar>
              <w:top w:w="70" w:type="dxa"/>
              <w:start w:w="80" w:type="dxa"/>
              <w:bottom w:w="70" w:type="dxa"/>
              <w:end w:w="80" w:type="dxa"/>
            </w:tcMar>
          </w:tcPr>
          <w:p>
            <w:pPr>
              <w:spacing w:after="0"/>
            </w:pPr>
            <w:r/>
            <w:r>
              <w:rPr>
                <w:rFonts w:ascii="Arial" w:hAnsi="Arial"/>
                <w:b w:val="0"/>
                <w:sz w:val="15"/>
              </w:rPr>
              <w:t>BD-07</w:t>
            </w:r>
          </w:p>
        </w:tc>
        <w:tc>
          <w:tcPr>
            <w:tcW w:type="dxa" w:w="1440"/>
            <w:vAlign w:val="center"/>
            <w:tcMar>
              <w:top w:w="70" w:type="dxa"/>
              <w:start w:w="80" w:type="dxa"/>
              <w:bottom w:w="70" w:type="dxa"/>
              <w:end w:w="80" w:type="dxa"/>
            </w:tcMar>
          </w:tcPr>
          <w:p>
            <w:pPr>
              <w:spacing w:after="0"/>
            </w:pPr>
            <w:r/>
            <w:r>
              <w:rPr>
                <w:rFonts w:ascii="Arial" w:hAnsi="Arial"/>
                <w:b w:val="0"/>
                <w:sz w:val="15"/>
              </w:rPr>
              <w:t>Critical</w:t>
            </w:r>
          </w:p>
        </w:tc>
        <w:tc>
          <w:tcPr>
            <w:tcW w:type="dxa" w:w="3672"/>
            <w:vAlign w:val="center"/>
            <w:tcMar>
              <w:top w:w="70" w:type="dxa"/>
              <w:start w:w="80" w:type="dxa"/>
              <w:bottom w:w="70" w:type="dxa"/>
              <w:end w:w="80" w:type="dxa"/>
            </w:tcMar>
          </w:tcPr>
          <w:p>
            <w:pPr>
              <w:spacing w:after="0"/>
            </w:pPr>
            <w:r/>
            <w:r>
              <w:rPr>
                <w:rFonts w:ascii="Arial" w:hAnsi="Arial"/>
                <w:b w:val="0"/>
                <w:sz w:val="15"/>
              </w:rPr>
              <w:t>Data mesh and governance</w:t>
            </w:r>
          </w:p>
        </w:tc>
        <w:tc>
          <w:tcPr>
            <w:tcW w:type="dxa" w:w="3960"/>
            <w:vAlign w:val="center"/>
            <w:tcMar>
              <w:top w:w="70" w:type="dxa"/>
              <w:start w:w="80" w:type="dxa"/>
              <w:bottom w:w="70" w:type="dxa"/>
              <w:end w:w="80" w:type="dxa"/>
            </w:tcMar>
          </w:tcPr>
          <w:p>
            <w:pPr>
              <w:spacing w:after="0"/>
            </w:pPr>
            <w:r/>
            <w:r>
              <w:rPr>
                <w:rFonts w:ascii="Arial" w:hAnsi="Arial"/>
                <w:b w:val="0"/>
                <w:sz w:val="15"/>
              </w:rPr>
              <w:t>Certified product catalog</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BD-08</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High</w:t>
            </w:r>
          </w:p>
        </w:tc>
        <w:tc>
          <w:tcPr>
            <w:tcW w:type="dxa" w:w="3672"/>
            <w:vAlign w:val="center"/>
            <w:tcMar>
              <w:top w:w="70" w:type="dxa"/>
              <w:start w:w="80" w:type="dxa"/>
              <w:bottom w:w="70" w:type="dxa"/>
              <w:end w:w="80" w:type="dxa"/>
            </w:tcMar>
            <w:shd w:fill="F8F9FA"/>
          </w:tcPr>
          <w:p>
            <w:pPr>
              <w:spacing w:after="0"/>
            </w:pPr>
            <w:r/>
            <w:r>
              <w:rPr>
                <w:rFonts w:ascii="Arial" w:hAnsi="Arial"/>
                <w:b w:val="0"/>
                <w:sz w:val="15"/>
              </w:rPr>
              <w:t>Vertex AI, RAG, MLOps and LLMOps</w:t>
            </w:r>
          </w:p>
        </w:tc>
        <w:tc>
          <w:tcPr>
            <w:tcW w:type="dxa" w:w="3960"/>
            <w:vAlign w:val="center"/>
            <w:tcMar>
              <w:top w:w="70" w:type="dxa"/>
              <w:start w:w="80" w:type="dxa"/>
              <w:bottom w:w="70" w:type="dxa"/>
              <w:end w:w="80" w:type="dxa"/>
            </w:tcMar>
            <w:shd w:fill="F8F9FA"/>
          </w:tcPr>
          <w:p>
            <w:pPr>
              <w:spacing w:after="0"/>
            </w:pPr>
            <w:r/>
            <w:r>
              <w:rPr>
                <w:rFonts w:ascii="Arial" w:hAnsi="Arial"/>
                <w:b w:val="0"/>
                <w:sz w:val="15"/>
              </w:rPr>
              <w:t>Governed AI pilot</w:t>
            </w:r>
          </w:p>
        </w:tc>
      </w:tr>
      <w:tr>
        <w:tc>
          <w:tcPr>
            <w:tcW w:type="dxa" w:w="936"/>
            <w:vAlign w:val="center"/>
            <w:tcMar>
              <w:top w:w="70" w:type="dxa"/>
              <w:start w:w="80" w:type="dxa"/>
              <w:bottom w:w="70" w:type="dxa"/>
              <w:end w:w="80" w:type="dxa"/>
            </w:tcMar>
          </w:tcPr>
          <w:p>
            <w:pPr>
              <w:spacing w:after="0"/>
            </w:pPr>
            <w:r/>
            <w:r>
              <w:rPr>
                <w:rFonts w:ascii="Arial" w:hAnsi="Arial"/>
                <w:b w:val="0"/>
                <w:sz w:val="15"/>
              </w:rPr>
              <w:t>BD-09</w:t>
            </w:r>
          </w:p>
        </w:tc>
        <w:tc>
          <w:tcPr>
            <w:tcW w:type="dxa" w:w="1440"/>
            <w:vAlign w:val="center"/>
            <w:tcMar>
              <w:top w:w="70" w:type="dxa"/>
              <w:start w:w="80" w:type="dxa"/>
              <w:bottom w:w="70" w:type="dxa"/>
              <w:end w:w="80" w:type="dxa"/>
            </w:tcMar>
          </w:tcPr>
          <w:p>
            <w:pPr>
              <w:spacing w:after="0"/>
            </w:pPr>
            <w:r/>
            <w:r>
              <w:rPr>
                <w:rFonts w:ascii="Arial" w:hAnsi="Arial"/>
                <w:b w:val="0"/>
                <w:sz w:val="15"/>
              </w:rPr>
              <w:t>Critical</w:t>
            </w:r>
          </w:p>
        </w:tc>
        <w:tc>
          <w:tcPr>
            <w:tcW w:type="dxa" w:w="3672"/>
            <w:vAlign w:val="center"/>
            <w:tcMar>
              <w:top w:w="70" w:type="dxa"/>
              <w:start w:w="80" w:type="dxa"/>
              <w:bottom w:w="70" w:type="dxa"/>
              <w:end w:w="80" w:type="dxa"/>
            </w:tcMar>
          </w:tcPr>
          <w:p>
            <w:pPr>
              <w:spacing w:after="0"/>
            </w:pPr>
            <w:r/>
            <w:r>
              <w:rPr>
                <w:rFonts w:ascii="Arial" w:hAnsi="Arial"/>
                <w:b w:val="0"/>
                <w:sz w:val="15"/>
              </w:rPr>
              <w:t>SRE and disaster recovery</w:t>
            </w:r>
          </w:p>
        </w:tc>
        <w:tc>
          <w:tcPr>
            <w:tcW w:type="dxa" w:w="3960"/>
            <w:vAlign w:val="center"/>
            <w:tcMar>
              <w:top w:w="70" w:type="dxa"/>
              <w:start w:w="80" w:type="dxa"/>
              <w:bottom w:w="70" w:type="dxa"/>
              <w:end w:w="80" w:type="dxa"/>
            </w:tcMar>
          </w:tcPr>
          <w:p>
            <w:pPr>
              <w:spacing w:after="0"/>
            </w:pPr>
            <w:r/>
            <w:r>
              <w:rPr>
                <w:rFonts w:ascii="Arial" w:hAnsi="Arial"/>
                <w:b w:val="0"/>
                <w:sz w:val="15"/>
              </w:rPr>
              <w:t>Tiered SLO/RTO/RPO catalog</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BD-10</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High</w:t>
            </w:r>
          </w:p>
        </w:tc>
        <w:tc>
          <w:tcPr>
            <w:tcW w:type="dxa" w:w="3672"/>
            <w:vAlign w:val="center"/>
            <w:tcMar>
              <w:top w:w="70" w:type="dxa"/>
              <w:start w:w="80" w:type="dxa"/>
              <w:bottom w:w="70" w:type="dxa"/>
              <w:end w:w="80" w:type="dxa"/>
            </w:tcMar>
            <w:shd w:fill="F8F9FA"/>
          </w:tcPr>
          <w:p>
            <w:pPr>
              <w:spacing w:after="0"/>
            </w:pPr>
            <w:r/>
            <w:r>
              <w:rPr>
                <w:rFonts w:ascii="Arial" w:hAnsi="Arial"/>
                <w:b w:val="0"/>
                <w:sz w:val="15"/>
              </w:rPr>
              <w:t>FinOps and allocation</w:t>
            </w:r>
          </w:p>
        </w:tc>
        <w:tc>
          <w:tcPr>
            <w:tcW w:type="dxa" w:w="3960"/>
            <w:vAlign w:val="center"/>
            <w:tcMar>
              <w:top w:w="70" w:type="dxa"/>
              <w:start w:w="80" w:type="dxa"/>
              <w:bottom w:w="70" w:type="dxa"/>
              <w:end w:w="80" w:type="dxa"/>
            </w:tcMar>
            <w:shd w:fill="F8F9FA"/>
          </w:tcPr>
          <w:p>
            <w:pPr>
              <w:spacing w:after="0"/>
            </w:pPr>
            <w:r/>
            <w:r>
              <w:rPr>
                <w:rFonts w:ascii="Arial" w:hAnsi="Arial"/>
                <w:b w:val="0"/>
                <w:sz w:val="15"/>
              </w:rPr>
              <w:t>Domain showback dashboard</w:t>
            </w:r>
          </w:p>
        </w:tc>
      </w:tr>
      <w:tr>
        <w:tc>
          <w:tcPr>
            <w:tcW w:type="dxa" w:w="936"/>
            <w:vAlign w:val="center"/>
            <w:tcMar>
              <w:top w:w="70" w:type="dxa"/>
              <w:start w:w="80" w:type="dxa"/>
              <w:bottom w:w="70" w:type="dxa"/>
              <w:end w:w="80" w:type="dxa"/>
            </w:tcMar>
          </w:tcPr>
          <w:p>
            <w:pPr>
              <w:spacing w:after="0"/>
            </w:pPr>
            <w:r/>
            <w:r>
              <w:rPr>
                <w:rFonts w:ascii="Arial" w:hAnsi="Arial"/>
                <w:b w:val="0"/>
                <w:sz w:val="15"/>
              </w:rPr>
              <w:t>BD-11</w:t>
            </w:r>
          </w:p>
        </w:tc>
        <w:tc>
          <w:tcPr>
            <w:tcW w:type="dxa" w:w="1440"/>
            <w:vAlign w:val="center"/>
            <w:tcMar>
              <w:top w:w="70" w:type="dxa"/>
              <w:start w:w="80" w:type="dxa"/>
              <w:bottom w:w="70" w:type="dxa"/>
              <w:end w:w="80" w:type="dxa"/>
            </w:tcMar>
          </w:tcPr>
          <w:p>
            <w:pPr>
              <w:spacing w:after="0"/>
            </w:pPr>
            <w:r/>
            <w:r>
              <w:rPr>
                <w:rFonts w:ascii="Arial" w:hAnsi="Arial"/>
                <w:b w:val="0"/>
                <w:sz w:val="15"/>
              </w:rPr>
              <w:t>High</w:t>
            </w:r>
          </w:p>
        </w:tc>
        <w:tc>
          <w:tcPr>
            <w:tcW w:type="dxa" w:w="3672"/>
            <w:vAlign w:val="center"/>
            <w:tcMar>
              <w:top w:w="70" w:type="dxa"/>
              <w:start w:w="80" w:type="dxa"/>
              <w:bottom w:w="70" w:type="dxa"/>
              <w:end w:w="80" w:type="dxa"/>
            </w:tcMar>
          </w:tcPr>
          <w:p>
            <w:pPr>
              <w:spacing w:after="0"/>
            </w:pPr>
            <w:r/>
            <w:r>
              <w:rPr>
                <w:rFonts w:ascii="Arial" w:hAnsi="Arial"/>
                <w:b w:val="0"/>
                <w:sz w:val="15"/>
              </w:rPr>
              <w:t>DevSecOps and templates</w:t>
            </w:r>
          </w:p>
        </w:tc>
        <w:tc>
          <w:tcPr>
            <w:tcW w:type="dxa" w:w="3960"/>
            <w:vAlign w:val="center"/>
            <w:tcMar>
              <w:top w:w="70" w:type="dxa"/>
              <w:start w:w="80" w:type="dxa"/>
              <w:bottom w:w="70" w:type="dxa"/>
              <w:end w:w="80" w:type="dxa"/>
            </w:tcMar>
          </w:tcPr>
          <w:p>
            <w:pPr>
              <w:spacing w:after="0"/>
            </w:pPr>
            <w:r/>
            <w:r>
              <w:rPr>
                <w:rFonts w:ascii="Arial" w:hAnsi="Arial"/>
                <w:b w:val="0"/>
                <w:sz w:val="15"/>
              </w:rPr>
              <w:t>Provisioning lead-time reduction</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BD-12</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Medium/High</w:t>
            </w:r>
          </w:p>
        </w:tc>
        <w:tc>
          <w:tcPr>
            <w:tcW w:type="dxa" w:w="3672"/>
            <w:vAlign w:val="center"/>
            <w:tcMar>
              <w:top w:w="70" w:type="dxa"/>
              <w:start w:w="80" w:type="dxa"/>
              <w:bottom w:w="70" w:type="dxa"/>
              <w:end w:w="80" w:type="dxa"/>
            </w:tcMar>
            <w:shd w:fill="F8F9FA"/>
          </w:tcPr>
          <w:p>
            <w:pPr>
              <w:spacing w:after="0"/>
            </w:pPr>
            <w:r/>
            <w:r>
              <w:rPr>
                <w:rFonts w:ascii="Arial" w:hAnsi="Arial"/>
                <w:b w:val="0"/>
                <w:sz w:val="15"/>
              </w:rPr>
              <w:t>Architecture governance and rationalization</w:t>
            </w:r>
          </w:p>
        </w:tc>
        <w:tc>
          <w:tcPr>
            <w:tcW w:type="dxa" w:w="3960"/>
            <w:vAlign w:val="center"/>
            <w:tcMar>
              <w:top w:w="70" w:type="dxa"/>
              <w:start w:w="80" w:type="dxa"/>
              <w:bottom w:w="70" w:type="dxa"/>
              <w:end w:w="80" w:type="dxa"/>
            </w:tcMar>
            <w:shd w:fill="F8F9FA"/>
          </w:tcPr>
          <w:p>
            <w:pPr>
              <w:spacing w:after="0"/>
            </w:pPr>
            <w:r/>
            <w:r>
              <w:rPr>
                <w:rFonts w:ascii="Arial" w:hAnsi="Arial"/>
                <w:b w:val="0"/>
                <w:sz w:val="15"/>
              </w:rPr>
              <w:t>Approved strategic-service catalog</w:t>
            </w:r>
          </w:p>
        </w:tc>
      </w:tr>
    </w:tbl>
    <w:p>
      <w:pPr>
        <w:spacing w:after="20"/>
      </w:pPr>
    </w:p>
    <w:p>
      <w:pPr>
        <w:pStyle w:val="Heading1"/>
      </w:pPr>
      <w:r>
        <w:t>3. Business and Functional Requirements</w:t>
      </w:r>
    </w:p>
    <w:p>
      <w:pPr>
        <w:pStyle w:val="Lead"/>
      </w:pPr>
      <w:r>
        <w:t>Requirements are written as verifiable enterprise obligations. Each requirement maps to an architecture response and evidence that can be reviewed during design assurance, implementation acceptance and production-readiness reviews.</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Prioritized requirements; Traceable architecture responses; Acceptance evidence; Named accountability.</w:t>
            </w:r>
          </w:p>
        </w:tc>
      </w:tr>
    </w:tbl>
    <w:p>
      <w:pPr>
        <w:spacing w:after="20"/>
      </w:pPr>
    </w:p>
    <w:p>
      <w:pPr>
        <w:pStyle w:val="Heading2"/>
      </w:pPr>
      <w:r>
        <w:t>3.1 Data Acquisition and Integration</w:t>
      </w:r>
    </w:p>
    <w:p>
      <w:r>
        <w:t>The requirements in this category are mandatory unless the Architecture Review Board records a time-bound exception. The acceptance evidence is designed to be objectively testable rather than based on implementation claims.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Requirement</w:t>
            </w:r>
          </w:p>
        </w:tc>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Priority</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Architecture response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Acceptance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BR-ING-001</w:t>
            </w:r>
          </w:p>
        </w:tc>
        <w:tc>
          <w:tcPr>
            <w:tcW w:type="dxa" w:w="2952"/>
            <w:vAlign w:val="center"/>
            <w:tcMar>
              <w:top w:w="70" w:type="dxa"/>
              <w:start w:w="80" w:type="dxa"/>
              <w:bottom w:w="70" w:type="dxa"/>
              <w:end w:w="80" w:type="dxa"/>
            </w:tcMar>
          </w:tcPr>
          <w:p>
            <w:pPr>
              <w:spacing w:after="0"/>
            </w:pPr>
            <w:r/>
            <w:r>
              <w:rPr>
                <w:rFonts w:ascii="Arial" w:hAnsi="Arial"/>
                <w:b w:val="0"/>
                <w:sz w:val="14"/>
              </w:rPr>
              <w:t>Ingest structured, semi-structured and unstructured data from on-premises, SaaS, cloud and partner sources.</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Standard ingestion patterns using Storage Transfer Service, Datastream, Pub/Sub, Dataflow, Cloud Run and approved connectors.</w:t>
            </w:r>
          </w:p>
        </w:tc>
        <w:tc>
          <w:tcPr>
            <w:tcW w:type="dxa" w:w="2232"/>
            <w:vAlign w:val="center"/>
            <w:tcMar>
              <w:top w:w="70" w:type="dxa"/>
              <w:start w:w="80" w:type="dxa"/>
              <w:bottom w:w="70" w:type="dxa"/>
              <w:end w:w="80" w:type="dxa"/>
            </w:tcMar>
          </w:tcPr>
          <w:p>
            <w:pPr>
              <w:spacing w:after="0"/>
            </w:pPr>
            <w:r/>
            <w:r>
              <w:rPr>
                <w:rFonts w:ascii="Arial" w:hAnsi="Arial"/>
                <w:b w:val="0"/>
                <w:sz w:val="14"/>
              </w:rPr>
              <w:t>A representative source for each pattern passes security, reconciliation and failure-recovery testing.</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BR-ING-002</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Support batch, micro-batch, near-real-time and streaming delivery according to documented business latency.</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Latency-tiered ingestion catalog; streaming allowed only with an approved value case and SLO.</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Every production feed has an approved latency class and measured end-to-end freshness.</w:t>
            </w:r>
          </w:p>
        </w:tc>
      </w:tr>
      <w:tr>
        <w:tc>
          <w:tcPr>
            <w:tcW w:type="dxa" w:w="1224"/>
            <w:vAlign w:val="center"/>
            <w:tcMar>
              <w:top w:w="70" w:type="dxa"/>
              <w:start w:w="80" w:type="dxa"/>
              <w:bottom w:w="70" w:type="dxa"/>
              <w:end w:w="80" w:type="dxa"/>
            </w:tcMar>
          </w:tcPr>
          <w:p>
            <w:pPr>
              <w:spacing w:after="0"/>
            </w:pPr>
            <w:r/>
            <w:r>
              <w:rPr>
                <w:rFonts w:ascii="Arial" w:hAnsi="Arial"/>
                <w:b w:val="0"/>
                <w:sz w:val="14"/>
              </w:rPr>
              <w:t>BR-ING-003</w:t>
            </w:r>
          </w:p>
        </w:tc>
        <w:tc>
          <w:tcPr>
            <w:tcW w:type="dxa" w:w="2952"/>
            <w:vAlign w:val="center"/>
            <w:tcMar>
              <w:top w:w="70" w:type="dxa"/>
              <w:start w:w="80" w:type="dxa"/>
              <w:bottom w:w="70" w:type="dxa"/>
              <w:end w:w="80" w:type="dxa"/>
            </w:tcMar>
          </w:tcPr>
          <w:p>
            <w:pPr>
              <w:spacing w:after="0"/>
            </w:pPr>
            <w:r/>
            <w:r>
              <w:rPr>
                <w:rFonts w:ascii="Arial" w:hAnsi="Arial"/>
                <w:b w:val="0"/>
                <w:sz w:val="14"/>
              </w:rPr>
              <w:t>Provide replay, backfill and idempotent reprocessing without corrupting published products.</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Immutable raw history, retained event streams, deterministic keys, checkpoints and versioned transformations.</w:t>
            </w:r>
          </w:p>
        </w:tc>
        <w:tc>
          <w:tcPr>
            <w:tcW w:type="dxa" w:w="2232"/>
            <w:vAlign w:val="center"/>
            <w:tcMar>
              <w:top w:w="70" w:type="dxa"/>
              <w:start w:w="80" w:type="dxa"/>
              <w:bottom w:w="70" w:type="dxa"/>
              <w:end w:w="80" w:type="dxa"/>
            </w:tcMar>
          </w:tcPr>
          <w:p>
            <w:pPr>
              <w:spacing w:after="0"/>
            </w:pPr>
            <w:r/>
            <w:r>
              <w:rPr>
                <w:rFonts w:ascii="Arial" w:hAnsi="Arial"/>
                <w:b w:val="0"/>
                <w:sz w:val="14"/>
              </w:rPr>
              <w:t>Replay exercise reproduces a defined period with zero unexplained variance.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BR-ING-004</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Validate files, messages and records before promotion to trusted layers.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Schema validation, malware/checksum controls, quarantine, dead-letter topics and quality gates.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Invalid test records are isolated with actionable failure metadata.</w:t>
            </w:r>
          </w:p>
        </w:tc>
      </w:tr>
      <w:tr>
        <w:tc>
          <w:tcPr>
            <w:tcW w:type="dxa" w:w="1224"/>
            <w:vAlign w:val="center"/>
            <w:tcMar>
              <w:top w:w="70" w:type="dxa"/>
              <w:start w:w="80" w:type="dxa"/>
              <w:bottom w:w="70" w:type="dxa"/>
              <w:end w:w="80" w:type="dxa"/>
            </w:tcMar>
          </w:tcPr>
          <w:p>
            <w:pPr>
              <w:spacing w:after="0"/>
            </w:pPr>
            <w:r/>
            <w:r>
              <w:rPr>
                <w:rFonts w:ascii="Arial" w:hAnsi="Arial"/>
                <w:b w:val="0"/>
                <w:sz w:val="14"/>
              </w:rPr>
              <w:t>BR-ING-005</w:t>
            </w:r>
          </w:p>
        </w:tc>
        <w:tc>
          <w:tcPr>
            <w:tcW w:type="dxa" w:w="2952"/>
            <w:vAlign w:val="center"/>
            <w:tcMar>
              <w:top w:w="70" w:type="dxa"/>
              <w:start w:w="80" w:type="dxa"/>
              <w:bottom w:w="70" w:type="dxa"/>
              <w:end w:w="80" w:type="dxa"/>
            </w:tcMar>
          </w:tcPr>
          <w:p>
            <w:pPr>
              <w:spacing w:after="0"/>
            </w:pPr>
            <w:r/>
            <w:r>
              <w:rPr>
                <w:rFonts w:ascii="Arial" w:hAnsi="Arial"/>
                <w:b w:val="0"/>
                <w:sz w:val="14"/>
              </w:rPr>
              <w:t>Reconcile source and target using counts, control totals, checksums or business balances.</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Automated reconciliation framework and exception workflow.</w:t>
            </w:r>
          </w:p>
        </w:tc>
        <w:tc>
          <w:tcPr>
            <w:tcW w:type="dxa" w:w="2232"/>
            <w:vAlign w:val="center"/>
            <w:tcMar>
              <w:top w:w="70" w:type="dxa"/>
              <w:start w:w="80" w:type="dxa"/>
              <w:bottom w:w="70" w:type="dxa"/>
              <w:end w:w="80" w:type="dxa"/>
            </w:tcMar>
          </w:tcPr>
          <w:p>
            <w:pPr>
              <w:spacing w:after="0"/>
            </w:pPr>
            <w:r/>
            <w:r>
              <w:rPr>
                <w:rFonts w:ascii="Arial" w:hAnsi="Arial"/>
                <w:b w:val="0"/>
                <w:sz w:val="14"/>
              </w:rPr>
              <w:t>Daily reconciliation evidence meets workload-specific tolerance.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BR-ING-006</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Onboard a standard source through configuration and reusable templates.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Should</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Metadata-driven source registration and golden pipeline templates.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A trained domain team onboards a standard source within ten working days.</w:t>
            </w:r>
          </w:p>
        </w:tc>
      </w:tr>
    </w:tbl>
    <w:p>
      <w:pPr>
        <w:spacing w:after="20"/>
      </w:pPr>
    </w:p>
    <w:p>
      <w:pPr>
        <w:pStyle w:val="Heading2"/>
      </w:pPr>
      <w:r>
        <w:t>3.2 Data Management and Data Products</w:t>
      </w:r>
    </w:p>
    <w:p>
      <w:r>
        <w:t>The requirements in this category are mandatory unless the Architecture Review Board records a time-bound exception. The acceptance evidence is designed to be objectively testable rather than based on implementation claims.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Requirement</w:t>
            </w:r>
          </w:p>
        </w:tc>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Priority</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Architecture response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Acceptance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BR-DAT-001</w:t>
            </w:r>
          </w:p>
        </w:tc>
        <w:tc>
          <w:tcPr>
            <w:tcW w:type="dxa" w:w="2952"/>
            <w:vAlign w:val="center"/>
            <w:tcMar>
              <w:top w:w="70" w:type="dxa"/>
              <w:start w:w="80" w:type="dxa"/>
              <w:bottom w:w="70" w:type="dxa"/>
              <w:end w:w="80" w:type="dxa"/>
            </w:tcMar>
          </w:tcPr>
          <w:p>
            <w:pPr>
              <w:spacing w:after="0"/>
            </w:pPr>
            <w:r/>
            <w:r>
              <w:rPr>
                <w:rFonts w:ascii="Arial" w:hAnsi="Arial"/>
                <w:b w:val="0"/>
                <w:sz w:val="14"/>
              </w:rPr>
              <w:t>Retain an immutable source-aligned copy where legal and technical constraints allow.</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Cloud Storage raw zone with retention, versioning and controlled mutation permissions.</w:t>
            </w:r>
          </w:p>
        </w:tc>
        <w:tc>
          <w:tcPr>
            <w:tcW w:type="dxa" w:w="2232"/>
            <w:vAlign w:val="center"/>
            <w:tcMar>
              <w:top w:w="70" w:type="dxa"/>
              <w:start w:w="80" w:type="dxa"/>
              <w:bottom w:w="70" w:type="dxa"/>
              <w:end w:w="80" w:type="dxa"/>
            </w:tcMar>
          </w:tcPr>
          <w:p>
            <w:pPr>
              <w:spacing w:after="0"/>
            </w:pPr>
            <w:r/>
            <w:r>
              <w:rPr>
                <w:rFonts w:ascii="Arial" w:hAnsi="Arial"/>
                <w:b w:val="0"/>
                <w:sz w:val="14"/>
              </w:rPr>
              <w:t>Immutability controls and restore tests are evidenced.</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BR-DAT-002</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Provide standardized, curated, semantic, sandbox and archive layers with distinct controls.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Layered BigQuery, BigLake and Cloud Storage architecture with entry/exit criteria.</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Every dataset is assigned a layer, owner, classification and lifecycle policy.</w:t>
            </w:r>
          </w:p>
        </w:tc>
      </w:tr>
      <w:tr>
        <w:tc>
          <w:tcPr>
            <w:tcW w:type="dxa" w:w="1224"/>
            <w:vAlign w:val="center"/>
            <w:tcMar>
              <w:top w:w="70" w:type="dxa"/>
              <w:start w:w="80" w:type="dxa"/>
              <w:bottom w:w="70" w:type="dxa"/>
              <w:end w:w="80" w:type="dxa"/>
            </w:tcMar>
          </w:tcPr>
          <w:p>
            <w:pPr>
              <w:spacing w:after="0"/>
            </w:pPr>
            <w:r/>
            <w:r>
              <w:rPr>
                <w:rFonts w:ascii="Arial" w:hAnsi="Arial"/>
                <w:b w:val="0"/>
                <w:sz w:val="14"/>
              </w:rPr>
              <w:t>BR-DAT-003</w:t>
            </w:r>
          </w:p>
        </w:tc>
        <w:tc>
          <w:tcPr>
            <w:tcW w:type="dxa" w:w="2952"/>
            <w:vAlign w:val="center"/>
            <w:tcMar>
              <w:top w:w="70" w:type="dxa"/>
              <w:start w:w="80" w:type="dxa"/>
              <w:bottom w:w="70" w:type="dxa"/>
              <w:end w:w="80" w:type="dxa"/>
            </w:tcMar>
          </w:tcPr>
          <w:p>
            <w:pPr>
              <w:spacing w:after="0"/>
            </w:pPr>
            <w:r/>
            <w:r>
              <w:rPr>
                <w:rFonts w:ascii="Arial" w:hAnsi="Arial"/>
                <w:b w:val="0"/>
                <w:sz w:val="14"/>
              </w:rPr>
              <w:t>Publish reusable data products with owners, contracts, quality objectives, SLOs and support information.</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Data-product manifest, Knowledge Catalog metadata and certification workflow.</w:t>
            </w:r>
          </w:p>
        </w:tc>
        <w:tc>
          <w:tcPr>
            <w:tcW w:type="dxa" w:w="2232"/>
            <w:vAlign w:val="center"/>
            <w:tcMar>
              <w:top w:w="70" w:type="dxa"/>
              <w:start w:w="80" w:type="dxa"/>
              <w:bottom w:w="70" w:type="dxa"/>
              <w:end w:w="80" w:type="dxa"/>
            </w:tcMar>
          </w:tcPr>
          <w:p>
            <w:pPr>
              <w:spacing w:after="0"/>
            </w:pPr>
            <w:r/>
            <w:r>
              <w:rPr>
                <w:rFonts w:ascii="Arial" w:hAnsi="Arial"/>
                <w:b w:val="0"/>
                <w:sz w:val="14"/>
              </w:rPr>
              <w:t>First production domain publishes at least three certified products.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BR-DAT-004</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Support open formats for workloads requiring cross-engine access or long-term portability.</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Should</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Parquet or Iceberg on Cloud Storage/BigLake where justified; native BigQuery tables for SQL-serving workloads.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decision documents format choice and performance/security validation.</w:t>
            </w:r>
          </w:p>
        </w:tc>
      </w:tr>
      <w:tr>
        <w:tc>
          <w:tcPr>
            <w:tcW w:type="dxa" w:w="1224"/>
            <w:vAlign w:val="center"/>
            <w:tcMar>
              <w:top w:w="70" w:type="dxa"/>
              <w:start w:w="80" w:type="dxa"/>
              <w:bottom w:w="70" w:type="dxa"/>
              <w:end w:w="80" w:type="dxa"/>
            </w:tcMar>
          </w:tcPr>
          <w:p>
            <w:pPr>
              <w:spacing w:after="0"/>
            </w:pPr>
            <w:r/>
            <w:r>
              <w:rPr>
                <w:rFonts w:ascii="Arial" w:hAnsi="Arial"/>
                <w:b w:val="0"/>
                <w:sz w:val="14"/>
              </w:rPr>
              <w:t>BR-DAT-005</w:t>
            </w:r>
          </w:p>
        </w:tc>
        <w:tc>
          <w:tcPr>
            <w:tcW w:type="dxa" w:w="2952"/>
            <w:vAlign w:val="center"/>
            <w:tcMar>
              <w:top w:w="70" w:type="dxa"/>
              <w:start w:w="80" w:type="dxa"/>
              <w:bottom w:w="70" w:type="dxa"/>
              <w:end w:w="80" w:type="dxa"/>
            </w:tcMar>
          </w:tcPr>
          <w:p>
            <w:pPr>
              <w:spacing w:after="0"/>
            </w:pPr>
            <w:r/>
            <w:r>
              <w:rPr>
                <w:rFonts w:ascii="Arial" w:hAnsi="Arial"/>
                <w:b w:val="0"/>
                <w:sz w:val="14"/>
              </w:rPr>
              <w:t>Support schema evolution without silently breaking consumers.</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Compatibility rules, contract versions, deprecation windows and consumer-impact analysis.</w:t>
            </w:r>
          </w:p>
        </w:tc>
        <w:tc>
          <w:tcPr>
            <w:tcW w:type="dxa" w:w="2232"/>
            <w:vAlign w:val="center"/>
            <w:tcMar>
              <w:top w:w="70" w:type="dxa"/>
              <w:start w:w="80" w:type="dxa"/>
              <w:bottom w:w="70" w:type="dxa"/>
              <w:end w:w="80" w:type="dxa"/>
            </w:tcMar>
          </w:tcPr>
          <w:p>
            <w:pPr>
              <w:spacing w:after="0"/>
            </w:pPr>
            <w:r/>
            <w:r>
              <w:rPr>
                <w:rFonts w:ascii="Arial" w:hAnsi="Arial"/>
                <w:b w:val="0"/>
                <w:sz w:val="14"/>
              </w:rPr>
              <w:t>Breaking schema change is blocked unless a new version and migration plan exist.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BR-DAT-006</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Implement retention, archival, legal hold and privacy deletion policies.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Policy metadata, automated lifecycle actions and evidence-producing deletion workflows.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Policy tests and sampled deletion/hold evidence pass compliance review.</w:t>
            </w:r>
          </w:p>
        </w:tc>
      </w:tr>
    </w:tbl>
    <w:p>
      <w:pPr>
        <w:spacing w:after="20"/>
      </w:pPr>
    </w:p>
    <w:p>
      <w:r>
        <w:br w:type="page"/>
      </w:r>
    </w:p>
    <w:p>
      <w:pPr>
        <w:pStyle w:val="Heading2"/>
      </w:pPr>
      <w:r>
        <w:t>3.3 Governance, Metadata and Trust</w:t>
      </w:r>
    </w:p>
    <w:p>
      <w:r>
        <w:t>The requirements in this category are mandatory unless the Architecture Review Board records a time-bound exception. The acceptance evidence is designed to be objectively testable rather than based on implementation claims.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Requirement</w:t>
            </w:r>
          </w:p>
        </w:tc>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Priority</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Architecture response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Acceptance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BR-GOV-001</w:t>
            </w:r>
          </w:p>
        </w:tc>
        <w:tc>
          <w:tcPr>
            <w:tcW w:type="dxa" w:w="2952"/>
            <w:vAlign w:val="center"/>
            <w:tcMar>
              <w:top w:w="70" w:type="dxa"/>
              <w:start w:w="80" w:type="dxa"/>
              <w:bottom w:w="70" w:type="dxa"/>
              <w:end w:w="80" w:type="dxa"/>
            </w:tcMar>
          </w:tcPr>
          <w:p>
            <w:pPr>
              <w:spacing w:after="0"/>
            </w:pPr>
            <w:r/>
            <w:r>
              <w:rPr>
                <w:rFonts w:ascii="Arial" w:hAnsi="Arial"/>
                <w:b w:val="0"/>
                <w:sz w:val="14"/>
              </w:rPr>
              <w:t>Provide enterprise search and discovery across supported data and AI assets.</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Knowledge Catalog inventory, business glossary, ownership and searchable metadata.</w:t>
            </w:r>
          </w:p>
        </w:tc>
        <w:tc>
          <w:tcPr>
            <w:tcW w:type="dxa" w:w="2232"/>
            <w:vAlign w:val="center"/>
            <w:tcMar>
              <w:top w:w="70" w:type="dxa"/>
              <w:start w:w="80" w:type="dxa"/>
              <w:bottom w:w="70" w:type="dxa"/>
              <w:end w:w="80" w:type="dxa"/>
            </w:tcMar>
          </w:tcPr>
          <w:p>
            <w:pPr>
              <w:spacing w:after="0"/>
            </w:pPr>
            <w:r/>
            <w:r>
              <w:rPr>
                <w:rFonts w:ascii="Arial" w:hAnsi="Arial"/>
                <w:b w:val="0"/>
                <w:sz w:val="14"/>
              </w:rPr>
              <w:t>Users locate certified products using business terminology.</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BR-GOV-002</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Capture technical and business lineage for material reporting and AI use cases.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Automated lineage where supported plus registered custom lineage for external transformations.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Critical reports trace to authoritative sources and transformation code.</w:t>
            </w:r>
          </w:p>
        </w:tc>
      </w:tr>
      <w:tr>
        <w:tc>
          <w:tcPr>
            <w:tcW w:type="dxa" w:w="1224"/>
            <w:vAlign w:val="center"/>
            <w:tcMar>
              <w:top w:w="70" w:type="dxa"/>
              <w:start w:w="80" w:type="dxa"/>
              <w:bottom w:w="70" w:type="dxa"/>
              <w:end w:w="80" w:type="dxa"/>
            </w:tcMar>
          </w:tcPr>
          <w:p>
            <w:pPr>
              <w:spacing w:after="0"/>
            </w:pPr>
            <w:r/>
            <w:r>
              <w:rPr>
                <w:rFonts w:ascii="Arial" w:hAnsi="Arial"/>
                <w:b w:val="0"/>
                <w:sz w:val="14"/>
              </w:rPr>
              <w:t>BR-GOV-003</w:t>
            </w:r>
          </w:p>
        </w:tc>
        <w:tc>
          <w:tcPr>
            <w:tcW w:type="dxa" w:w="2952"/>
            <w:vAlign w:val="center"/>
            <w:tcMar>
              <w:top w:w="70" w:type="dxa"/>
              <w:start w:w="80" w:type="dxa"/>
              <w:bottom w:w="70" w:type="dxa"/>
              <w:end w:w="80" w:type="dxa"/>
            </w:tcMar>
          </w:tcPr>
          <w:p>
            <w:pPr>
              <w:spacing w:after="0"/>
            </w:pPr>
            <w:r/>
            <w:r>
              <w:rPr>
                <w:rFonts w:ascii="Arial" w:hAnsi="Arial"/>
                <w:b w:val="0"/>
                <w:sz w:val="14"/>
              </w:rPr>
              <w:t>Classify sensitive data and bind controls to classification.</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Sensitive Data Protection, policy tags, metadata aspects and access policies.</w:t>
            </w:r>
          </w:p>
        </w:tc>
        <w:tc>
          <w:tcPr>
            <w:tcW w:type="dxa" w:w="2232"/>
            <w:vAlign w:val="center"/>
            <w:tcMar>
              <w:top w:w="70" w:type="dxa"/>
              <w:start w:w="80" w:type="dxa"/>
              <w:bottom w:w="70" w:type="dxa"/>
              <w:end w:w="80" w:type="dxa"/>
            </w:tcMar>
          </w:tcPr>
          <w:p>
            <w:pPr>
              <w:spacing w:after="0"/>
            </w:pPr>
            <w:r/>
            <w:r>
              <w:rPr>
                <w:rFonts w:ascii="Arial" w:hAnsi="Arial"/>
                <w:b w:val="0"/>
                <w:sz w:val="14"/>
              </w:rPr>
              <w:t>Restricted test data receives the expected tag and access behavior.</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BR-GOV-004</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Measure data quality across completeness, validity, consistency, uniqueness, timeliness and accuracy.</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Reusable quality rules, scorecards, certification gates and steward workflow.</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Critical products meet approved thresholds for three consecutive cycles.</w:t>
            </w:r>
          </w:p>
        </w:tc>
      </w:tr>
      <w:tr>
        <w:tc>
          <w:tcPr>
            <w:tcW w:type="dxa" w:w="1224"/>
            <w:vAlign w:val="center"/>
            <w:tcMar>
              <w:top w:w="70" w:type="dxa"/>
              <w:start w:w="80" w:type="dxa"/>
              <w:bottom w:w="70" w:type="dxa"/>
              <w:end w:w="80" w:type="dxa"/>
            </w:tcMar>
          </w:tcPr>
          <w:p>
            <w:pPr>
              <w:spacing w:after="0"/>
            </w:pPr>
            <w:r/>
            <w:r>
              <w:rPr>
                <w:rFonts w:ascii="Arial" w:hAnsi="Arial"/>
                <w:b w:val="0"/>
                <w:sz w:val="14"/>
              </w:rPr>
              <w:t>BR-GOV-005</w:t>
            </w:r>
          </w:p>
        </w:tc>
        <w:tc>
          <w:tcPr>
            <w:tcW w:type="dxa" w:w="2952"/>
            <w:vAlign w:val="center"/>
            <w:tcMar>
              <w:top w:w="70" w:type="dxa"/>
              <w:start w:w="80" w:type="dxa"/>
              <w:bottom w:w="70" w:type="dxa"/>
              <w:end w:w="80" w:type="dxa"/>
            </w:tcMar>
          </w:tcPr>
          <w:p>
            <w:pPr>
              <w:spacing w:after="0"/>
            </w:pPr>
            <w:r/>
            <w:r>
              <w:rPr>
                <w:rFonts w:ascii="Arial" w:hAnsi="Arial"/>
                <w:b w:val="0"/>
                <w:sz w:val="14"/>
              </w:rPr>
              <w:t>Provide governed internal and external data sharing.</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BigQuery sharing, authorized views/datasets and API products with subscriber controls.</w:t>
            </w:r>
          </w:p>
        </w:tc>
        <w:tc>
          <w:tcPr>
            <w:tcW w:type="dxa" w:w="2232"/>
            <w:vAlign w:val="center"/>
            <w:tcMar>
              <w:top w:w="70" w:type="dxa"/>
              <w:start w:w="80" w:type="dxa"/>
              <w:bottom w:w="70" w:type="dxa"/>
              <w:end w:w="80" w:type="dxa"/>
            </w:tcMar>
          </w:tcPr>
          <w:p>
            <w:pPr>
              <w:spacing w:after="0"/>
            </w:pPr>
            <w:r/>
            <w:r>
              <w:rPr>
                <w:rFonts w:ascii="Arial" w:hAnsi="Arial"/>
                <w:b w:val="0"/>
                <w:sz w:val="14"/>
              </w:rPr>
              <w:t>Consumer access is revocable, auditable and limited to contracted interfaces.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BR-GOV-006</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Maintain a federated governance operating model.</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Central policies and standards with domain execution, RACI and automated conformance reporting.</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Governance council and domain stewards approve operating procedures.</w:t>
            </w:r>
          </w:p>
        </w:tc>
      </w:tr>
    </w:tbl>
    <w:p>
      <w:pPr>
        <w:spacing w:after="20"/>
      </w:pPr>
    </w:p>
    <w:p>
      <w:pPr>
        <w:pStyle w:val="Heading2"/>
      </w:pPr>
      <w:r>
        <w:t>3.4 Analytics and Decision Support</w:t>
      </w:r>
    </w:p>
    <w:p>
      <w:r>
        <w:t>The requirements in this category are mandatory unless the Architecture Review Board records a time-bound exception. The acceptance evidence is designed to be objectively testable rather than based on implementation claims.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Requirement</w:t>
            </w:r>
          </w:p>
        </w:tc>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Priority</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Architecture response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Acceptance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BR-ANA-001</w:t>
            </w:r>
          </w:p>
        </w:tc>
        <w:tc>
          <w:tcPr>
            <w:tcW w:type="dxa" w:w="2952"/>
            <w:vAlign w:val="center"/>
            <w:tcMar>
              <w:top w:w="70" w:type="dxa"/>
              <w:start w:w="80" w:type="dxa"/>
              <w:bottom w:w="70" w:type="dxa"/>
              <w:end w:w="80" w:type="dxa"/>
            </w:tcMar>
          </w:tcPr>
          <w:p>
            <w:pPr>
              <w:spacing w:after="0"/>
            </w:pPr>
            <w:r/>
            <w:r>
              <w:rPr>
                <w:rFonts w:ascii="Arial" w:hAnsi="Arial"/>
                <w:b w:val="0"/>
                <w:sz w:val="14"/>
              </w:rPr>
              <w:t>Provide governed enterprise metrics and semantic definitions.</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Looker semantic models, certified BigQuery views and KPI ownership.</w:t>
            </w:r>
          </w:p>
        </w:tc>
        <w:tc>
          <w:tcPr>
            <w:tcW w:type="dxa" w:w="2232"/>
            <w:vAlign w:val="center"/>
            <w:tcMar>
              <w:top w:w="70" w:type="dxa"/>
              <w:start w:w="80" w:type="dxa"/>
              <w:bottom w:w="70" w:type="dxa"/>
              <w:end w:w="80" w:type="dxa"/>
            </w:tcMar>
          </w:tcPr>
          <w:p>
            <w:pPr>
              <w:spacing w:after="0"/>
            </w:pPr>
            <w:r/>
            <w:r>
              <w:rPr>
                <w:rFonts w:ascii="Arial" w:hAnsi="Arial"/>
                <w:b w:val="0"/>
                <w:sz w:val="14"/>
              </w:rPr>
              <w:t>Executive KPIs have one approved definition and named owner.</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BR-ANA-002</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Enable self-service SQL analysis without unrestricted access to raw sensitive data.</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Curated datasets, IAM groups, policy tags, masking and sandbox guardrails.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Persona tests confirm only approved fields and rows are visible.</w:t>
            </w:r>
          </w:p>
        </w:tc>
      </w:tr>
      <w:tr>
        <w:tc>
          <w:tcPr>
            <w:tcW w:type="dxa" w:w="1224"/>
            <w:vAlign w:val="center"/>
            <w:tcMar>
              <w:top w:w="70" w:type="dxa"/>
              <w:start w:w="80" w:type="dxa"/>
              <w:bottom w:w="70" w:type="dxa"/>
              <w:end w:w="80" w:type="dxa"/>
            </w:tcMar>
          </w:tcPr>
          <w:p>
            <w:pPr>
              <w:spacing w:after="0"/>
            </w:pPr>
            <w:r/>
            <w:r>
              <w:rPr>
                <w:rFonts w:ascii="Arial" w:hAnsi="Arial"/>
                <w:b w:val="0"/>
                <w:sz w:val="14"/>
              </w:rPr>
              <w:t>BR-ANA-003</w:t>
            </w:r>
          </w:p>
        </w:tc>
        <w:tc>
          <w:tcPr>
            <w:tcW w:type="dxa" w:w="2952"/>
            <w:vAlign w:val="center"/>
            <w:tcMar>
              <w:top w:w="70" w:type="dxa"/>
              <w:start w:w="80" w:type="dxa"/>
              <w:bottom w:w="70" w:type="dxa"/>
              <w:end w:w="80" w:type="dxa"/>
            </w:tcMar>
          </w:tcPr>
          <w:p>
            <w:pPr>
              <w:spacing w:after="0"/>
            </w:pPr>
            <w:r/>
            <w:r>
              <w:rPr>
                <w:rFonts w:ascii="Arial" w:hAnsi="Arial"/>
                <w:b w:val="0"/>
                <w:sz w:val="14"/>
              </w:rPr>
              <w:t>Support dashboards, ad hoc exploration, spreadsheets and embedded analytics.</w:t>
            </w:r>
          </w:p>
        </w:tc>
        <w:tc>
          <w:tcPr>
            <w:tcW w:type="dxa" w:w="864"/>
            <w:vAlign w:val="center"/>
            <w:tcMar>
              <w:top w:w="70" w:type="dxa"/>
              <w:start w:w="80" w:type="dxa"/>
              <w:bottom w:w="70" w:type="dxa"/>
              <w:end w:w="80" w:type="dxa"/>
            </w:tcMar>
          </w:tcPr>
          <w:p>
            <w:pPr>
              <w:spacing w:after="0"/>
            </w:pPr>
            <w:r/>
            <w:r>
              <w:rPr>
                <w:rFonts w:ascii="Arial" w:hAnsi="Arial"/>
                <w:b w:val="0"/>
                <w:sz w:val="14"/>
              </w:rPr>
              <w:t>Should</w:t>
            </w:r>
          </w:p>
        </w:tc>
        <w:tc>
          <w:tcPr>
            <w:tcW w:type="dxa" w:w="2664"/>
            <w:vAlign w:val="center"/>
            <w:tcMar>
              <w:top w:w="70" w:type="dxa"/>
              <w:start w:w="80" w:type="dxa"/>
              <w:bottom w:w="70" w:type="dxa"/>
              <w:end w:w="80" w:type="dxa"/>
            </w:tcMar>
          </w:tcPr>
          <w:p>
            <w:pPr>
              <w:spacing w:after="0"/>
            </w:pPr>
            <w:r/>
            <w:r>
              <w:rPr>
                <w:rFonts w:ascii="Arial" w:hAnsi="Arial"/>
                <w:b w:val="0"/>
                <w:sz w:val="14"/>
              </w:rPr>
              <w:t>Looker, Looker Studio, Connected Sheets and protected APIs.</w:t>
            </w:r>
          </w:p>
        </w:tc>
        <w:tc>
          <w:tcPr>
            <w:tcW w:type="dxa" w:w="2232"/>
            <w:vAlign w:val="center"/>
            <w:tcMar>
              <w:top w:w="70" w:type="dxa"/>
              <w:start w:w="80" w:type="dxa"/>
              <w:bottom w:w="70" w:type="dxa"/>
              <w:end w:w="80" w:type="dxa"/>
            </w:tcMar>
          </w:tcPr>
          <w:p>
            <w:pPr>
              <w:spacing w:after="0"/>
            </w:pPr>
            <w:r/>
            <w:r>
              <w:rPr>
                <w:rFonts w:ascii="Arial" w:hAnsi="Arial"/>
                <w:b w:val="0"/>
                <w:sz w:val="14"/>
              </w:rPr>
              <w:t>Representative personas complete approved journeys within performance targets.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BR-ANA-004</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Separate high-priority BI workloads from engineering and exploratory workloads.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Reservations, assignments, quotas and workload-specific projects.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Concurrency test demonstrates priority workload protection.</w:t>
            </w:r>
          </w:p>
        </w:tc>
      </w:tr>
      <w:tr>
        <w:tc>
          <w:tcPr>
            <w:tcW w:type="dxa" w:w="1224"/>
            <w:vAlign w:val="center"/>
            <w:tcMar>
              <w:top w:w="70" w:type="dxa"/>
              <w:start w:w="80" w:type="dxa"/>
              <w:bottom w:w="70" w:type="dxa"/>
              <w:end w:w="80" w:type="dxa"/>
            </w:tcMar>
          </w:tcPr>
          <w:p>
            <w:pPr>
              <w:spacing w:after="0"/>
            </w:pPr>
            <w:r/>
            <w:r>
              <w:rPr>
                <w:rFonts w:ascii="Arial" w:hAnsi="Arial"/>
                <w:b w:val="0"/>
                <w:sz w:val="14"/>
              </w:rPr>
              <w:t>BR-ANA-005</w:t>
            </w:r>
          </w:p>
        </w:tc>
        <w:tc>
          <w:tcPr>
            <w:tcW w:type="dxa" w:w="2952"/>
            <w:vAlign w:val="center"/>
            <w:tcMar>
              <w:top w:w="70" w:type="dxa"/>
              <w:start w:w="80" w:type="dxa"/>
              <w:bottom w:w="70" w:type="dxa"/>
              <w:end w:w="80" w:type="dxa"/>
            </w:tcMar>
          </w:tcPr>
          <w:p>
            <w:pPr>
              <w:spacing w:after="0"/>
            </w:pPr>
            <w:r/>
            <w:r>
              <w:rPr>
                <w:rFonts w:ascii="Arial" w:hAnsi="Arial"/>
                <w:b w:val="0"/>
                <w:sz w:val="14"/>
              </w:rPr>
              <w:t>Provide usage, adoption and cost telemetry for analytical assets.</w:t>
            </w:r>
          </w:p>
        </w:tc>
        <w:tc>
          <w:tcPr>
            <w:tcW w:type="dxa" w:w="864"/>
            <w:vAlign w:val="center"/>
            <w:tcMar>
              <w:top w:w="70" w:type="dxa"/>
              <w:start w:w="80" w:type="dxa"/>
              <w:bottom w:w="70" w:type="dxa"/>
              <w:end w:w="80" w:type="dxa"/>
            </w:tcMar>
          </w:tcPr>
          <w:p>
            <w:pPr>
              <w:spacing w:after="0"/>
            </w:pPr>
            <w:r/>
            <w:r>
              <w:rPr>
                <w:rFonts w:ascii="Arial" w:hAnsi="Arial"/>
                <w:b w:val="0"/>
                <w:sz w:val="14"/>
              </w:rPr>
              <w:t>Should</w:t>
            </w:r>
          </w:p>
        </w:tc>
        <w:tc>
          <w:tcPr>
            <w:tcW w:type="dxa" w:w="2664"/>
            <w:vAlign w:val="center"/>
            <w:tcMar>
              <w:top w:w="70" w:type="dxa"/>
              <w:start w:w="80" w:type="dxa"/>
              <w:bottom w:w="70" w:type="dxa"/>
              <w:end w:w="80" w:type="dxa"/>
            </w:tcMar>
          </w:tcPr>
          <w:p>
            <w:pPr>
              <w:spacing w:after="0"/>
            </w:pPr>
            <w:r/>
            <w:r>
              <w:rPr>
                <w:rFonts w:ascii="Arial" w:hAnsi="Arial"/>
                <w:b w:val="0"/>
                <w:sz w:val="14"/>
              </w:rPr>
              <w:t>Audit logs, INFORMATION_SCHEMA, Looker usage and product dashboards.</w:t>
            </w:r>
          </w:p>
        </w:tc>
        <w:tc>
          <w:tcPr>
            <w:tcW w:type="dxa" w:w="2232"/>
            <w:vAlign w:val="center"/>
            <w:tcMar>
              <w:top w:w="70" w:type="dxa"/>
              <w:start w:w="80" w:type="dxa"/>
              <w:bottom w:w="70" w:type="dxa"/>
              <w:end w:w="80" w:type="dxa"/>
            </w:tcMar>
          </w:tcPr>
          <w:p>
            <w:pPr>
              <w:spacing w:after="0"/>
            </w:pPr>
            <w:r/>
            <w:r>
              <w:rPr>
                <w:rFonts w:ascii="Arial" w:hAnsi="Arial"/>
                <w:b w:val="0"/>
                <w:sz w:val="14"/>
              </w:rPr>
              <w:t>Monthly product review shows consumers, queries, freshness and cost.</w:t>
            </w:r>
          </w:p>
        </w:tc>
      </w:tr>
    </w:tbl>
    <w:p>
      <w:pPr>
        <w:spacing w:after="20"/>
      </w:pPr>
    </w:p>
    <w:p>
      <w:r>
        <w:br w:type="page"/>
      </w:r>
    </w:p>
    <w:p>
      <w:pPr>
        <w:pStyle w:val="Heading2"/>
      </w:pPr>
      <w:r>
        <w:t>3.5 AI and Data Science</w:t>
      </w:r>
    </w:p>
    <w:p>
      <w:r>
        <w:t>The requirements in this category are mandatory unless the Architecture Review Board records a time-bound exception. The acceptance evidence is designed to be objectively testable rather than based on implementation claims.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Requirement</w:t>
            </w:r>
          </w:p>
        </w:tc>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Priority</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Architecture response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Acceptance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BR-AI-001</w:t>
            </w:r>
          </w:p>
        </w:tc>
        <w:tc>
          <w:tcPr>
            <w:tcW w:type="dxa" w:w="2952"/>
            <w:vAlign w:val="center"/>
            <w:tcMar>
              <w:top w:w="70" w:type="dxa"/>
              <w:start w:w="80" w:type="dxa"/>
              <w:bottom w:w="70" w:type="dxa"/>
              <w:end w:w="80" w:type="dxa"/>
            </w:tcMar>
          </w:tcPr>
          <w:p>
            <w:pPr>
              <w:spacing w:after="0"/>
            </w:pPr>
            <w:r/>
            <w:r>
              <w:rPr>
                <w:rFonts w:ascii="Arial" w:hAnsi="Arial"/>
                <w:b w:val="0"/>
                <w:sz w:val="14"/>
              </w:rPr>
              <w:t>Provide approved, governed datasets for model training, inference and RAG.</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Vertex AI access to certified products, restricted service identities and lineage.</w:t>
            </w:r>
          </w:p>
        </w:tc>
        <w:tc>
          <w:tcPr>
            <w:tcW w:type="dxa" w:w="2232"/>
            <w:vAlign w:val="center"/>
            <w:tcMar>
              <w:top w:w="70" w:type="dxa"/>
              <w:start w:w="80" w:type="dxa"/>
              <w:bottom w:w="70" w:type="dxa"/>
              <w:end w:w="80" w:type="dxa"/>
            </w:tcMar>
          </w:tcPr>
          <w:p>
            <w:pPr>
              <w:spacing w:after="0"/>
            </w:pPr>
            <w:r/>
            <w:r>
              <w:rPr>
                <w:rFonts w:ascii="Arial" w:hAnsi="Arial"/>
                <w:b w:val="0"/>
                <w:sz w:val="14"/>
              </w:rPr>
              <w:t>AI workload cannot bypass approved product interfaces.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BR-AI-002</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Support managed experimentation, pipelines, model registry and deployment.</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Vertex AI Workbench, Pipelines, Model Registry and controlled endpoints.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A model progresses through development, approval and production with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BR-AI-003</w:t>
            </w:r>
          </w:p>
        </w:tc>
        <w:tc>
          <w:tcPr>
            <w:tcW w:type="dxa" w:w="2952"/>
            <w:vAlign w:val="center"/>
            <w:tcMar>
              <w:top w:w="70" w:type="dxa"/>
              <w:start w:w="80" w:type="dxa"/>
              <w:bottom w:w="70" w:type="dxa"/>
              <w:end w:w="80" w:type="dxa"/>
            </w:tcMar>
          </w:tcPr>
          <w:p>
            <w:pPr>
              <w:spacing w:after="0"/>
            </w:pPr>
            <w:r/>
            <w:r>
              <w:rPr>
                <w:rFonts w:ascii="Arial" w:hAnsi="Arial"/>
                <w:b w:val="0"/>
                <w:sz w:val="14"/>
              </w:rPr>
              <w:t>Support enterprise document ingestion, embeddings, vector retrieval and grounded generation.</w:t>
            </w:r>
          </w:p>
        </w:tc>
        <w:tc>
          <w:tcPr>
            <w:tcW w:type="dxa" w:w="864"/>
            <w:vAlign w:val="center"/>
            <w:tcMar>
              <w:top w:w="70" w:type="dxa"/>
              <w:start w:w="80" w:type="dxa"/>
              <w:bottom w:w="70" w:type="dxa"/>
              <w:end w:w="80" w:type="dxa"/>
            </w:tcMar>
          </w:tcPr>
          <w:p>
            <w:pPr>
              <w:spacing w:after="0"/>
            </w:pPr>
            <w:r/>
            <w:r>
              <w:rPr>
                <w:rFonts w:ascii="Arial" w:hAnsi="Arial"/>
                <w:b w:val="0"/>
                <w:sz w:val="14"/>
              </w:rPr>
              <w:t>Should</w:t>
            </w:r>
          </w:p>
        </w:tc>
        <w:tc>
          <w:tcPr>
            <w:tcW w:type="dxa" w:w="2664"/>
            <w:vAlign w:val="center"/>
            <w:tcMar>
              <w:top w:w="70" w:type="dxa"/>
              <w:start w:w="80" w:type="dxa"/>
              <w:bottom w:w="70" w:type="dxa"/>
              <w:end w:w="80" w:type="dxa"/>
            </w:tcMar>
          </w:tcPr>
          <w:p>
            <w:pPr>
              <w:spacing w:after="0"/>
            </w:pPr>
            <w:r/>
            <w:r>
              <w:rPr>
                <w:rFonts w:ascii="Arial" w:hAnsi="Arial"/>
                <w:b w:val="0"/>
                <w:sz w:val="14"/>
              </w:rPr>
              <w:t>Document AI where appropriate, embedding pipelines, Vector Search and RAG services.</w:t>
            </w:r>
          </w:p>
        </w:tc>
        <w:tc>
          <w:tcPr>
            <w:tcW w:type="dxa" w:w="2232"/>
            <w:vAlign w:val="center"/>
            <w:tcMar>
              <w:top w:w="70" w:type="dxa"/>
              <w:start w:w="80" w:type="dxa"/>
              <w:bottom w:w="70" w:type="dxa"/>
              <w:end w:w="80" w:type="dxa"/>
            </w:tcMar>
          </w:tcPr>
          <w:p>
            <w:pPr>
              <w:spacing w:after="0"/>
            </w:pPr>
            <w:r/>
            <w:r>
              <w:rPr>
                <w:rFonts w:ascii="Arial" w:hAnsi="Arial"/>
                <w:b w:val="0"/>
                <w:sz w:val="14"/>
              </w:rPr>
              <w:t>Pilot provides traceable citations and passes retrieval/evaluation thresholds.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BR-AI-004</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Apply responsible-AI, safety, privacy and human-oversight controls.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Use-case risk tiering, evaluations, model cards, content controls and approval gates.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High-risk use case is blocked without required approvals and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BR-AI-005</w:t>
            </w:r>
          </w:p>
        </w:tc>
        <w:tc>
          <w:tcPr>
            <w:tcW w:type="dxa" w:w="2952"/>
            <w:vAlign w:val="center"/>
            <w:tcMar>
              <w:top w:w="70" w:type="dxa"/>
              <w:start w:w="80" w:type="dxa"/>
              <w:bottom w:w="70" w:type="dxa"/>
              <w:end w:w="80" w:type="dxa"/>
            </w:tcMar>
          </w:tcPr>
          <w:p>
            <w:pPr>
              <w:spacing w:after="0"/>
            </w:pPr>
            <w:r/>
            <w:r>
              <w:rPr>
                <w:rFonts w:ascii="Arial" w:hAnsi="Arial"/>
                <w:b w:val="0"/>
                <w:sz w:val="14"/>
              </w:rPr>
              <w:t>Measure model, retrieval, prompt, latency, safety and token-cost performance.</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MLOps/LLMOps telemetry, evaluation datasets and FinOps dashboards.</w:t>
            </w:r>
          </w:p>
        </w:tc>
        <w:tc>
          <w:tcPr>
            <w:tcW w:type="dxa" w:w="2232"/>
            <w:vAlign w:val="center"/>
            <w:tcMar>
              <w:top w:w="70" w:type="dxa"/>
              <w:start w:w="80" w:type="dxa"/>
              <w:bottom w:w="70" w:type="dxa"/>
              <w:end w:w="80" w:type="dxa"/>
            </w:tcMar>
          </w:tcPr>
          <w:p>
            <w:pPr>
              <w:spacing w:after="0"/>
            </w:pPr>
            <w:r/>
            <w:r>
              <w:rPr>
                <w:rFonts w:ascii="Arial" w:hAnsi="Arial"/>
                <w:b w:val="0"/>
                <w:sz w:val="14"/>
              </w:rPr>
              <w:t>Production AI service meets approved SLO and evaluation baseline.</w:t>
            </w:r>
          </w:p>
        </w:tc>
      </w:tr>
    </w:tbl>
    <w:p>
      <w:pPr>
        <w:spacing w:after="20"/>
      </w:pPr>
    </w:p>
    <w:p>
      <w:pPr>
        <w:pStyle w:val="Heading2"/>
      </w:pPr>
      <w:r>
        <w:t>3.6 Security, Privacy and Compliance</w:t>
      </w:r>
    </w:p>
    <w:p>
      <w:r>
        <w:t>The requirements in this category are mandatory unless the Architecture Review Board records a time-bound exception. The acceptance evidence is designed to be objectively testable rather than based on implementation claims.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Requirement</w:t>
            </w:r>
          </w:p>
        </w:tc>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Priority</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Architecture response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Acceptance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BR-SEC-001</w:t>
            </w:r>
          </w:p>
        </w:tc>
        <w:tc>
          <w:tcPr>
            <w:tcW w:type="dxa" w:w="2952"/>
            <w:vAlign w:val="center"/>
            <w:tcMar>
              <w:top w:w="70" w:type="dxa"/>
              <w:start w:w="80" w:type="dxa"/>
              <w:bottom w:w="70" w:type="dxa"/>
              <w:end w:w="80" w:type="dxa"/>
            </w:tcMar>
          </w:tcPr>
          <w:p>
            <w:pPr>
              <w:spacing w:after="0"/>
            </w:pPr>
            <w:r/>
            <w:r>
              <w:rPr>
                <w:rFonts w:ascii="Arial" w:hAnsi="Arial"/>
                <w:b w:val="0"/>
                <w:sz w:val="14"/>
              </w:rPr>
              <w:t>Use enterprise identities and short-lived workload credentials.</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Cloud Identity federation, groups, Workload Identity Federation and service-account impersonation.</w:t>
            </w:r>
          </w:p>
        </w:tc>
        <w:tc>
          <w:tcPr>
            <w:tcW w:type="dxa" w:w="2232"/>
            <w:vAlign w:val="center"/>
            <w:tcMar>
              <w:top w:w="70" w:type="dxa"/>
              <w:start w:w="80" w:type="dxa"/>
              <w:bottom w:w="70" w:type="dxa"/>
              <w:end w:w="80" w:type="dxa"/>
            </w:tcMar>
          </w:tcPr>
          <w:p>
            <w:pPr>
              <w:spacing w:after="0"/>
            </w:pPr>
            <w:r/>
            <w:r>
              <w:rPr>
                <w:rFonts w:ascii="Arial" w:hAnsi="Arial"/>
                <w:b w:val="0"/>
                <w:sz w:val="14"/>
              </w:rPr>
              <w:t>No production pipeline depends on long-lived user-managed keys.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BR-SEC-002</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Restrict sensitive data access by least privilege and business purpose.</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Project/dataset IAM, row policies, policy tags, masking and access workflows.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Quarterly access review and negative persona tests pass.</w:t>
            </w:r>
          </w:p>
        </w:tc>
      </w:tr>
      <w:tr>
        <w:tc>
          <w:tcPr>
            <w:tcW w:type="dxa" w:w="1224"/>
            <w:vAlign w:val="center"/>
            <w:tcMar>
              <w:top w:w="70" w:type="dxa"/>
              <w:start w:w="80" w:type="dxa"/>
              <w:bottom w:w="70" w:type="dxa"/>
              <w:end w:w="80" w:type="dxa"/>
            </w:tcMar>
          </w:tcPr>
          <w:p>
            <w:pPr>
              <w:spacing w:after="0"/>
            </w:pPr>
            <w:r/>
            <w:r>
              <w:rPr>
                <w:rFonts w:ascii="Arial" w:hAnsi="Arial"/>
                <w:b w:val="0"/>
                <w:sz w:val="14"/>
              </w:rPr>
              <w:t>BR-SEC-003</w:t>
            </w:r>
          </w:p>
        </w:tc>
        <w:tc>
          <w:tcPr>
            <w:tcW w:type="dxa" w:w="2952"/>
            <w:vAlign w:val="center"/>
            <w:tcMar>
              <w:top w:w="70" w:type="dxa"/>
              <w:start w:w="80" w:type="dxa"/>
              <w:bottom w:w="70" w:type="dxa"/>
              <w:end w:w="80" w:type="dxa"/>
            </w:tcMar>
          </w:tcPr>
          <w:p>
            <w:pPr>
              <w:spacing w:after="0"/>
            </w:pPr>
            <w:r/>
            <w:r>
              <w:rPr>
                <w:rFonts w:ascii="Arial" w:hAnsi="Arial"/>
                <w:b w:val="0"/>
                <w:sz w:val="14"/>
              </w:rPr>
              <w:t>Protect restricted data from unintended exfiltration.</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VPC Service Controls, Private Service Connect, controlled egress and audit monitoring.</w:t>
            </w:r>
          </w:p>
        </w:tc>
        <w:tc>
          <w:tcPr>
            <w:tcW w:type="dxa" w:w="2232"/>
            <w:vAlign w:val="center"/>
            <w:tcMar>
              <w:top w:w="70" w:type="dxa"/>
              <w:start w:w="80" w:type="dxa"/>
              <w:bottom w:w="70" w:type="dxa"/>
              <w:end w:w="80" w:type="dxa"/>
            </w:tcMar>
          </w:tcPr>
          <w:p>
            <w:pPr>
              <w:spacing w:after="0"/>
            </w:pPr>
            <w:r/>
            <w:r>
              <w:rPr>
                <w:rFonts w:ascii="Arial" w:hAnsi="Arial"/>
                <w:b w:val="0"/>
                <w:sz w:val="14"/>
              </w:rPr>
              <w:t>Perimeter penetration scenarios are blocked or explicitly approved.</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BR-SEC-004</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Encrypt data in transit and at rest, with CMEK for selected classifications.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TLS, Google default encryption and classification-based Cloud KMS policy.</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Key-use, rotation and service-agent permissions pass review.</w:t>
            </w:r>
          </w:p>
        </w:tc>
      </w:tr>
      <w:tr>
        <w:tc>
          <w:tcPr>
            <w:tcW w:type="dxa" w:w="1224"/>
            <w:vAlign w:val="center"/>
            <w:tcMar>
              <w:top w:w="70" w:type="dxa"/>
              <w:start w:w="80" w:type="dxa"/>
              <w:bottom w:w="70" w:type="dxa"/>
              <w:end w:w="80" w:type="dxa"/>
            </w:tcMar>
          </w:tcPr>
          <w:p>
            <w:pPr>
              <w:spacing w:after="0"/>
            </w:pPr>
            <w:r/>
            <w:r>
              <w:rPr>
                <w:rFonts w:ascii="Arial" w:hAnsi="Arial"/>
                <w:b w:val="0"/>
                <w:sz w:val="14"/>
              </w:rPr>
              <w:t>BR-SEC-005</w:t>
            </w:r>
          </w:p>
        </w:tc>
        <w:tc>
          <w:tcPr>
            <w:tcW w:type="dxa" w:w="2952"/>
            <w:vAlign w:val="center"/>
            <w:tcMar>
              <w:top w:w="70" w:type="dxa"/>
              <w:start w:w="80" w:type="dxa"/>
              <w:bottom w:w="70" w:type="dxa"/>
              <w:end w:w="80" w:type="dxa"/>
            </w:tcMar>
          </w:tcPr>
          <w:p>
            <w:pPr>
              <w:spacing w:after="0"/>
            </w:pPr>
            <w:r/>
            <w:r>
              <w:rPr>
                <w:rFonts w:ascii="Arial" w:hAnsi="Arial"/>
                <w:b w:val="0"/>
                <w:sz w:val="14"/>
              </w:rPr>
              <w:t>Retain immutable audit evidence and integrate material events with the enterprise SIEM.</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Organization-level log sinks, protected log projects and security-event routing.</w:t>
            </w:r>
          </w:p>
        </w:tc>
        <w:tc>
          <w:tcPr>
            <w:tcW w:type="dxa" w:w="2232"/>
            <w:vAlign w:val="center"/>
            <w:tcMar>
              <w:top w:w="70" w:type="dxa"/>
              <w:start w:w="80" w:type="dxa"/>
              <w:bottom w:w="70" w:type="dxa"/>
              <w:end w:w="80" w:type="dxa"/>
            </w:tcMar>
          </w:tcPr>
          <w:p>
            <w:pPr>
              <w:spacing w:after="0"/>
            </w:pPr>
            <w:r/>
            <w:r>
              <w:rPr>
                <w:rFonts w:ascii="Arial" w:hAnsi="Arial"/>
                <w:b w:val="0"/>
                <w:sz w:val="14"/>
              </w:rPr>
              <w:t>Audit-event sampling proves completeness and retention.</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BR-SEC-006</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Map platform controls to applicable regulatory frameworks.</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Reusable control catalog and workload-specific compliance overlay.</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Control owners produce evidence for sampled NIST, HIPAA, GDPR, PCI and SOC 2 controls.</w:t>
            </w:r>
          </w:p>
        </w:tc>
      </w:tr>
    </w:tbl>
    <w:p>
      <w:pPr>
        <w:spacing w:after="20"/>
      </w:pPr>
    </w:p>
    <w:p>
      <w:r>
        <w:br w:type="page"/>
      </w:r>
    </w:p>
    <w:p>
      <w:pPr>
        <w:pStyle w:val="Heading2"/>
      </w:pPr>
      <w:r>
        <w:t>3.7 Platform Operations and Economics</w:t>
      </w:r>
    </w:p>
    <w:p>
      <w:r>
        <w:t>The requirements in this category are mandatory unless the Architecture Review Board records a time-bound exception. The acceptance evidence is designed to be objectively testable rather than based on implementation claims.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Requirement</w:t>
            </w:r>
          </w:p>
        </w:tc>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Priority</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Architecture response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Acceptance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BR-OPS-001</w:t>
            </w:r>
          </w:p>
        </w:tc>
        <w:tc>
          <w:tcPr>
            <w:tcW w:type="dxa" w:w="2952"/>
            <w:vAlign w:val="center"/>
            <w:tcMar>
              <w:top w:w="70" w:type="dxa"/>
              <w:start w:w="80" w:type="dxa"/>
              <w:bottom w:w="70" w:type="dxa"/>
              <w:end w:w="80" w:type="dxa"/>
            </w:tcMar>
          </w:tcPr>
          <w:p>
            <w:pPr>
              <w:spacing w:after="0"/>
            </w:pPr>
            <w:r/>
            <w:r>
              <w:rPr>
                <w:rFonts w:ascii="Arial" w:hAnsi="Arial"/>
                <w:b w:val="0"/>
                <w:sz w:val="14"/>
              </w:rPr>
              <w:t>Provision projects and platform capabilities through approved Infrastructure as Code.</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Terraform project factory and golden modules with policy checks.</w:t>
            </w:r>
          </w:p>
        </w:tc>
        <w:tc>
          <w:tcPr>
            <w:tcW w:type="dxa" w:w="2232"/>
            <w:vAlign w:val="center"/>
            <w:tcMar>
              <w:top w:w="70" w:type="dxa"/>
              <w:start w:w="80" w:type="dxa"/>
              <w:bottom w:w="70" w:type="dxa"/>
              <w:end w:w="80" w:type="dxa"/>
            </w:tcMar>
          </w:tcPr>
          <w:p>
            <w:pPr>
              <w:spacing w:after="0"/>
            </w:pPr>
            <w:r/>
            <w:r>
              <w:rPr>
                <w:rFonts w:ascii="Arial" w:hAnsi="Arial"/>
                <w:b w:val="0"/>
                <w:sz w:val="14"/>
              </w:rPr>
              <w:t>No production platform resource is accepted without source-controlled definition or approved exception.</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BR-OPS-002</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Provide CI/CD with tests, approvals, immutable artifacts and rollback.</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Cloud Build and/or GitHub Actions, Artifact Registry and environment promotion.</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A release demonstrates automated tests and successful rollback.</w:t>
            </w:r>
          </w:p>
        </w:tc>
      </w:tr>
      <w:tr>
        <w:tc>
          <w:tcPr>
            <w:tcW w:type="dxa" w:w="1224"/>
            <w:vAlign w:val="center"/>
            <w:tcMar>
              <w:top w:w="70" w:type="dxa"/>
              <w:start w:w="80" w:type="dxa"/>
              <w:bottom w:w="70" w:type="dxa"/>
              <w:end w:w="80" w:type="dxa"/>
            </w:tcMar>
          </w:tcPr>
          <w:p>
            <w:pPr>
              <w:spacing w:after="0"/>
            </w:pPr>
            <w:r/>
            <w:r>
              <w:rPr>
                <w:rFonts w:ascii="Arial" w:hAnsi="Arial"/>
                <w:b w:val="0"/>
                <w:sz w:val="14"/>
              </w:rPr>
              <w:t>BR-OPS-003</w:t>
            </w:r>
          </w:p>
        </w:tc>
        <w:tc>
          <w:tcPr>
            <w:tcW w:type="dxa" w:w="2952"/>
            <w:vAlign w:val="center"/>
            <w:tcMar>
              <w:top w:w="70" w:type="dxa"/>
              <w:start w:w="80" w:type="dxa"/>
              <w:bottom w:w="70" w:type="dxa"/>
              <w:end w:w="80" w:type="dxa"/>
            </w:tcMar>
          </w:tcPr>
          <w:p>
            <w:pPr>
              <w:spacing w:after="0"/>
            </w:pPr>
            <w:r/>
            <w:r>
              <w:rPr>
                <w:rFonts w:ascii="Arial" w:hAnsi="Arial"/>
                <w:b w:val="0"/>
                <w:sz w:val="14"/>
              </w:rPr>
              <w:t>Provide SLO-based monitoring, alerting, runbooks and ownership.</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Cloud Monitoring, Cloud Logging, SLO catalog and paging integration.</w:t>
            </w:r>
          </w:p>
        </w:tc>
        <w:tc>
          <w:tcPr>
            <w:tcW w:type="dxa" w:w="2232"/>
            <w:vAlign w:val="center"/>
            <w:tcMar>
              <w:top w:w="70" w:type="dxa"/>
              <w:start w:w="80" w:type="dxa"/>
              <w:bottom w:w="70" w:type="dxa"/>
              <w:end w:w="80" w:type="dxa"/>
            </w:tcMar>
          </w:tcPr>
          <w:p>
            <w:pPr>
              <w:spacing w:after="0"/>
            </w:pPr>
            <w:r/>
            <w:r>
              <w:rPr>
                <w:rFonts w:ascii="Arial" w:hAnsi="Arial"/>
                <w:b w:val="0"/>
                <w:sz w:val="14"/>
              </w:rPr>
              <w:t>Each Tier 0/1 service has tested alerts and an on-call runbook.</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BR-OPS-004</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Allocate and optimize cost by domain, product, environment and owner.</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Must</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Mandatory labels/tags, billing export, reservations and showback.</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At least 95% of platform spend is allocable.</w:t>
            </w:r>
          </w:p>
        </w:tc>
      </w:tr>
      <w:tr>
        <w:tc>
          <w:tcPr>
            <w:tcW w:type="dxa" w:w="1224"/>
            <w:vAlign w:val="center"/>
            <w:tcMar>
              <w:top w:w="70" w:type="dxa"/>
              <w:start w:w="80" w:type="dxa"/>
              <w:bottom w:w="70" w:type="dxa"/>
              <w:end w:w="80" w:type="dxa"/>
            </w:tcMar>
          </w:tcPr>
          <w:p>
            <w:pPr>
              <w:spacing w:after="0"/>
            </w:pPr>
            <w:r/>
            <w:r>
              <w:rPr>
                <w:rFonts w:ascii="Arial" w:hAnsi="Arial"/>
                <w:b w:val="0"/>
                <w:sz w:val="14"/>
              </w:rPr>
              <w:t>BR-OPS-005</w:t>
            </w:r>
          </w:p>
        </w:tc>
        <w:tc>
          <w:tcPr>
            <w:tcW w:type="dxa" w:w="2952"/>
            <w:vAlign w:val="center"/>
            <w:tcMar>
              <w:top w:w="70" w:type="dxa"/>
              <w:start w:w="80" w:type="dxa"/>
              <w:bottom w:w="70" w:type="dxa"/>
              <w:end w:w="80" w:type="dxa"/>
            </w:tcMar>
          </w:tcPr>
          <w:p>
            <w:pPr>
              <w:spacing w:after="0"/>
            </w:pPr>
            <w:r/>
            <w:r>
              <w:rPr>
                <w:rFonts w:ascii="Arial" w:hAnsi="Arial"/>
                <w:b w:val="0"/>
                <w:sz w:val="14"/>
              </w:rPr>
              <w:t>Detect configuration drift and policy non-conformance.</w:t>
            </w:r>
          </w:p>
        </w:tc>
        <w:tc>
          <w:tcPr>
            <w:tcW w:type="dxa" w:w="864"/>
            <w:vAlign w:val="center"/>
            <w:tcMar>
              <w:top w:w="70" w:type="dxa"/>
              <w:start w:w="80" w:type="dxa"/>
              <w:bottom w:w="70" w:type="dxa"/>
              <w:end w:w="80" w:type="dxa"/>
            </w:tcMar>
          </w:tcPr>
          <w:p>
            <w:pPr>
              <w:spacing w:after="0"/>
            </w:pPr>
            <w:r/>
            <w:r>
              <w:rPr>
                <w:rFonts w:ascii="Arial" w:hAnsi="Arial"/>
                <w:b w:val="0"/>
                <w:sz w:val="14"/>
              </w:rPr>
              <w:t>Must</w:t>
            </w:r>
          </w:p>
        </w:tc>
        <w:tc>
          <w:tcPr>
            <w:tcW w:type="dxa" w:w="2664"/>
            <w:vAlign w:val="center"/>
            <w:tcMar>
              <w:top w:w="70" w:type="dxa"/>
              <w:start w:w="80" w:type="dxa"/>
              <w:bottom w:w="70" w:type="dxa"/>
              <w:end w:w="80" w:type="dxa"/>
            </w:tcMar>
          </w:tcPr>
          <w:p>
            <w:pPr>
              <w:spacing w:after="0"/>
            </w:pPr>
            <w:r/>
            <w:r>
              <w:rPr>
                <w:rFonts w:ascii="Arial" w:hAnsi="Arial"/>
                <w:b w:val="0"/>
                <w:sz w:val="14"/>
              </w:rPr>
              <w:t>Terraform plan, policy-as-code, asset inventory and scheduled conformance scans.</w:t>
            </w:r>
          </w:p>
        </w:tc>
        <w:tc>
          <w:tcPr>
            <w:tcW w:type="dxa" w:w="2232"/>
            <w:vAlign w:val="center"/>
            <w:tcMar>
              <w:top w:w="70" w:type="dxa"/>
              <w:start w:w="80" w:type="dxa"/>
              <w:bottom w:w="70" w:type="dxa"/>
              <w:end w:w="80" w:type="dxa"/>
            </w:tcMar>
          </w:tcPr>
          <w:p>
            <w:pPr>
              <w:spacing w:after="0"/>
            </w:pPr>
            <w:r/>
            <w:r>
              <w:rPr>
                <w:rFonts w:ascii="Arial" w:hAnsi="Arial"/>
                <w:b w:val="0"/>
                <w:sz w:val="14"/>
              </w:rPr>
              <w:t>Critical drift creates a tracked incident within the defined detection SLO.</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BR-OPS-006</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Operate a lifecycle for service exceptions and technical debt.</w:t>
            </w:r>
          </w:p>
        </w:tc>
        <w:tc>
          <w:tcPr>
            <w:tcW w:type="dxa" w:w="864"/>
            <w:vAlign w:val="center"/>
            <w:tcMar>
              <w:top w:w="70" w:type="dxa"/>
              <w:start w:w="80" w:type="dxa"/>
              <w:bottom w:w="70" w:type="dxa"/>
              <w:end w:w="80" w:type="dxa"/>
            </w:tcMar>
            <w:shd w:fill="F8F9FA"/>
          </w:tcPr>
          <w:p>
            <w:pPr>
              <w:spacing w:after="0"/>
            </w:pPr>
            <w:r/>
            <w:r>
              <w:rPr>
                <w:rFonts w:ascii="Arial" w:hAnsi="Arial"/>
                <w:b w:val="0"/>
                <w:sz w:val="14"/>
              </w:rPr>
              <w:t>Should</w:t>
            </w:r>
          </w:p>
        </w:tc>
        <w:tc>
          <w:tcPr>
            <w:tcW w:type="dxa" w:w="2664"/>
            <w:vAlign w:val="center"/>
            <w:tcMar>
              <w:top w:w="70" w:type="dxa"/>
              <w:start w:w="80" w:type="dxa"/>
              <w:bottom w:w="70" w:type="dxa"/>
              <w:end w:w="80" w:type="dxa"/>
            </w:tcMar>
            <w:shd w:fill="F8F9FA"/>
          </w:tcPr>
          <w:p>
            <w:pPr>
              <w:spacing w:after="0"/>
            </w:pPr>
            <w:r/>
            <w:r>
              <w:rPr>
                <w:rFonts w:ascii="Arial" w:hAnsi="Arial"/>
                <w:b w:val="0"/>
                <w:sz w:val="14"/>
              </w:rPr>
              <w:t>Architecture exception register with owner, expiry and remediation plan.</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No active exception lacks an owner and review date.</w:t>
            </w:r>
          </w:p>
        </w:tc>
      </w:tr>
    </w:tbl>
    <w:p>
      <w:pPr>
        <w:spacing w:after="20"/>
      </w:pPr>
    </w:p>
    <w:p>
      <w:pPr>
        <w:pStyle w:val="Heading2"/>
      </w:pPr>
      <w:r>
        <w:t>3.8 Requirement Governance</w:t>
      </w:r>
    </w:p>
    <w:p>
      <w:pPr>
        <w:pStyle w:val="ListBullet"/>
        <w:spacing w:after="40"/>
      </w:pPr>
      <w:r>
        <w:t>Every requirement is assigned to a business owner, architecture owner and implementation workstream before detailed design begins.</w:t>
      </w:r>
    </w:p>
    <w:p>
      <w:pPr>
        <w:pStyle w:val="ListBullet"/>
        <w:spacing w:after="40"/>
      </w:pPr>
      <w:r>
        <w:t>Requirements are baselined at the end of discovery and traced to epics, controls, tests, operational procedures and acceptance evidence.</w:t>
      </w:r>
    </w:p>
    <w:p>
      <w:pPr>
        <w:pStyle w:val="ListBullet"/>
        <w:spacing w:after="40"/>
      </w:pPr>
      <w:r>
        <w:t>A change affecting residency, confidentiality, recovery tier, consumer contract or material cost returns to architecture review.</w:t>
      </w:r>
    </w:p>
    <w:p>
      <w:pPr>
        <w:pStyle w:val="ListBullet"/>
        <w:spacing w:after="40"/>
      </w:pPr>
      <w:r>
        <w:t>Requirements that cannot be tested are rewritten before implementation approval.</w:t>
      </w:r>
    </w:p>
    <w:p>
      <w:pPr>
        <w:pStyle w:val="ListBullet"/>
        <w:spacing w:after="40"/>
      </w:pPr>
      <w:r>
        <w:t>Where regulatory obligations conflict, the stricter control applies until Legal and Privacy approve an alternative.</w:t>
      </w:r>
    </w:p>
    <w:tbl>
      <w:tblPr>
        <w:tblW w:type="auto" w:w="0"/>
        <w:jc w:val="center"/>
        <w:tblLook w:firstColumn="1" w:firstRow="1" w:lastColumn="0" w:lastRow="0" w:noHBand="0" w:noVBand="1" w:val="04A0"/>
      </w:tblPr>
      <w:tblGrid>
        <w:gridCol w:w="10166"/>
      </w:tblGrid>
      <w:tr>
        <w:tc>
          <w:tcPr>
            <w:tcW w:type="dxa" w:w="10166"/>
            <w:shd w:fill="FFF4E5"/>
            <w:tcMar>
              <w:top w:w="120" w:type="dxa"/>
              <w:start w:w="140" w:type="dxa"/>
              <w:bottom w:w="120" w:type="dxa"/>
              <w:end w:w="140" w:type="dxa"/>
            </w:tcMar>
          </w:tcPr>
          <w:p>
            <w:pPr>
              <w:spacing w:after="80"/>
            </w:pPr>
            <w:r>
              <w:rPr>
                <w:rFonts w:ascii="Arial" w:hAnsi="Arial"/>
                <w:b/>
                <w:color w:val="1A73E8"/>
                <w:sz w:val="20"/>
              </w:rPr>
              <w:t>Acceptance rule</w:t>
            </w:r>
          </w:p>
          <w:p>
            <w:pPr>
              <w:pStyle w:val="BodyText"/>
              <w:spacing w:after="0"/>
            </w:pPr>
            <w:r>
              <w:t>A capability is not considered delivered when a service is enabled. It is delivered only when the approved user journey, security behavior, failure mode, telemetry and operating ownership have been demonstrated.</w:t>
            </w:r>
          </w:p>
        </w:tc>
      </w:tr>
    </w:tbl>
    <w:p>
      <w:pPr>
        <w:spacing w:after="20"/>
      </w:pPr>
    </w:p>
    <w:p>
      <w:pPr>
        <w:pStyle w:val="Heading1"/>
      </w:pPr>
      <w:r>
        <w:t>4. Non-functional Requirements</w:t>
      </w:r>
    </w:p>
    <w:p>
      <w:pPr>
        <w:pStyle w:val="Lead"/>
      </w:pPr>
      <w:r>
        <w:t>Non-functional requirements define the production qualities of the platform. Targets are tiered by workload criticality and must be validated through tests, telemetry or operational exercises before go-live.</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Measurable service qualities; Tiered resilience targets; Security and compliance obligations; Production acceptance criteria.</w:t>
            </w:r>
          </w:p>
        </w:tc>
      </w:tr>
    </w:tbl>
    <w:p>
      <w:pPr>
        <w:spacing w:after="20"/>
      </w:pPr>
    </w:p>
    <w:p>
      <w:pPr>
        <w:pStyle w:val="Heading2"/>
      </w:pPr>
      <w:r>
        <w:t>4.1 Availability and Continuity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NFR-AVL-001</w:t>
            </w:r>
          </w:p>
        </w:tc>
        <w:tc>
          <w:tcPr>
            <w:tcW w:type="dxa" w:w="1728"/>
            <w:vAlign w:val="center"/>
            <w:tcMar>
              <w:top w:w="70" w:type="dxa"/>
              <w:start w:w="80" w:type="dxa"/>
              <w:bottom w:w="70" w:type="dxa"/>
              <w:end w:w="80" w:type="dxa"/>
            </w:tcMar>
          </w:tcPr>
          <w:p>
            <w:pPr>
              <w:spacing w:after="0"/>
            </w:pPr>
            <w:r/>
            <w:r>
              <w:rPr>
                <w:rFonts w:ascii="Arial" w:hAnsi="Arial"/>
                <w:b w:val="0"/>
                <w:sz w:val="14"/>
              </w:rPr>
              <w:t>Tier 0 data services</w:t>
            </w:r>
          </w:p>
        </w:tc>
        <w:tc>
          <w:tcPr>
            <w:tcW w:type="dxa" w:w="2376"/>
            <w:vAlign w:val="center"/>
            <w:tcMar>
              <w:top w:w="70" w:type="dxa"/>
              <w:start w:w="80" w:type="dxa"/>
              <w:bottom w:w="70" w:type="dxa"/>
              <w:end w:w="80" w:type="dxa"/>
            </w:tcMar>
          </w:tcPr>
          <w:p>
            <w:pPr>
              <w:spacing w:after="0"/>
            </w:pPr>
            <w:r/>
            <w:r>
              <w:rPr>
                <w:rFonts w:ascii="Arial" w:hAnsi="Arial"/>
                <w:b w:val="0"/>
                <w:sz w:val="14"/>
              </w:rPr>
              <w:t>99.99% monthly service objective where supported by component architecture.</w:t>
            </w:r>
          </w:p>
        </w:tc>
        <w:tc>
          <w:tcPr>
            <w:tcW w:type="dxa" w:w="2952"/>
            <w:vAlign w:val="center"/>
            <w:tcMar>
              <w:top w:w="70" w:type="dxa"/>
              <w:start w:w="80" w:type="dxa"/>
              <w:bottom w:w="70" w:type="dxa"/>
              <w:end w:w="80" w:type="dxa"/>
            </w:tcMar>
          </w:tcPr>
          <w:p>
            <w:pPr>
              <w:spacing w:after="0"/>
            </w:pPr>
            <w:r/>
            <w:r>
              <w:rPr>
                <w:rFonts w:ascii="Arial" w:hAnsi="Arial"/>
                <w:b w:val="0"/>
                <w:sz w:val="14"/>
              </w:rPr>
              <w:t>Multi-zone design; managed-service SLAs; dependent-service analysis.</w:t>
            </w:r>
          </w:p>
        </w:tc>
        <w:tc>
          <w:tcPr>
            <w:tcW w:type="dxa" w:w="1800"/>
            <w:vAlign w:val="center"/>
            <w:tcMar>
              <w:top w:w="70" w:type="dxa"/>
              <w:start w:w="80" w:type="dxa"/>
              <w:bottom w:w="70" w:type="dxa"/>
              <w:end w:w="80" w:type="dxa"/>
            </w:tcMar>
          </w:tcPr>
          <w:p>
            <w:pPr>
              <w:spacing w:after="0"/>
            </w:pPr>
            <w:r/>
            <w:r>
              <w:rPr>
                <w:rFonts w:ascii="Arial" w:hAnsi="Arial"/>
                <w:b w:val="0"/>
                <w:sz w:val="14"/>
              </w:rPr>
              <w:t>Synthetic availability, SLO report and dependency test.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NFR-AVL-002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Tier 1 data services</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99.9% monthly service objective.</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Resilient regional design and tested restart procedures.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Monthly SLO report.</w:t>
            </w:r>
          </w:p>
        </w:tc>
      </w:tr>
      <w:tr>
        <w:tc>
          <w:tcPr>
            <w:tcW w:type="dxa" w:w="1224"/>
            <w:vAlign w:val="center"/>
            <w:tcMar>
              <w:top w:w="70" w:type="dxa"/>
              <w:start w:w="80" w:type="dxa"/>
              <w:bottom w:w="70" w:type="dxa"/>
              <w:end w:w="80" w:type="dxa"/>
            </w:tcMar>
          </w:tcPr>
          <w:p>
            <w:pPr>
              <w:spacing w:after="0"/>
            </w:pPr>
            <w:r/>
            <w:r>
              <w:rPr>
                <w:rFonts w:ascii="Arial" w:hAnsi="Arial"/>
                <w:b w:val="0"/>
                <w:sz w:val="14"/>
              </w:rPr>
              <w:t>NFR-AVL-003</w:t>
            </w:r>
          </w:p>
        </w:tc>
        <w:tc>
          <w:tcPr>
            <w:tcW w:type="dxa" w:w="1728"/>
            <w:vAlign w:val="center"/>
            <w:tcMar>
              <w:top w:w="70" w:type="dxa"/>
              <w:start w:w="80" w:type="dxa"/>
              <w:bottom w:w="70" w:type="dxa"/>
              <w:end w:w="80" w:type="dxa"/>
            </w:tcMar>
          </w:tcPr>
          <w:p>
            <w:pPr>
              <w:spacing w:after="0"/>
            </w:pPr>
            <w:r/>
            <w:r>
              <w:rPr>
                <w:rFonts w:ascii="Arial" w:hAnsi="Arial"/>
                <w:b w:val="0"/>
                <w:sz w:val="14"/>
              </w:rPr>
              <w:t>Planned maintenance</w:t>
            </w:r>
          </w:p>
        </w:tc>
        <w:tc>
          <w:tcPr>
            <w:tcW w:type="dxa" w:w="2376"/>
            <w:vAlign w:val="center"/>
            <w:tcMar>
              <w:top w:w="70" w:type="dxa"/>
              <w:start w:w="80" w:type="dxa"/>
              <w:bottom w:w="70" w:type="dxa"/>
              <w:end w:w="80" w:type="dxa"/>
            </w:tcMar>
          </w:tcPr>
          <w:p>
            <w:pPr>
              <w:spacing w:after="0"/>
            </w:pPr>
            <w:r/>
            <w:r>
              <w:rPr>
                <w:rFonts w:ascii="Arial" w:hAnsi="Arial"/>
                <w:b w:val="0"/>
                <w:sz w:val="14"/>
              </w:rPr>
              <w:t>No uncommunicated outage for Tier 0/1 products.</w:t>
            </w:r>
          </w:p>
        </w:tc>
        <w:tc>
          <w:tcPr>
            <w:tcW w:type="dxa" w:w="2952"/>
            <w:vAlign w:val="center"/>
            <w:tcMar>
              <w:top w:w="70" w:type="dxa"/>
              <w:start w:w="80" w:type="dxa"/>
              <w:bottom w:w="70" w:type="dxa"/>
              <w:end w:w="80" w:type="dxa"/>
            </w:tcMar>
          </w:tcPr>
          <w:p>
            <w:pPr>
              <w:spacing w:after="0"/>
            </w:pPr>
            <w:r/>
            <w:r>
              <w:rPr>
                <w:rFonts w:ascii="Arial" w:hAnsi="Arial"/>
                <w:b w:val="0"/>
                <w:sz w:val="14"/>
              </w:rPr>
              <w:t>Maintenance windows, consumer notices and backward-compatible releases.</w:t>
            </w:r>
          </w:p>
        </w:tc>
        <w:tc>
          <w:tcPr>
            <w:tcW w:type="dxa" w:w="1800"/>
            <w:vAlign w:val="center"/>
            <w:tcMar>
              <w:top w:w="70" w:type="dxa"/>
              <w:start w:w="80" w:type="dxa"/>
              <w:bottom w:w="70" w:type="dxa"/>
              <w:end w:w="80" w:type="dxa"/>
            </w:tcMar>
          </w:tcPr>
          <w:p>
            <w:pPr>
              <w:spacing w:after="0"/>
            </w:pPr>
            <w:r/>
            <w:r>
              <w:rPr>
                <w:rFonts w:ascii="Arial" w:hAnsi="Arial"/>
                <w:b w:val="0"/>
                <w:sz w:val="14"/>
              </w:rPr>
              <w:t>Change records and consumer notification evidence.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NFR-AVL-004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Dependency degradation</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Critical products must fail safely and expose degraded-state telemetry.</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Timeout, retry, circuit-breaker and fallback design where applicable.</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Failure-injection test.</w:t>
            </w:r>
          </w:p>
        </w:tc>
      </w:tr>
      <w:tr>
        <w:tc>
          <w:tcPr>
            <w:tcW w:type="dxa" w:w="1224"/>
            <w:vAlign w:val="center"/>
            <w:tcMar>
              <w:top w:w="70" w:type="dxa"/>
              <w:start w:w="80" w:type="dxa"/>
              <w:bottom w:w="70" w:type="dxa"/>
              <w:end w:w="80" w:type="dxa"/>
            </w:tcMar>
          </w:tcPr>
          <w:p>
            <w:pPr>
              <w:spacing w:after="0"/>
            </w:pPr>
            <w:r/>
            <w:r>
              <w:rPr>
                <w:rFonts w:ascii="Arial" w:hAnsi="Arial"/>
                <w:b w:val="0"/>
                <w:sz w:val="14"/>
              </w:rPr>
              <w:t>NFR-AVL-005</w:t>
            </w:r>
          </w:p>
        </w:tc>
        <w:tc>
          <w:tcPr>
            <w:tcW w:type="dxa" w:w="1728"/>
            <w:vAlign w:val="center"/>
            <w:tcMar>
              <w:top w:w="70" w:type="dxa"/>
              <w:start w:w="80" w:type="dxa"/>
              <w:bottom w:w="70" w:type="dxa"/>
              <w:end w:w="80" w:type="dxa"/>
            </w:tcMar>
          </w:tcPr>
          <w:p>
            <w:pPr>
              <w:spacing w:after="0"/>
            </w:pPr>
            <w:r/>
            <w:r>
              <w:rPr>
                <w:rFonts w:ascii="Arial" w:hAnsi="Arial"/>
                <w:b w:val="0"/>
                <w:sz w:val="14"/>
              </w:rPr>
              <w:t>Control-plane outage</w:t>
            </w:r>
          </w:p>
        </w:tc>
        <w:tc>
          <w:tcPr>
            <w:tcW w:type="dxa" w:w="2376"/>
            <w:vAlign w:val="center"/>
            <w:tcMar>
              <w:top w:w="70" w:type="dxa"/>
              <w:start w:w="80" w:type="dxa"/>
              <w:bottom w:w="70" w:type="dxa"/>
              <w:end w:w="80" w:type="dxa"/>
            </w:tcMar>
          </w:tcPr>
          <w:p>
            <w:pPr>
              <w:spacing w:after="0"/>
            </w:pPr>
            <w:r/>
            <w:r>
              <w:rPr>
                <w:rFonts w:ascii="Arial" w:hAnsi="Arial"/>
                <w:b w:val="0"/>
                <w:sz w:val="14"/>
              </w:rPr>
              <w:t>Existing data serving should continue where service characteristics permit.</w:t>
            </w:r>
          </w:p>
        </w:tc>
        <w:tc>
          <w:tcPr>
            <w:tcW w:type="dxa" w:w="2952"/>
            <w:vAlign w:val="center"/>
            <w:tcMar>
              <w:top w:w="70" w:type="dxa"/>
              <w:start w:w="80" w:type="dxa"/>
              <w:bottom w:w="70" w:type="dxa"/>
              <w:end w:w="80" w:type="dxa"/>
            </w:tcMar>
          </w:tcPr>
          <w:p>
            <w:pPr>
              <w:spacing w:after="0"/>
            </w:pPr>
            <w:r/>
            <w:r>
              <w:rPr>
                <w:rFonts w:ascii="Arial" w:hAnsi="Arial"/>
                <w:b w:val="0"/>
                <w:sz w:val="14"/>
              </w:rPr>
              <w:t>Decouple runtime from deployment tooling; cache approved configuration.</w:t>
            </w:r>
          </w:p>
        </w:tc>
        <w:tc>
          <w:tcPr>
            <w:tcW w:type="dxa" w:w="1800"/>
            <w:vAlign w:val="center"/>
            <w:tcMar>
              <w:top w:w="70" w:type="dxa"/>
              <w:start w:w="80" w:type="dxa"/>
              <w:bottom w:w="70" w:type="dxa"/>
              <w:end w:w="80" w:type="dxa"/>
            </w:tcMar>
          </w:tcPr>
          <w:p>
            <w:pPr>
              <w:spacing w:after="0"/>
            </w:pPr>
            <w:r/>
            <w:r>
              <w:rPr>
                <w:rFonts w:ascii="Arial" w:hAnsi="Arial"/>
                <w:b w:val="0"/>
                <w:sz w:val="14"/>
              </w:rPr>
              <w:t>Control-plane failure scenario review.</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pPr>
        <w:pStyle w:val="Heading2"/>
      </w:pPr>
      <w:r>
        <w:t>4.2 Recovery and Data Protection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NFR-DR-001</w:t>
            </w:r>
          </w:p>
        </w:tc>
        <w:tc>
          <w:tcPr>
            <w:tcW w:type="dxa" w:w="1728"/>
            <w:vAlign w:val="center"/>
            <w:tcMar>
              <w:top w:w="70" w:type="dxa"/>
              <w:start w:w="80" w:type="dxa"/>
              <w:bottom w:w="70" w:type="dxa"/>
              <w:end w:w="80" w:type="dxa"/>
            </w:tcMar>
          </w:tcPr>
          <w:p>
            <w:pPr>
              <w:spacing w:after="0"/>
            </w:pPr>
            <w:r/>
            <w:r>
              <w:rPr>
                <w:rFonts w:ascii="Arial" w:hAnsi="Arial"/>
                <w:b w:val="0"/>
                <w:sz w:val="14"/>
              </w:rPr>
              <w:t>Tier 0 recovery</w:t>
            </w:r>
          </w:p>
        </w:tc>
        <w:tc>
          <w:tcPr>
            <w:tcW w:type="dxa" w:w="2376"/>
            <w:vAlign w:val="center"/>
            <w:tcMar>
              <w:top w:w="70" w:type="dxa"/>
              <w:start w:w="80" w:type="dxa"/>
              <w:bottom w:w="70" w:type="dxa"/>
              <w:end w:w="80" w:type="dxa"/>
            </w:tcMar>
          </w:tcPr>
          <w:p>
            <w:pPr>
              <w:spacing w:after="0"/>
            </w:pPr>
            <w:r/>
            <w:r>
              <w:rPr>
                <w:rFonts w:ascii="Arial" w:hAnsi="Arial"/>
                <w:b w:val="0"/>
                <w:sz w:val="14"/>
              </w:rPr>
              <w:t>RTO &lt;1 hour; RPO &lt;5 minutes.</w:t>
            </w:r>
          </w:p>
        </w:tc>
        <w:tc>
          <w:tcPr>
            <w:tcW w:type="dxa" w:w="2952"/>
            <w:vAlign w:val="center"/>
            <w:tcMar>
              <w:top w:w="70" w:type="dxa"/>
              <w:start w:w="80" w:type="dxa"/>
              <w:bottom w:w="70" w:type="dxa"/>
              <w:end w:w="80" w:type="dxa"/>
            </w:tcMar>
          </w:tcPr>
          <w:p>
            <w:pPr>
              <w:spacing w:after="0"/>
            </w:pPr>
            <w:r/>
            <w:r>
              <w:rPr>
                <w:rFonts w:ascii="Arial" w:hAnsi="Arial"/>
                <w:b w:val="0"/>
                <w:sz w:val="14"/>
              </w:rPr>
              <w:t>Replayable events, multi-region runbook, IaC reconstruction and data recovery pattern.</w:t>
            </w:r>
          </w:p>
        </w:tc>
        <w:tc>
          <w:tcPr>
            <w:tcW w:type="dxa" w:w="1800"/>
            <w:vAlign w:val="center"/>
            <w:tcMar>
              <w:top w:w="70" w:type="dxa"/>
              <w:start w:w="80" w:type="dxa"/>
              <w:bottom w:w="70" w:type="dxa"/>
              <w:end w:w="80" w:type="dxa"/>
            </w:tcMar>
          </w:tcPr>
          <w:p>
            <w:pPr>
              <w:spacing w:after="0"/>
            </w:pPr>
            <w:r/>
            <w:r>
              <w:rPr>
                <w:rFonts w:ascii="Arial" w:hAnsi="Arial"/>
                <w:b w:val="0"/>
                <w:sz w:val="14"/>
              </w:rPr>
              <w:t>Annual full failover and quarterly component tests.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NFR-DR-002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Tier 1 recovery</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RTO &lt;4 hours; RPO &lt;15 minutes.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Regional recovery environment and automated configuration restore.</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Semiannual exercise.</w:t>
            </w:r>
          </w:p>
        </w:tc>
      </w:tr>
      <w:tr>
        <w:tc>
          <w:tcPr>
            <w:tcW w:type="dxa" w:w="1224"/>
            <w:vAlign w:val="center"/>
            <w:tcMar>
              <w:top w:w="70" w:type="dxa"/>
              <w:start w:w="80" w:type="dxa"/>
              <w:bottom w:w="70" w:type="dxa"/>
              <w:end w:w="80" w:type="dxa"/>
            </w:tcMar>
          </w:tcPr>
          <w:p>
            <w:pPr>
              <w:spacing w:after="0"/>
            </w:pPr>
            <w:r/>
            <w:r>
              <w:rPr>
                <w:rFonts w:ascii="Arial" w:hAnsi="Arial"/>
                <w:b w:val="0"/>
                <w:sz w:val="14"/>
              </w:rPr>
              <w:t>NFR-DR-003</w:t>
            </w:r>
          </w:p>
        </w:tc>
        <w:tc>
          <w:tcPr>
            <w:tcW w:type="dxa" w:w="1728"/>
            <w:vAlign w:val="center"/>
            <w:tcMar>
              <w:top w:w="70" w:type="dxa"/>
              <w:start w:w="80" w:type="dxa"/>
              <w:bottom w:w="70" w:type="dxa"/>
              <w:end w:w="80" w:type="dxa"/>
            </w:tcMar>
          </w:tcPr>
          <w:p>
            <w:pPr>
              <w:spacing w:after="0"/>
            </w:pPr>
            <w:r/>
            <w:r>
              <w:rPr>
                <w:rFonts w:ascii="Arial" w:hAnsi="Arial"/>
                <w:b w:val="0"/>
                <w:sz w:val="14"/>
              </w:rPr>
              <w:t>Tier 2 recovery</w:t>
            </w:r>
          </w:p>
        </w:tc>
        <w:tc>
          <w:tcPr>
            <w:tcW w:type="dxa" w:w="2376"/>
            <w:vAlign w:val="center"/>
            <w:tcMar>
              <w:top w:w="70" w:type="dxa"/>
              <w:start w:w="80" w:type="dxa"/>
              <w:bottom w:w="70" w:type="dxa"/>
              <w:end w:w="80" w:type="dxa"/>
            </w:tcMar>
          </w:tcPr>
          <w:p>
            <w:pPr>
              <w:spacing w:after="0"/>
            </w:pPr>
            <w:r/>
            <w:r>
              <w:rPr>
                <w:rFonts w:ascii="Arial" w:hAnsi="Arial"/>
                <w:b w:val="0"/>
                <w:sz w:val="14"/>
              </w:rPr>
              <w:t>RTO &lt;24 hours; RPO &lt;24 hours.</w:t>
            </w:r>
          </w:p>
        </w:tc>
        <w:tc>
          <w:tcPr>
            <w:tcW w:type="dxa" w:w="2952"/>
            <w:vAlign w:val="center"/>
            <w:tcMar>
              <w:top w:w="70" w:type="dxa"/>
              <w:start w:w="80" w:type="dxa"/>
              <w:bottom w:w="70" w:type="dxa"/>
              <w:end w:w="80" w:type="dxa"/>
            </w:tcMar>
          </w:tcPr>
          <w:p>
            <w:pPr>
              <w:spacing w:after="0"/>
            </w:pPr>
            <w:r/>
            <w:r>
              <w:rPr>
                <w:rFonts w:ascii="Arial" w:hAnsi="Arial"/>
                <w:b w:val="0"/>
                <w:sz w:val="14"/>
              </w:rPr>
              <w:t>Backup/restore and prioritized reconstruction.</w:t>
            </w:r>
          </w:p>
        </w:tc>
        <w:tc>
          <w:tcPr>
            <w:tcW w:type="dxa" w:w="1800"/>
            <w:vAlign w:val="center"/>
            <w:tcMar>
              <w:top w:w="70" w:type="dxa"/>
              <w:start w:w="80" w:type="dxa"/>
              <w:bottom w:w="70" w:type="dxa"/>
              <w:end w:w="80" w:type="dxa"/>
            </w:tcMar>
          </w:tcPr>
          <w:p>
            <w:pPr>
              <w:spacing w:after="0"/>
            </w:pPr>
            <w:r/>
            <w:r>
              <w:rPr>
                <w:rFonts w:ascii="Arial" w:hAnsi="Arial"/>
                <w:b w:val="0"/>
                <w:sz w:val="14"/>
              </w:rPr>
              <w:t>Annual exercise.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NFR-DR-004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Data corruption</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Point-in-time recovery or source replay for governed critical datasets.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BigQuery time travel/snapshots, versioned objects, immutable raw and reconciliation.</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Corruption simulation.</w:t>
            </w:r>
          </w:p>
        </w:tc>
      </w:tr>
      <w:tr>
        <w:tc>
          <w:tcPr>
            <w:tcW w:type="dxa" w:w="1224"/>
            <w:vAlign w:val="center"/>
            <w:tcMar>
              <w:top w:w="70" w:type="dxa"/>
              <w:start w:w="80" w:type="dxa"/>
              <w:bottom w:w="70" w:type="dxa"/>
              <w:end w:w="80" w:type="dxa"/>
            </w:tcMar>
          </w:tcPr>
          <w:p>
            <w:pPr>
              <w:spacing w:after="0"/>
            </w:pPr>
            <w:r/>
            <w:r>
              <w:rPr>
                <w:rFonts w:ascii="Arial" w:hAnsi="Arial"/>
                <w:b w:val="0"/>
                <w:sz w:val="14"/>
              </w:rPr>
              <w:t>NFR-DR-005</w:t>
            </w:r>
          </w:p>
        </w:tc>
        <w:tc>
          <w:tcPr>
            <w:tcW w:type="dxa" w:w="1728"/>
            <w:vAlign w:val="center"/>
            <w:tcMar>
              <w:top w:w="70" w:type="dxa"/>
              <w:start w:w="80" w:type="dxa"/>
              <w:bottom w:w="70" w:type="dxa"/>
              <w:end w:w="80" w:type="dxa"/>
            </w:tcMar>
          </w:tcPr>
          <w:p>
            <w:pPr>
              <w:spacing w:after="0"/>
            </w:pPr>
            <w:r/>
            <w:r>
              <w:rPr>
                <w:rFonts w:ascii="Arial" w:hAnsi="Arial"/>
                <w:b w:val="0"/>
                <w:sz w:val="14"/>
              </w:rPr>
              <w:t>Cyber recovery</w:t>
            </w:r>
          </w:p>
        </w:tc>
        <w:tc>
          <w:tcPr>
            <w:tcW w:type="dxa" w:w="2376"/>
            <w:vAlign w:val="center"/>
            <w:tcMar>
              <w:top w:w="70" w:type="dxa"/>
              <w:start w:w="80" w:type="dxa"/>
              <w:bottom w:w="70" w:type="dxa"/>
              <w:end w:w="80" w:type="dxa"/>
            </w:tcMar>
          </w:tcPr>
          <w:p>
            <w:pPr>
              <w:spacing w:after="0"/>
            </w:pPr>
            <w:r/>
            <w:r>
              <w:rPr>
                <w:rFonts w:ascii="Arial" w:hAnsi="Arial"/>
                <w:b w:val="0"/>
                <w:sz w:val="14"/>
              </w:rPr>
              <w:t>Protected recovery copies and clean-room procedures for designated workloads.</w:t>
            </w:r>
          </w:p>
        </w:tc>
        <w:tc>
          <w:tcPr>
            <w:tcW w:type="dxa" w:w="2952"/>
            <w:vAlign w:val="center"/>
            <w:tcMar>
              <w:top w:w="70" w:type="dxa"/>
              <w:start w:w="80" w:type="dxa"/>
              <w:bottom w:w="70" w:type="dxa"/>
              <w:end w:w="80" w:type="dxa"/>
            </w:tcMar>
          </w:tcPr>
          <w:p>
            <w:pPr>
              <w:spacing w:after="0"/>
            </w:pPr>
            <w:r/>
            <w:r>
              <w:rPr>
                <w:rFonts w:ascii="Arial" w:hAnsi="Arial"/>
                <w:b w:val="0"/>
                <w:sz w:val="14"/>
              </w:rPr>
              <w:t>Separated identities, immutable evidence and staged restoration.</w:t>
            </w:r>
          </w:p>
        </w:tc>
        <w:tc>
          <w:tcPr>
            <w:tcW w:type="dxa" w:w="1800"/>
            <w:vAlign w:val="center"/>
            <w:tcMar>
              <w:top w:w="70" w:type="dxa"/>
              <w:start w:w="80" w:type="dxa"/>
              <w:bottom w:w="70" w:type="dxa"/>
              <w:end w:w="80" w:type="dxa"/>
            </w:tcMar>
          </w:tcPr>
          <w:p>
            <w:pPr>
              <w:spacing w:after="0"/>
            </w:pPr>
            <w:r/>
            <w:r>
              <w:rPr>
                <w:rFonts w:ascii="Arial" w:hAnsi="Arial"/>
                <w:b w:val="0"/>
                <w:sz w:val="14"/>
              </w:rPr>
              <w:t>Tabletop and technical recovery test.</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r>
        <w:br w:type="page"/>
      </w:r>
    </w:p>
    <w:p>
      <w:pPr>
        <w:pStyle w:val="Heading2"/>
      </w:pPr>
      <w:r>
        <w:t>4.3 Performance and Latency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NFR-PERF-001</w:t>
            </w:r>
          </w:p>
        </w:tc>
        <w:tc>
          <w:tcPr>
            <w:tcW w:type="dxa" w:w="1728"/>
            <w:vAlign w:val="center"/>
            <w:tcMar>
              <w:top w:w="70" w:type="dxa"/>
              <w:start w:w="80" w:type="dxa"/>
              <w:bottom w:w="70" w:type="dxa"/>
              <w:end w:w="80" w:type="dxa"/>
            </w:tcMar>
          </w:tcPr>
          <w:p>
            <w:pPr>
              <w:spacing w:after="0"/>
            </w:pPr>
            <w:r/>
            <w:r>
              <w:rPr>
                <w:rFonts w:ascii="Arial" w:hAnsi="Arial"/>
                <w:b w:val="0"/>
                <w:sz w:val="14"/>
              </w:rPr>
              <w:t>Streaming freshness</w:t>
            </w:r>
          </w:p>
        </w:tc>
        <w:tc>
          <w:tcPr>
            <w:tcW w:type="dxa" w:w="2376"/>
            <w:vAlign w:val="center"/>
            <w:tcMar>
              <w:top w:w="70" w:type="dxa"/>
              <w:start w:w="80" w:type="dxa"/>
              <w:bottom w:w="70" w:type="dxa"/>
              <w:end w:w="80" w:type="dxa"/>
            </w:tcMar>
          </w:tcPr>
          <w:p>
            <w:pPr>
              <w:spacing w:after="0"/>
            </w:pPr>
            <w:r/>
            <w:r>
              <w:rPr>
                <w:rFonts w:ascii="Arial" w:hAnsi="Arial"/>
                <w:b w:val="0"/>
                <w:sz w:val="14"/>
              </w:rPr>
              <w:t>95th percentile source-to-curated latency ≤60 seconds for approved real-time products.</w:t>
            </w:r>
          </w:p>
        </w:tc>
        <w:tc>
          <w:tcPr>
            <w:tcW w:type="dxa" w:w="2952"/>
            <w:vAlign w:val="center"/>
            <w:tcMar>
              <w:top w:w="70" w:type="dxa"/>
              <w:start w:w="80" w:type="dxa"/>
              <w:bottom w:w="70" w:type="dxa"/>
              <w:end w:w="80" w:type="dxa"/>
            </w:tcMar>
          </w:tcPr>
          <w:p>
            <w:pPr>
              <w:spacing w:after="0"/>
            </w:pPr>
            <w:r/>
            <w:r>
              <w:rPr>
                <w:rFonts w:ascii="Arial" w:hAnsi="Arial"/>
                <w:b w:val="0"/>
                <w:sz w:val="14"/>
              </w:rPr>
              <w:t>Pub/Sub/Dataflow capacity model and end-to-end timestamps.</w:t>
            </w:r>
          </w:p>
        </w:tc>
        <w:tc>
          <w:tcPr>
            <w:tcW w:type="dxa" w:w="1800"/>
            <w:vAlign w:val="center"/>
            <w:tcMar>
              <w:top w:w="70" w:type="dxa"/>
              <w:start w:w="80" w:type="dxa"/>
              <w:bottom w:w="70" w:type="dxa"/>
              <w:end w:w="80" w:type="dxa"/>
            </w:tcMar>
          </w:tcPr>
          <w:p>
            <w:pPr>
              <w:spacing w:after="0"/>
            </w:pPr>
            <w:r/>
            <w:r>
              <w:rPr>
                <w:rFonts w:ascii="Arial" w:hAnsi="Arial"/>
                <w:b w:val="0"/>
                <w:sz w:val="14"/>
              </w:rPr>
              <w:t>Peak-load test.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NFR-PERF-002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Near-real-time freshness</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95th percentile latency ≤5 minutes.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CDC or micro-batch pattern.</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Sustained-volume test.</w:t>
            </w:r>
          </w:p>
        </w:tc>
      </w:tr>
      <w:tr>
        <w:tc>
          <w:tcPr>
            <w:tcW w:type="dxa" w:w="1224"/>
            <w:vAlign w:val="center"/>
            <w:tcMar>
              <w:top w:w="70" w:type="dxa"/>
              <w:start w:w="80" w:type="dxa"/>
              <w:bottom w:w="70" w:type="dxa"/>
              <w:end w:w="80" w:type="dxa"/>
            </w:tcMar>
          </w:tcPr>
          <w:p>
            <w:pPr>
              <w:spacing w:after="0"/>
            </w:pPr>
            <w:r/>
            <w:r>
              <w:rPr>
                <w:rFonts w:ascii="Arial" w:hAnsi="Arial"/>
                <w:b w:val="0"/>
                <w:sz w:val="14"/>
              </w:rPr>
              <w:t>NFR-PERF-003</w:t>
            </w:r>
          </w:p>
        </w:tc>
        <w:tc>
          <w:tcPr>
            <w:tcW w:type="dxa" w:w="1728"/>
            <w:vAlign w:val="center"/>
            <w:tcMar>
              <w:top w:w="70" w:type="dxa"/>
              <w:start w:w="80" w:type="dxa"/>
              <w:bottom w:w="70" w:type="dxa"/>
              <w:end w:w="80" w:type="dxa"/>
            </w:tcMar>
          </w:tcPr>
          <w:p>
            <w:pPr>
              <w:spacing w:after="0"/>
            </w:pPr>
            <w:r/>
            <w:r>
              <w:rPr>
                <w:rFonts w:ascii="Arial" w:hAnsi="Arial"/>
                <w:b w:val="0"/>
                <w:sz w:val="14"/>
              </w:rPr>
              <w:t>Batch completion</w:t>
            </w:r>
          </w:p>
        </w:tc>
        <w:tc>
          <w:tcPr>
            <w:tcW w:type="dxa" w:w="2376"/>
            <w:vAlign w:val="center"/>
            <w:tcMar>
              <w:top w:w="70" w:type="dxa"/>
              <w:start w:w="80" w:type="dxa"/>
              <w:bottom w:w="70" w:type="dxa"/>
              <w:end w:w="80" w:type="dxa"/>
            </w:tcMar>
          </w:tcPr>
          <w:p>
            <w:pPr>
              <w:spacing w:after="0"/>
            </w:pPr>
            <w:r/>
            <w:r>
              <w:rPr>
                <w:rFonts w:ascii="Arial" w:hAnsi="Arial"/>
                <w:b w:val="0"/>
                <w:sz w:val="14"/>
              </w:rPr>
              <w:t>Critical daily products complete before 06:00 local business time.</w:t>
            </w:r>
          </w:p>
        </w:tc>
        <w:tc>
          <w:tcPr>
            <w:tcW w:type="dxa" w:w="2952"/>
            <w:vAlign w:val="center"/>
            <w:tcMar>
              <w:top w:w="70" w:type="dxa"/>
              <w:start w:w="80" w:type="dxa"/>
              <w:bottom w:w="70" w:type="dxa"/>
              <w:end w:w="80" w:type="dxa"/>
            </w:tcMar>
          </w:tcPr>
          <w:p>
            <w:pPr>
              <w:spacing w:after="0"/>
            </w:pPr>
            <w:r/>
            <w:r>
              <w:rPr>
                <w:rFonts w:ascii="Arial" w:hAnsi="Arial"/>
                <w:b w:val="0"/>
                <w:sz w:val="14"/>
              </w:rPr>
              <w:t>Dependency-aware orchestration and capacity isolation.</w:t>
            </w:r>
          </w:p>
        </w:tc>
        <w:tc>
          <w:tcPr>
            <w:tcW w:type="dxa" w:w="1800"/>
            <w:vAlign w:val="center"/>
            <w:tcMar>
              <w:top w:w="70" w:type="dxa"/>
              <w:start w:w="80" w:type="dxa"/>
              <w:bottom w:w="70" w:type="dxa"/>
              <w:end w:w="80" w:type="dxa"/>
            </w:tcMar>
          </w:tcPr>
          <w:p>
            <w:pPr>
              <w:spacing w:after="0"/>
            </w:pPr>
            <w:r/>
            <w:r>
              <w:rPr>
                <w:rFonts w:ascii="Arial" w:hAnsi="Arial"/>
                <w:b w:val="0"/>
                <w:sz w:val="14"/>
              </w:rPr>
              <w:t>Three-cycle operational proof.</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NFR-PERF-004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Interactive BI</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95th percentile certified dashboard response ≤5 seconds for agreed concurrency.</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Model optimization, aggregate strategy, BI Engine where justified.</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Concurrency test.</w:t>
            </w:r>
          </w:p>
        </w:tc>
      </w:tr>
      <w:tr>
        <w:tc>
          <w:tcPr>
            <w:tcW w:type="dxa" w:w="1224"/>
            <w:vAlign w:val="center"/>
            <w:tcMar>
              <w:top w:w="70" w:type="dxa"/>
              <w:start w:w="80" w:type="dxa"/>
              <w:bottom w:w="70" w:type="dxa"/>
              <w:end w:w="80" w:type="dxa"/>
            </w:tcMar>
          </w:tcPr>
          <w:p>
            <w:pPr>
              <w:spacing w:after="0"/>
            </w:pPr>
            <w:r/>
            <w:r>
              <w:rPr>
                <w:rFonts w:ascii="Arial" w:hAnsi="Arial"/>
                <w:b w:val="0"/>
                <w:sz w:val="14"/>
              </w:rPr>
              <w:t>NFR-PERF-005</w:t>
            </w:r>
          </w:p>
        </w:tc>
        <w:tc>
          <w:tcPr>
            <w:tcW w:type="dxa" w:w="1728"/>
            <w:vAlign w:val="center"/>
            <w:tcMar>
              <w:top w:w="70" w:type="dxa"/>
              <w:start w:w="80" w:type="dxa"/>
              <w:bottom w:w="70" w:type="dxa"/>
              <w:end w:w="80" w:type="dxa"/>
            </w:tcMar>
          </w:tcPr>
          <w:p>
            <w:pPr>
              <w:spacing w:after="0"/>
            </w:pPr>
            <w:r/>
            <w:r>
              <w:rPr>
                <w:rFonts w:ascii="Arial" w:hAnsi="Arial"/>
                <w:b w:val="0"/>
                <w:sz w:val="14"/>
              </w:rPr>
              <w:t>Ad hoc analytics</w:t>
            </w:r>
          </w:p>
        </w:tc>
        <w:tc>
          <w:tcPr>
            <w:tcW w:type="dxa" w:w="2376"/>
            <w:vAlign w:val="center"/>
            <w:tcMar>
              <w:top w:w="70" w:type="dxa"/>
              <w:start w:w="80" w:type="dxa"/>
              <w:bottom w:w="70" w:type="dxa"/>
              <w:end w:w="80" w:type="dxa"/>
            </w:tcMar>
          </w:tcPr>
          <w:p>
            <w:pPr>
              <w:spacing w:after="0"/>
            </w:pPr>
            <w:r/>
            <w:r>
              <w:rPr>
                <w:rFonts w:ascii="Arial" w:hAnsi="Arial"/>
                <w:b w:val="0"/>
                <w:sz w:val="14"/>
              </w:rPr>
              <w:t>95th percentile standard governed query ≤30 seconds for documented data volume.</w:t>
            </w:r>
          </w:p>
        </w:tc>
        <w:tc>
          <w:tcPr>
            <w:tcW w:type="dxa" w:w="2952"/>
            <w:vAlign w:val="center"/>
            <w:tcMar>
              <w:top w:w="70" w:type="dxa"/>
              <w:start w:w="80" w:type="dxa"/>
              <w:bottom w:w="70" w:type="dxa"/>
              <w:end w:w="80" w:type="dxa"/>
            </w:tcMar>
          </w:tcPr>
          <w:p>
            <w:pPr>
              <w:spacing w:after="0"/>
            </w:pPr>
            <w:r/>
            <w:r>
              <w:rPr>
                <w:rFonts w:ascii="Arial" w:hAnsi="Arial"/>
                <w:b w:val="0"/>
                <w:sz w:val="14"/>
              </w:rPr>
              <w:t>Partitioning, clustering, reservation and query standards.</w:t>
            </w:r>
          </w:p>
        </w:tc>
        <w:tc>
          <w:tcPr>
            <w:tcW w:type="dxa" w:w="1800"/>
            <w:vAlign w:val="center"/>
            <w:tcMar>
              <w:top w:w="70" w:type="dxa"/>
              <w:start w:w="80" w:type="dxa"/>
              <w:bottom w:w="70" w:type="dxa"/>
              <w:end w:w="80" w:type="dxa"/>
            </w:tcMar>
          </w:tcPr>
          <w:p>
            <w:pPr>
              <w:spacing w:after="0"/>
            </w:pPr>
            <w:r/>
            <w:r>
              <w:rPr>
                <w:rFonts w:ascii="Arial" w:hAnsi="Arial"/>
                <w:b w:val="0"/>
                <w:sz w:val="14"/>
              </w:rPr>
              <w:t>Representative benchmark suite.</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pPr>
        <w:pStyle w:val="Heading2"/>
      </w:pPr>
      <w:r>
        <w:t>4.4 Scalability and Capacity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NFR-SCL-001</w:t>
            </w:r>
          </w:p>
        </w:tc>
        <w:tc>
          <w:tcPr>
            <w:tcW w:type="dxa" w:w="1728"/>
            <w:vAlign w:val="center"/>
            <w:tcMar>
              <w:top w:w="70" w:type="dxa"/>
              <w:start w:w="80" w:type="dxa"/>
              <w:bottom w:w="70" w:type="dxa"/>
              <w:end w:w="80" w:type="dxa"/>
            </w:tcMar>
          </w:tcPr>
          <w:p>
            <w:pPr>
              <w:spacing w:after="0"/>
            </w:pPr>
            <w:r/>
            <w:r>
              <w:rPr>
                <w:rFonts w:ascii="Arial" w:hAnsi="Arial"/>
                <w:b w:val="0"/>
                <w:sz w:val="14"/>
              </w:rPr>
              <w:t>Ingestion growth</w:t>
            </w:r>
          </w:p>
        </w:tc>
        <w:tc>
          <w:tcPr>
            <w:tcW w:type="dxa" w:w="2376"/>
            <w:vAlign w:val="center"/>
            <w:tcMar>
              <w:top w:w="70" w:type="dxa"/>
              <w:start w:w="80" w:type="dxa"/>
              <w:bottom w:w="70" w:type="dxa"/>
              <w:end w:w="80" w:type="dxa"/>
            </w:tcMar>
          </w:tcPr>
          <w:p>
            <w:pPr>
              <w:spacing w:after="0"/>
            </w:pPr>
            <w:r/>
            <w:r>
              <w:rPr>
                <w:rFonts w:ascii="Arial" w:hAnsi="Arial"/>
                <w:b w:val="0"/>
                <w:sz w:val="14"/>
              </w:rPr>
              <w:t>Scale from 50 TB/day baseline to 250 TB/day without architectural redesign.</w:t>
            </w:r>
          </w:p>
        </w:tc>
        <w:tc>
          <w:tcPr>
            <w:tcW w:type="dxa" w:w="2952"/>
            <w:vAlign w:val="center"/>
            <w:tcMar>
              <w:top w:w="70" w:type="dxa"/>
              <w:start w:w="80" w:type="dxa"/>
              <w:bottom w:w="70" w:type="dxa"/>
              <w:end w:w="80" w:type="dxa"/>
            </w:tcMar>
          </w:tcPr>
          <w:p>
            <w:pPr>
              <w:spacing w:after="0"/>
            </w:pPr>
            <w:r/>
            <w:r>
              <w:rPr>
                <w:rFonts w:ascii="Arial" w:hAnsi="Arial"/>
                <w:b w:val="0"/>
                <w:sz w:val="14"/>
              </w:rPr>
              <w:t>Autoscaling services, quota planning and partitioned pipelines.</w:t>
            </w:r>
          </w:p>
        </w:tc>
        <w:tc>
          <w:tcPr>
            <w:tcW w:type="dxa" w:w="1800"/>
            <w:vAlign w:val="center"/>
            <w:tcMar>
              <w:top w:w="70" w:type="dxa"/>
              <w:start w:w="80" w:type="dxa"/>
              <w:bottom w:w="70" w:type="dxa"/>
              <w:end w:w="80" w:type="dxa"/>
            </w:tcMar>
          </w:tcPr>
          <w:p>
            <w:pPr>
              <w:spacing w:after="0"/>
            </w:pPr>
            <w:r/>
            <w:r>
              <w:rPr>
                <w:rFonts w:ascii="Arial" w:hAnsi="Arial"/>
                <w:b w:val="0"/>
                <w:sz w:val="14"/>
              </w:rPr>
              <w:t>5x volume test or validated capacity model.</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NFR-SCL-002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Streaming bursts</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Absorb 3x average event rate for 30 minutes without data loss.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Pub/Sub retention, Dataflow autoscaling and backlog monitoring.</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Burst test.</w:t>
            </w:r>
          </w:p>
        </w:tc>
      </w:tr>
      <w:tr>
        <w:tc>
          <w:tcPr>
            <w:tcW w:type="dxa" w:w="1224"/>
            <w:vAlign w:val="center"/>
            <w:tcMar>
              <w:top w:w="70" w:type="dxa"/>
              <w:start w:w="80" w:type="dxa"/>
              <w:bottom w:w="70" w:type="dxa"/>
              <w:end w:w="80" w:type="dxa"/>
            </w:tcMar>
          </w:tcPr>
          <w:p>
            <w:pPr>
              <w:spacing w:after="0"/>
            </w:pPr>
            <w:r/>
            <w:r>
              <w:rPr>
                <w:rFonts w:ascii="Arial" w:hAnsi="Arial"/>
                <w:b w:val="0"/>
                <w:sz w:val="14"/>
              </w:rPr>
              <w:t>NFR-SCL-003</w:t>
            </w:r>
          </w:p>
        </w:tc>
        <w:tc>
          <w:tcPr>
            <w:tcW w:type="dxa" w:w="1728"/>
            <w:vAlign w:val="center"/>
            <w:tcMar>
              <w:top w:w="70" w:type="dxa"/>
              <w:start w:w="80" w:type="dxa"/>
              <w:bottom w:w="70" w:type="dxa"/>
              <w:end w:w="80" w:type="dxa"/>
            </w:tcMar>
          </w:tcPr>
          <w:p>
            <w:pPr>
              <w:spacing w:after="0"/>
            </w:pPr>
            <w:r/>
            <w:r>
              <w:rPr>
                <w:rFonts w:ascii="Arial" w:hAnsi="Arial"/>
                <w:b w:val="0"/>
                <w:sz w:val="14"/>
              </w:rPr>
              <w:t>User growth</w:t>
            </w:r>
          </w:p>
        </w:tc>
        <w:tc>
          <w:tcPr>
            <w:tcW w:type="dxa" w:w="2376"/>
            <w:vAlign w:val="center"/>
            <w:tcMar>
              <w:top w:w="70" w:type="dxa"/>
              <w:start w:w="80" w:type="dxa"/>
              <w:bottom w:w="70" w:type="dxa"/>
              <w:end w:w="80" w:type="dxa"/>
            </w:tcMar>
          </w:tcPr>
          <w:p>
            <w:pPr>
              <w:spacing w:after="0"/>
            </w:pPr>
            <w:r/>
            <w:r>
              <w:rPr>
                <w:rFonts w:ascii="Arial" w:hAnsi="Arial"/>
                <w:b w:val="0"/>
                <w:sz w:val="14"/>
              </w:rPr>
              <w:t>Support 10,000 analytical users and 1,000 concurrent users through workload isolation.</w:t>
            </w:r>
          </w:p>
        </w:tc>
        <w:tc>
          <w:tcPr>
            <w:tcW w:type="dxa" w:w="2952"/>
            <w:vAlign w:val="center"/>
            <w:tcMar>
              <w:top w:w="70" w:type="dxa"/>
              <w:start w:w="80" w:type="dxa"/>
              <w:bottom w:w="70" w:type="dxa"/>
              <w:end w:w="80" w:type="dxa"/>
            </w:tcMar>
          </w:tcPr>
          <w:p>
            <w:pPr>
              <w:spacing w:after="0"/>
            </w:pPr>
            <w:r/>
            <w:r>
              <w:rPr>
                <w:rFonts w:ascii="Arial" w:hAnsi="Arial"/>
                <w:b w:val="0"/>
                <w:sz w:val="14"/>
              </w:rPr>
              <w:t>Reservations, semantic caching and concurrency design.</w:t>
            </w:r>
          </w:p>
        </w:tc>
        <w:tc>
          <w:tcPr>
            <w:tcW w:type="dxa" w:w="1800"/>
            <w:vAlign w:val="center"/>
            <w:tcMar>
              <w:top w:w="70" w:type="dxa"/>
              <w:start w:w="80" w:type="dxa"/>
              <w:bottom w:w="70" w:type="dxa"/>
              <w:end w:w="80" w:type="dxa"/>
            </w:tcMar>
          </w:tcPr>
          <w:p>
            <w:pPr>
              <w:spacing w:after="0"/>
            </w:pPr>
            <w:r/>
            <w:r>
              <w:rPr>
                <w:rFonts w:ascii="Arial" w:hAnsi="Arial"/>
                <w:b w:val="0"/>
                <w:sz w:val="14"/>
              </w:rPr>
              <w:t>Load model and phased tests.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NFR-SCL-004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Domain growth</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Onboard at least 50 domains using repeatable project and product patterns.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Project factory and standardized modules.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Provisioning demonstration.</w:t>
            </w:r>
          </w:p>
        </w:tc>
      </w:tr>
      <w:tr>
        <w:tc>
          <w:tcPr>
            <w:tcW w:type="dxa" w:w="1224"/>
            <w:vAlign w:val="center"/>
            <w:tcMar>
              <w:top w:w="70" w:type="dxa"/>
              <w:start w:w="80" w:type="dxa"/>
              <w:bottom w:w="70" w:type="dxa"/>
              <w:end w:w="80" w:type="dxa"/>
            </w:tcMar>
          </w:tcPr>
          <w:p>
            <w:pPr>
              <w:spacing w:after="0"/>
            </w:pPr>
            <w:r/>
            <w:r>
              <w:rPr>
                <w:rFonts w:ascii="Arial" w:hAnsi="Arial"/>
                <w:b w:val="0"/>
                <w:sz w:val="14"/>
              </w:rPr>
              <w:t>NFR-SCL-005</w:t>
            </w:r>
          </w:p>
        </w:tc>
        <w:tc>
          <w:tcPr>
            <w:tcW w:type="dxa" w:w="1728"/>
            <w:vAlign w:val="center"/>
            <w:tcMar>
              <w:top w:w="70" w:type="dxa"/>
              <w:start w:w="80" w:type="dxa"/>
              <w:bottom w:w="70" w:type="dxa"/>
              <w:end w:w="80" w:type="dxa"/>
            </w:tcMar>
          </w:tcPr>
          <w:p>
            <w:pPr>
              <w:spacing w:after="0"/>
            </w:pPr>
            <w:r/>
            <w:r>
              <w:rPr>
                <w:rFonts w:ascii="Arial" w:hAnsi="Arial"/>
                <w:b w:val="0"/>
                <w:sz w:val="14"/>
              </w:rPr>
              <w:t>Metadata scale</w:t>
            </w:r>
          </w:p>
        </w:tc>
        <w:tc>
          <w:tcPr>
            <w:tcW w:type="dxa" w:w="2376"/>
            <w:vAlign w:val="center"/>
            <w:tcMar>
              <w:top w:w="70" w:type="dxa"/>
              <w:start w:w="80" w:type="dxa"/>
              <w:bottom w:w="70" w:type="dxa"/>
              <w:end w:w="80" w:type="dxa"/>
            </w:tcMar>
          </w:tcPr>
          <w:p>
            <w:pPr>
              <w:spacing w:after="0"/>
            </w:pPr>
            <w:r/>
            <w:r>
              <w:rPr>
                <w:rFonts w:ascii="Arial" w:hAnsi="Arial"/>
                <w:b w:val="0"/>
                <w:sz w:val="14"/>
              </w:rPr>
              <w:t>Catalog millions of assets without manual registration processes.</w:t>
            </w:r>
          </w:p>
        </w:tc>
        <w:tc>
          <w:tcPr>
            <w:tcW w:type="dxa" w:w="2952"/>
            <w:vAlign w:val="center"/>
            <w:tcMar>
              <w:top w:w="70" w:type="dxa"/>
              <w:start w:w="80" w:type="dxa"/>
              <w:bottom w:w="70" w:type="dxa"/>
              <w:end w:w="80" w:type="dxa"/>
            </w:tcMar>
          </w:tcPr>
          <w:p>
            <w:pPr>
              <w:spacing w:after="0"/>
            </w:pPr>
            <w:r/>
            <w:r>
              <w:rPr>
                <w:rFonts w:ascii="Arial" w:hAnsi="Arial"/>
                <w:b w:val="0"/>
                <w:sz w:val="14"/>
              </w:rPr>
              <w:t>Automated harvesting and metadata APIs.</w:t>
            </w:r>
          </w:p>
        </w:tc>
        <w:tc>
          <w:tcPr>
            <w:tcW w:type="dxa" w:w="1800"/>
            <w:vAlign w:val="center"/>
            <w:tcMar>
              <w:top w:w="70" w:type="dxa"/>
              <w:start w:w="80" w:type="dxa"/>
              <w:bottom w:w="70" w:type="dxa"/>
              <w:end w:w="80" w:type="dxa"/>
            </w:tcMar>
          </w:tcPr>
          <w:p>
            <w:pPr>
              <w:spacing w:after="0"/>
            </w:pPr>
            <w:r/>
            <w:r>
              <w:rPr>
                <w:rFonts w:ascii="Arial" w:hAnsi="Arial"/>
                <w:b w:val="0"/>
                <w:sz w:val="14"/>
              </w:rPr>
              <w:t>Catalog-load test and search sampling.</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r>
        <w:br w:type="page"/>
      </w:r>
    </w:p>
    <w:p>
      <w:pPr>
        <w:pStyle w:val="Heading2"/>
      </w:pPr>
      <w:r>
        <w:t>4.5 Security and Privacy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NFR-SEC-001</w:t>
            </w:r>
          </w:p>
        </w:tc>
        <w:tc>
          <w:tcPr>
            <w:tcW w:type="dxa" w:w="1728"/>
            <w:vAlign w:val="center"/>
            <w:tcMar>
              <w:top w:w="70" w:type="dxa"/>
              <w:start w:w="80" w:type="dxa"/>
              <w:bottom w:w="70" w:type="dxa"/>
              <w:end w:w="80" w:type="dxa"/>
            </w:tcMar>
          </w:tcPr>
          <w:p>
            <w:pPr>
              <w:spacing w:after="0"/>
            </w:pPr>
            <w:r/>
            <w:r>
              <w:rPr>
                <w:rFonts w:ascii="Arial" w:hAnsi="Arial"/>
                <w:b w:val="0"/>
                <w:sz w:val="14"/>
              </w:rPr>
              <w:t>Authentication</w:t>
            </w:r>
          </w:p>
        </w:tc>
        <w:tc>
          <w:tcPr>
            <w:tcW w:type="dxa" w:w="2376"/>
            <w:vAlign w:val="center"/>
            <w:tcMar>
              <w:top w:w="70" w:type="dxa"/>
              <w:start w:w="80" w:type="dxa"/>
              <w:bottom w:w="70" w:type="dxa"/>
              <w:end w:w="80" w:type="dxa"/>
            </w:tcMar>
          </w:tcPr>
          <w:p>
            <w:pPr>
              <w:spacing w:after="0"/>
            </w:pPr>
            <w:r/>
            <w:r>
              <w:rPr>
                <w:rFonts w:ascii="Arial" w:hAnsi="Arial"/>
                <w:b w:val="0"/>
                <w:sz w:val="14"/>
              </w:rPr>
              <w:t>All human access uses federated identity and phishing-resistant MFA where required.</w:t>
            </w:r>
          </w:p>
        </w:tc>
        <w:tc>
          <w:tcPr>
            <w:tcW w:type="dxa" w:w="2952"/>
            <w:vAlign w:val="center"/>
            <w:tcMar>
              <w:top w:w="70" w:type="dxa"/>
              <w:start w:w="80" w:type="dxa"/>
              <w:bottom w:w="70" w:type="dxa"/>
              <w:end w:w="80" w:type="dxa"/>
            </w:tcMar>
          </w:tcPr>
          <w:p>
            <w:pPr>
              <w:spacing w:after="0"/>
            </w:pPr>
            <w:r/>
            <w:r>
              <w:rPr>
                <w:rFonts w:ascii="Arial" w:hAnsi="Arial"/>
                <w:b w:val="0"/>
                <w:sz w:val="14"/>
              </w:rPr>
              <w:t>Identity federation and conditional access.</w:t>
            </w:r>
          </w:p>
        </w:tc>
        <w:tc>
          <w:tcPr>
            <w:tcW w:type="dxa" w:w="1800"/>
            <w:vAlign w:val="center"/>
            <w:tcMar>
              <w:top w:w="70" w:type="dxa"/>
              <w:start w:w="80" w:type="dxa"/>
              <w:bottom w:w="70" w:type="dxa"/>
              <w:end w:w="80" w:type="dxa"/>
            </w:tcMar>
          </w:tcPr>
          <w:p>
            <w:pPr>
              <w:spacing w:after="0"/>
            </w:pPr>
            <w:r/>
            <w:r>
              <w:rPr>
                <w:rFonts w:ascii="Arial" w:hAnsi="Arial"/>
                <w:b w:val="0"/>
                <w:sz w:val="14"/>
              </w:rPr>
              <w:t>Access-control test.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NFR-SEC-002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Privilege</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No standing owner/editor access in production; privileged roles are time-bound.</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PAM/JIT, group controls and denial policies.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Quarterly entitlement review.</w:t>
            </w:r>
          </w:p>
        </w:tc>
      </w:tr>
      <w:tr>
        <w:tc>
          <w:tcPr>
            <w:tcW w:type="dxa" w:w="1224"/>
            <w:vAlign w:val="center"/>
            <w:tcMar>
              <w:top w:w="70" w:type="dxa"/>
              <w:start w:w="80" w:type="dxa"/>
              <w:bottom w:w="70" w:type="dxa"/>
              <w:end w:w="80" w:type="dxa"/>
            </w:tcMar>
          </w:tcPr>
          <w:p>
            <w:pPr>
              <w:spacing w:after="0"/>
            </w:pPr>
            <w:r/>
            <w:r>
              <w:rPr>
                <w:rFonts w:ascii="Arial" w:hAnsi="Arial"/>
                <w:b w:val="0"/>
                <w:sz w:val="14"/>
              </w:rPr>
              <w:t>NFR-SEC-003</w:t>
            </w:r>
          </w:p>
        </w:tc>
        <w:tc>
          <w:tcPr>
            <w:tcW w:type="dxa" w:w="1728"/>
            <w:vAlign w:val="center"/>
            <w:tcMar>
              <w:top w:w="70" w:type="dxa"/>
              <w:start w:w="80" w:type="dxa"/>
              <w:bottom w:w="70" w:type="dxa"/>
              <w:end w:w="80" w:type="dxa"/>
            </w:tcMar>
          </w:tcPr>
          <w:p>
            <w:pPr>
              <w:spacing w:after="0"/>
            </w:pPr>
            <w:r/>
            <w:r>
              <w:rPr>
                <w:rFonts w:ascii="Arial" w:hAnsi="Arial"/>
                <w:b w:val="0"/>
                <w:sz w:val="14"/>
              </w:rPr>
              <w:t>Credential hygiene</w:t>
            </w:r>
          </w:p>
        </w:tc>
        <w:tc>
          <w:tcPr>
            <w:tcW w:type="dxa" w:w="2376"/>
            <w:vAlign w:val="center"/>
            <w:tcMar>
              <w:top w:w="70" w:type="dxa"/>
              <w:start w:w="80" w:type="dxa"/>
              <w:bottom w:w="70" w:type="dxa"/>
              <w:end w:w="80" w:type="dxa"/>
            </w:tcMar>
          </w:tcPr>
          <w:p>
            <w:pPr>
              <w:spacing w:after="0"/>
            </w:pPr>
            <w:r/>
            <w:r>
              <w:rPr>
                <w:rFonts w:ascii="Arial" w:hAnsi="Arial"/>
                <w:b w:val="0"/>
                <w:sz w:val="14"/>
              </w:rPr>
              <w:t>No user-managed service-account keys for production workloads.</w:t>
            </w:r>
          </w:p>
        </w:tc>
        <w:tc>
          <w:tcPr>
            <w:tcW w:type="dxa" w:w="2952"/>
            <w:vAlign w:val="center"/>
            <w:tcMar>
              <w:top w:w="70" w:type="dxa"/>
              <w:start w:w="80" w:type="dxa"/>
              <w:bottom w:w="70" w:type="dxa"/>
              <w:end w:w="80" w:type="dxa"/>
            </w:tcMar>
          </w:tcPr>
          <w:p>
            <w:pPr>
              <w:spacing w:after="0"/>
            </w:pPr>
            <w:r/>
            <w:r>
              <w:rPr>
                <w:rFonts w:ascii="Arial" w:hAnsi="Arial"/>
                <w:b w:val="0"/>
                <w:sz w:val="14"/>
              </w:rPr>
              <w:t>Workload Identity Federation and impersonation.</w:t>
            </w:r>
          </w:p>
        </w:tc>
        <w:tc>
          <w:tcPr>
            <w:tcW w:type="dxa" w:w="1800"/>
            <w:vAlign w:val="center"/>
            <w:tcMar>
              <w:top w:w="70" w:type="dxa"/>
              <w:start w:w="80" w:type="dxa"/>
              <w:bottom w:w="70" w:type="dxa"/>
              <w:end w:w="80" w:type="dxa"/>
            </w:tcMar>
          </w:tcPr>
          <w:p>
            <w:pPr>
              <w:spacing w:after="0"/>
            </w:pPr>
            <w:r/>
            <w:r>
              <w:rPr>
                <w:rFonts w:ascii="Arial" w:hAnsi="Arial"/>
                <w:b w:val="0"/>
                <w:sz w:val="14"/>
              </w:rPr>
              <w:t>Continuous key scan.</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NFR-SEC-004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Sensitive data</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Restricted data is classified, protected, logged and excluded from unauthorized lower environments.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Sensitive Data Protection, policy tags, masking and perimeter controls.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Positive and negative persona tests.</w:t>
            </w:r>
          </w:p>
        </w:tc>
      </w:tr>
      <w:tr>
        <w:tc>
          <w:tcPr>
            <w:tcW w:type="dxa" w:w="1224"/>
            <w:vAlign w:val="center"/>
            <w:tcMar>
              <w:top w:w="70" w:type="dxa"/>
              <w:start w:w="80" w:type="dxa"/>
              <w:bottom w:w="70" w:type="dxa"/>
              <w:end w:w="80" w:type="dxa"/>
            </w:tcMar>
          </w:tcPr>
          <w:p>
            <w:pPr>
              <w:spacing w:after="0"/>
            </w:pPr>
            <w:r/>
            <w:r>
              <w:rPr>
                <w:rFonts w:ascii="Arial" w:hAnsi="Arial"/>
                <w:b w:val="0"/>
                <w:sz w:val="14"/>
              </w:rPr>
              <w:t>NFR-SEC-005</w:t>
            </w:r>
          </w:p>
        </w:tc>
        <w:tc>
          <w:tcPr>
            <w:tcW w:type="dxa" w:w="1728"/>
            <w:vAlign w:val="center"/>
            <w:tcMar>
              <w:top w:w="70" w:type="dxa"/>
              <w:start w:w="80" w:type="dxa"/>
              <w:bottom w:w="70" w:type="dxa"/>
              <w:end w:w="80" w:type="dxa"/>
            </w:tcMar>
          </w:tcPr>
          <w:p>
            <w:pPr>
              <w:spacing w:after="0"/>
            </w:pPr>
            <w:r/>
            <w:r>
              <w:rPr>
                <w:rFonts w:ascii="Arial" w:hAnsi="Arial"/>
                <w:b w:val="0"/>
                <w:sz w:val="14"/>
              </w:rPr>
              <w:t>Detection</w:t>
            </w:r>
          </w:p>
        </w:tc>
        <w:tc>
          <w:tcPr>
            <w:tcW w:type="dxa" w:w="2376"/>
            <w:vAlign w:val="center"/>
            <w:tcMar>
              <w:top w:w="70" w:type="dxa"/>
              <w:start w:w="80" w:type="dxa"/>
              <w:bottom w:w="70" w:type="dxa"/>
              <w:end w:w="80" w:type="dxa"/>
            </w:tcMar>
          </w:tcPr>
          <w:p>
            <w:pPr>
              <w:spacing w:after="0"/>
            </w:pPr>
            <w:r/>
            <w:r>
              <w:rPr>
                <w:rFonts w:ascii="Arial" w:hAnsi="Arial"/>
                <w:b w:val="0"/>
                <w:sz w:val="14"/>
              </w:rPr>
              <w:t>Critical security events are delivered to SOC tooling within five minutes.</w:t>
            </w:r>
          </w:p>
        </w:tc>
        <w:tc>
          <w:tcPr>
            <w:tcW w:type="dxa" w:w="2952"/>
            <w:vAlign w:val="center"/>
            <w:tcMar>
              <w:top w:w="70" w:type="dxa"/>
              <w:start w:w="80" w:type="dxa"/>
              <w:bottom w:w="70" w:type="dxa"/>
              <w:end w:w="80" w:type="dxa"/>
            </w:tcMar>
          </w:tcPr>
          <w:p>
            <w:pPr>
              <w:spacing w:after="0"/>
            </w:pPr>
            <w:r/>
            <w:r>
              <w:rPr>
                <w:rFonts w:ascii="Arial" w:hAnsi="Arial"/>
                <w:b w:val="0"/>
                <w:sz w:val="14"/>
              </w:rPr>
              <w:t>Central sinks and event routing.</w:t>
            </w:r>
          </w:p>
        </w:tc>
        <w:tc>
          <w:tcPr>
            <w:tcW w:type="dxa" w:w="1800"/>
            <w:vAlign w:val="center"/>
            <w:tcMar>
              <w:top w:w="70" w:type="dxa"/>
              <w:start w:w="80" w:type="dxa"/>
              <w:bottom w:w="70" w:type="dxa"/>
              <w:end w:w="80" w:type="dxa"/>
            </w:tcMar>
          </w:tcPr>
          <w:p>
            <w:pPr>
              <w:spacing w:after="0"/>
            </w:pPr>
            <w:r/>
            <w:r>
              <w:rPr>
                <w:rFonts w:ascii="Arial" w:hAnsi="Arial"/>
                <w:b w:val="0"/>
                <w:sz w:val="14"/>
              </w:rPr>
              <w:t>Detection pipeline test.</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pPr>
        <w:pStyle w:val="Heading2"/>
      </w:pPr>
      <w:r>
        <w:t>4.6 Data Quality and Trust</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NFR-DQ-001</w:t>
            </w:r>
          </w:p>
        </w:tc>
        <w:tc>
          <w:tcPr>
            <w:tcW w:type="dxa" w:w="1728"/>
            <w:vAlign w:val="center"/>
            <w:tcMar>
              <w:top w:w="70" w:type="dxa"/>
              <w:start w:w="80" w:type="dxa"/>
              <w:bottom w:w="70" w:type="dxa"/>
              <w:end w:w="80" w:type="dxa"/>
            </w:tcMar>
          </w:tcPr>
          <w:p>
            <w:pPr>
              <w:spacing w:after="0"/>
            </w:pPr>
            <w:r/>
            <w:r>
              <w:rPr>
                <w:rFonts w:ascii="Arial" w:hAnsi="Arial"/>
                <w:b w:val="0"/>
                <w:sz w:val="14"/>
              </w:rPr>
              <w:t>Completeness</w:t>
            </w:r>
          </w:p>
        </w:tc>
        <w:tc>
          <w:tcPr>
            <w:tcW w:type="dxa" w:w="2376"/>
            <w:vAlign w:val="center"/>
            <w:tcMar>
              <w:top w:w="70" w:type="dxa"/>
              <w:start w:w="80" w:type="dxa"/>
              <w:bottom w:w="70" w:type="dxa"/>
              <w:end w:w="80" w:type="dxa"/>
            </w:tcMar>
          </w:tcPr>
          <w:p>
            <w:pPr>
              <w:spacing w:after="0"/>
            </w:pPr>
            <w:r/>
            <w:r>
              <w:rPr>
                <w:rFonts w:ascii="Arial" w:hAnsi="Arial"/>
                <w:b w:val="0"/>
                <w:sz w:val="14"/>
              </w:rPr>
              <w:t>Critical key fields meet ≥99.5% completeness unless product contract states otherwise.</w:t>
            </w:r>
          </w:p>
        </w:tc>
        <w:tc>
          <w:tcPr>
            <w:tcW w:type="dxa" w:w="2952"/>
            <w:vAlign w:val="center"/>
            <w:tcMar>
              <w:top w:w="70" w:type="dxa"/>
              <w:start w:w="80" w:type="dxa"/>
              <w:bottom w:w="70" w:type="dxa"/>
              <w:end w:w="80" w:type="dxa"/>
            </w:tcMar>
          </w:tcPr>
          <w:p>
            <w:pPr>
              <w:spacing w:after="0"/>
            </w:pPr>
            <w:r/>
            <w:r>
              <w:rPr>
                <w:rFonts w:ascii="Arial" w:hAnsi="Arial"/>
                <w:b w:val="0"/>
                <w:sz w:val="14"/>
              </w:rPr>
              <w:t>Automated rules and publishing gate.</w:t>
            </w:r>
          </w:p>
        </w:tc>
        <w:tc>
          <w:tcPr>
            <w:tcW w:type="dxa" w:w="1800"/>
            <w:vAlign w:val="center"/>
            <w:tcMar>
              <w:top w:w="70" w:type="dxa"/>
              <w:start w:w="80" w:type="dxa"/>
              <w:bottom w:w="70" w:type="dxa"/>
              <w:end w:w="80" w:type="dxa"/>
            </w:tcMar>
          </w:tcPr>
          <w:p>
            <w:pPr>
              <w:spacing w:after="0"/>
            </w:pPr>
            <w:r/>
            <w:r>
              <w:rPr>
                <w:rFonts w:ascii="Arial" w:hAnsi="Arial"/>
                <w:b w:val="0"/>
                <w:sz w:val="14"/>
              </w:rPr>
              <w:t>Three-cycle scorecard.</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NFR-DQ-002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Validity</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Critical conforming fields meet ≥99.5% rule validity.</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Reference and pattern validation.</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Quality report.</w:t>
            </w:r>
          </w:p>
        </w:tc>
      </w:tr>
      <w:tr>
        <w:tc>
          <w:tcPr>
            <w:tcW w:type="dxa" w:w="1224"/>
            <w:vAlign w:val="center"/>
            <w:tcMar>
              <w:top w:w="70" w:type="dxa"/>
              <w:start w:w="80" w:type="dxa"/>
              <w:bottom w:w="70" w:type="dxa"/>
              <w:end w:w="80" w:type="dxa"/>
            </w:tcMar>
          </w:tcPr>
          <w:p>
            <w:pPr>
              <w:spacing w:after="0"/>
            </w:pPr>
            <w:r/>
            <w:r>
              <w:rPr>
                <w:rFonts w:ascii="Arial" w:hAnsi="Arial"/>
                <w:b w:val="0"/>
                <w:sz w:val="14"/>
              </w:rPr>
              <w:t>NFR-DQ-003</w:t>
            </w:r>
          </w:p>
        </w:tc>
        <w:tc>
          <w:tcPr>
            <w:tcW w:type="dxa" w:w="1728"/>
            <w:vAlign w:val="center"/>
            <w:tcMar>
              <w:top w:w="70" w:type="dxa"/>
              <w:start w:w="80" w:type="dxa"/>
              <w:bottom w:w="70" w:type="dxa"/>
              <w:end w:w="80" w:type="dxa"/>
            </w:tcMar>
          </w:tcPr>
          <w:p>
            <w:pPr>
              <w:spacing w:after="0"/>
            </w:pPr>
            <w:r/>
            <w:r>
              <w:rPr>
                <w:rFonts w:ascii="Arial" w:hAnsi="Arial"/>
                <w:b w:val="0"/>
                <w:sz w:val="14"/>
              </w:rPr>
              <w:t>Freshness</w:t>
            </w:r>
          </w:p>
        </w:tc>
        <w:tc>
          <w:tcPr>
            <w:tcW w:type="dxa" w:w="2376"/>
            <w:vAlign w:val="center"/>
            <w:tcMar>
              <w:top w:w="70" w:type="dxa"/>
              <w:start w:w="80" w:type="dxa"/>
              <w:bottom w:w="70" w:type="dxa"/>
              <w:end w:w="80" w:type="dxa"/>
            </w:tcMar>
          </w:tcPr>
          <w:p>
            <w:pPr>
              <w:spacing w:after="0"/>
            </w:pPr>
            <w:r/>
            <w:r>
              <w:rPr>
                <w:rFonts w:ascii="Arial" w:hAnsi="Arial"/>
                <w:b w:val="0"/>
                <w:sz w:val="14"/>
              </w:rPr>
              <w:t>≥99% of Tier 0/1 products meet their freshness SLO each month.</w:t>
            </w:r>
          </w:p>
        </w:tc>
        <w:tc>
          <w:tcPr>
            <w:tcW w:type="dxa" w:w="2952"/>
            <w:vAlign w:val="center"/>
            <w:tcMar>
              <w:top w:w="70" w:type="dxa"/>
              <w:start w:w="80" w:type="dxa"/>
              <w:bottom w:w="70" w:type="dxa"/>
              <w:end w:w="80" w:type="dxa"/>
            </w:tcMar>
          </w:tcPr>
          <w:p>
            <w:pPr>
              <w:spacing w:after="0"/>
            </w:pPr>
            <w:r/>
            <w:r>
              <w:rPr>
                <w:rFonts w:ascii="Arial" w:hAnsi="Arial"/>
                <w:b w:val="0"/>
                <w:sz w:val="14"/>
              </w:rPr>
              <w:t>End-to-end timestamps and alerting.</w:t>
            </w:r>
          </w:p>
        </w:tc>
        <w:tc>
          <w:tcPr>
            <w:tcW w:type="dxa" w:w="1800"/>
            <w:vAlign w:val="center"/>
            <w:tcMar>
              <w:top w:w="70" w:type="dxa"/>
              <w:start w:w="80" w:type="dxa"/>
              <w:bottom w:w="70" w:type="dxa"/>
              <w:end w:w="80" w:type="dxa"/>
            </w:tcMar>
          </w:tcPr>
          <w:p>
            <w:pPr>
              <w:spacing w:after="0"/>
            </w:pPr>
            <w:r/>
            <w:r>
              <w:rPr>
                <w:rFonts w:ascii="Arial" w:hAnsi="Arial"/>
                <w:b w:val="0"/>
                <w:sz w:val="14"/>
              </w:rPr>
              <w:t>Monthly SLO report.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NFR-DQ-004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Reconciliation</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Financial/regulatory products reconcile to source control totals at 100% or approved tolerance.</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Control-total framework and exception workflow.</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Signed reconciliation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NFR-DQ-005</w:t>
            </w:r>
          </w:p>
        </w:tc>
        <w:tc>
          <w:tcPr>
            <w:tcW w:type="dxa" w:w="1728"/>
            <w:vAlign w:val="center"/>
            <w:tcMar>
              <w:top w:w="70" w:type="dxa"/>
              <w:start w:w="80" w:type="dxa"/>
              <w:bottom w:w="70" w:type="dxa"/>
              <w:end w:w="80" w:type="dxa"/>
            </w:tcMar>
          </w:tcPr>
          <w:p>
            <w:pPr>
              <w:spacing w:after="0"/>
            </w:pPr>
            <w:r/>
            <w:r>
              <w:rPr>
                <w:rFonts w:ascii="Arial" w:hAnsi="Arial"/>
                <w:b w:val="0"/>
                <w:sz w:val="14"/>
              </w:rPr>
              <w:t>Lineage</w:t>
            </w:r>
          </w:p>
        </w:tc>
        <w:tc>
          <w:tcPr>
            <w:tcW w:type="dxa" w:w="2376"/>
            <w:vAlign w:val="center"/>
            <w:tcMar>
              <w:top w:w="70" w:type="dxa"/>
              <w:start w:w="80" w:type="dxa"/>
              <w:bottom w:w="70" w:type="dxa"/>
              <w:end w:w="80" w:type="dxa"/>
            </w:tcMar>
          </w:tcPr>
          <w:p>
            <w:pPr>
              <w:spacing w:after="0"/>
            </w:pPr>
            <w:r/>
            <w:r>
              <w:rPr>
                <w:rFonts w:ascii="Arial" w:hAnsi="Arial"/>
                <w:b w:val="0"/>
                <w:sz w:val="14"/>
              </w:rPr>
              <w:t>100% of critical products expose source-to-consumer lineage at the documented transformation boundary.</w:t>
            </w:r>
          </w:p>
        </w:tc>
        <w:tc>
          <w:tcPr>
            <w:tcW w:type="dxa" w:w="2952"/>
            <w:vAlign w:val="center"/>
            <w:tcMar>
              <w:top w:w="70" w:type="dxa"/>
              <w:start w:w="80" w:type="dxa"/>
              <w:bottom w:w="70" w:type="dxa"/>
              <w:end w:w="80" w:type="dxa"/>
            </w:tcMar>
          </w:tcPr>
          <w:p>
            <w:pPr>
              <w:spacing w:after="0"/>
            </w:pPr>
            <w:r/>
            <w:r>
              <w:rPr>
                <w:rFonts w:ascii="Arial" w:hAnsi="Arial"/>
                <w:b w:val="0"/>
                <w:sz w:val="14"/>
              </w:rPr>
              <w:t>Automated and registered lineage.</w:t>
            </w:r>
          </w:p>
        </w:tc>
        <w:tc>
          <w:tcPr>
            <w:tcW w:type="dxa" w:w="1800"/>
            <w:vAlign w:val="center"/>
            <w:tcMar>
              <w:top w:w="70" w:type="dxa"/>
              <w:start w:w="80" w:type="dxa"/>
              <w:bottom w:w="70" w:type="dxa"/>
              <w:end w:w="80" w:type="dxa"/>
            </w:tcMar>
          </w:tcPr>
          <w:p>
            <w:pPr>
              <w:spacing w:after="0"/>
            </w:pPr>
            <w:r/>
            <w:r>
              <w:rPr>
                <w:rFonts w:ascii="Arial" w:hAnsi="Arial"/>
                <w:b w:val="0"/>
                <w:sz w:val="14"/>
              </w:rPr>
              <w:t>Lineage audit.</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r>
        <w:br w:type="page"/>
      </w:r>
    </w:p>
    <w:p>
      <w:pPr>
        <w:pStyle w:val="Heading2"/>
      </w:pPr>
      <w:r>
        <w:t>4.7 Operability and Observability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NFR-OPS-001</w:t>
            </w:r>
          </w:p>
        </w:tc>
        <w:tc>
          <w:tcPr>
            <w:tcW w:type="dxa" w:w="1728"/>
            <w:vAlign w:val="center"/>
            <w:tcMar>
              <w:top w:w="70" w:type="dxa"/>
              <w:start w:w="80" w:type="dxa"/>
              <w:bottom w:w="70" w:type="dxa"/>
              <w:end w:w="80" w:type="dxa"/>
            </w:tcMar>
          </w:tcPr>
          <w:p>
            <w:pPr>
              <w:spacing w:after="0"/>
            </w:pPr>
            <w:r/>
            <w:r>
              <w:rPr>
                <w:rFonts w:ascii="Arial" w:hAnsi="Arial"/>
                <w:b w:val="0"/>
                <w:sz w:val="14"/>
              </w:rPr>
              <w:t>Telemetry</w:t>
            </w:r>
          </w:p>
        </w:tc>
        <w:tc>
          <w:tcPr>
            <w:tcW w:type="dxa" w:w="2376"/>
            <w:vAlign w:val="center"/>
            <w:tcMar>
              <w:top w:w="70" w:type="dxa"/>
              <w:start w:w="80" w:type="dxa"/>
              <w:bottom w:w="70" w:type="dxa"/>
              <w:end w:w="80" w:type="dxa"/>
            </w:tcMar>
          </w:tcPr>
          <w:p>
            <w:pPr>
              <w:spacing w:after="0"/>
            </w:pPr>
            <w:r/>
            <w:r>
              <w:rPr>
                <w:rFonts w:ascii="Arial" w:hAnsi="Arial"/>
                <w:b w:val="0"/>
                <w:sz w:val="14"/>
              </w:rPr>
              <w:t>Every production service emits logs, metrics and ownership metadata.</w:t>
            </w:r>
          </w:p>
        </w:tc>
        <w:tc>
          <w:tcPr>
            <w:tcW w:type="dxa" w:w="2952"/>
            <w:vAlign w:val="center"/>
            <w:tcMar>
              <w:top w:w="70" w:type="dxa"/>
              <w:start w:w="80" w:type="dxa"/>
              <w:bottom w:w="70" w:type="dxa"/>
              <w:end w:w="80" w:type="dxa"/>
            </w:tcMar>
          </w:tcPr>
          <w:p>
            <w:pPr>
              <w:spacing w:after="0"/>
            </w:pPr>
            <w:r/>
            <w:r>
              <w:rPr>
                <w:rFonts w:ascii="Arial" w:hAnsi="Arial"/>
                <w:b w:val="0"/>
                <w:sz w:val="14"/>
              </w:rPr>
              <w:t>Standard modules and observability library.</w:t>
            </w:r>
          </w:p>
        </w:tc>
        <w:tc>
          <w:tcPr>
            <w:tcW w:type="dxa" w:w="1800"/>
            <w:vAlign w:val="center"/>
            <w:tcMar>
              <w:top w:w="70" w:type="dxa"/>
              <w:start w:w="80" w:type="dxa"/>
              <w:bottom w:w="70" w:type="dxa"/>
              <w:end w:w="80" w:type="dxa"/>
            </w:tcMar>
          </w:tcPr>
          <w:p>
            <w:pPr>
              <w:spacing w:after="0"/>
            </w:pPr>
            <w:r/>
            <w:r>
              <w:rPr>
                <w:rFonts w:ascii="Arial" w:hAnsi="Arial"/>
                <w:b w:val="0"/>
                <w:sz w:val="14"/>
              </w:rPr>
              <w:t>Production-readiness review.</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NFR-OPS-002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Alert quality</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Alerts are actionable, severity-mapped and linked to runbooks.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Alert standards and SLO-based paging.</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Alert review and drill.</w:t>
            </w:r>
          </w:p>
        </w:tc>
      </w:tr>
      <w:tr>
        <w:tc>
          <w:tcPr>
            <w:tcW w:type="dxa" w:w="1224"/>
            <w:vAlign w:val="center"/>
            <w:tcMar>
              <w:top w:w="70" w:type="dxa"/>
              <w:start w:w="80" w:type="dxa"/>
              <w:bottom w:w="70" w:type="dxa"/>
              <w:end w:w="80" w:type="dxa"/>
            </w:tcMar>
          </w:tcPr>
          <w:p>
            <w:pPr>
              <w:spacing w:after="0"/>
            </w:pPr>
            <w:r/>
            <w:r>
              <w:rPr>
                <w:rFonts w:ascii="Arial" w:hAnsi="Arial"/>
                <w:b w:val="0"/>
                <w:sz w:val="14"/>
              </w:rPr>
              <w:t>NFR-OPS-003</w:t>
            </w:r>
          </w:p>
        </w:tc>
        <w:tc>
          <w:tcPr>
            <w:tcW w:type="dxa" w:w="1728"/>
            <w:vAlign w:val="center"/>
            <w:tcMar>
              <w:top w:w="70" w:type="dxa"/>
              <w:start w:w="80" w:type="dxa"/>
              <w:bottom w:w="70" w:type="dxa"/>
              <w:end w:w="80" w:type="dxa"/>
            </w:tcMar>
          </w:tcPr>
          <w:p>
            <w:pPr>
              <w:spacing w:after="0"/>
            </w:pPr>
            <w:r/>
            <w:r>
              <w:rPr>
                <w:rFonts w:ascii="Arial" w:hAnsi="Arial"/>
                <w:b w:val="0"/>
                <w:sz w:val="14"/>
              </w:rPr>
              <w:t>Incident response</w:t>
            </w:r>
          </w:p>
        </w:tc>
        <w:tc>
          <w:tcPr>
            <w:tcW w:type="dxa" w:w="2376"/>
            <w:vAlign w:val="center"/>
            <w:tcMar>
              <w:top w:w="70" w:type="dxa"/>
              <w:start w:w="80" w:type="dxa"/>
              <w:bottom w:w="70" w:type="dxa"/>
              <w:end w:w="80" w:type="dxa"/>
            </w:tcMar>
          </w:tcPr>
          <w:p>
            <w:pPr>
              <w:spacing w:after="0"/>
            </w:pPr>
            <w:r/>
            <w:r>
              <w:rPr>
                <w:rFonts w:ascii="Arial" w:hAnsi="Arial"/>
                <w:b w:val="0"/>
                <w:sz w:val="14"/>
              </w:rPr>
              <w:t>Tier 0 incidents acknowledged within five minutes and assigned an incident commander.</w:t>
            </w:r>
          </w:p>
        </w:tc>
        <w:tc>
          <w:tcPr>
            <w:tcW w:type="dxa" w:w="2952"/>
            <w:vAlign w:val="center"/>
            <w:tcMar>
              <w:top w:w="70" w:type="dxa"/>
              <w:start w:w="80" w:type="dxa"/>
              <w:bottom w:w="70" w:type="dxa"/>
              <w:end w:w="80" w:type="dxa"/>
            </w:tcMar>
          </w:tcPr>
          <w:p>
            <w:pPr>
              <w:spacing w:after="0"/>
            </w:pPr>
            <w:r/>
            <w:r>
              <w:rPr>
                <w:rFonts w:ascii="Arial" w:hAnsi="Arial"/>
                <w:b w:val="0"/>
                <w:sz w:val="14"/>
              </w:rPr>
              <w:t>On-call model and incident tooling integration.</w:t>
            </w:r>
          </w:p>
        </w:tc>
        <w:tc>
          <w:tcPr>
            <w:tcW w:type="dxa" w:w="1800"/>
            <w:vAlign w:val="center"/>
            <w:tcMar>
              <w:top w:w="70" w:type="dxa"/>
              <w:start w:w="80" w:type="dxa"/>
              <w:bottom w:w="70" w:type="dxa"/>
              <w:end w:w="80" w:type="dxa"/>
            </w:tcMar>
          </w:tcPr>
          <w:p>
            <w:pPr>
              <w:spacing w:after="0"/>
            </w:pPr>
            <w:r/>
            <w:r>
              <w:rPr>
                <w:rFonts w:ascii="Arial" w:hAnsi="Arial"/>
                <w:b w:val="0"/>
                <w:sz w:val="14"/>
              </w:rPr>
              <w:t>Incident exercise.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NFR-OPS-004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Change traceability</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Every production change maps to source commit, build, approver and deployment record.</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CI/CD provenance and audit logs.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Release sample.</w:t>
            </w:r>
          </w:p>
        </w:tc>
      </w:tr>
      <w:tr>
        <w:tc>
          <w:tcPr>
            <w:tcW w:type="dxa" w:w="1224"/>
            <w:vAlign w:val="center"/>
            <w:tcMar>
              <w:top w:w="70" w:type="dxa"/>
              <w:start w:w="80" w:type="dxa"/>
              <w:bottom w:w="70" w:type="dxa"/>
              <w:end w:w="80" w:type="dxa"/>
            </w:tcMar>
          </w:tcPr>
          <w:p>
            <w:pPr>
              <w:spacing w:after="0"/>
            </w:pPr>
            <w:r/>
            <w:r>
              <w:rPr>
                <w:rFonts w:ascii="Arial" w:hAnsi="Arial"/>
                <w:b w:val="0"/>
                <w:sz w:val="14"/>
              </w:rPr>
              <w:t>NFR-OPS-005</w:t>
            </w:r>
          </w:p>
        </w:tc>
        <w:tc>
          <w:tcPr>
            <w:tcW w:type="dxa" w:w="1728"/>
            <w:vAlign w:val="center"/>
            <w:tcMar>
              <w:top w:w="70" w:type="dxa"/>
              <w:start w:w="80" w:type="dxa"/>
              <w:bottom w:w="70" w:type="dxa"/>
              <w:end w:w="80" w:type="dxa"/>
            </w:tcMar>
          </w:tcPr>
          <w:p>
            <w:pPr>
              <w:spacing w:after="0"/>
            </w:pPr>
            <w:r/>
            <w:r>
              <w:rPr>
                <w:rFonts w:ascii="Arial" w:hAnsi="Arial"/>
                <w:b w:val="0"/>
                <w:sz w:val="14"/>
              </w:rPr>
              <w:t>Operational readiness</w:t>
            </w:r>
          </w:p>
        </w:tc>
        <w:tc>
          <w:tcPr>
            <w:tcW w:type="dxa" w:w="2376"/>
            <w:vAlign w:val="center"/>
            <w:tcMar>
              <w:top w:w="70" w:type="dxa"/>
              <w:start w:w="80" w:type="dxa"/>
              <w:bottom w:w="70" w:type="dxa"/>
              <w:end w:w="80" w:type="dxa"/>
            </w:tcMar>
          </w:tcPr>
          <w:p>
            <w:pPr>
              <w:spacing w:after="0"/>
            </w:pPr>
            <w:r/>
            <w:r>
              <w:rPr>
                <w:rFonts w:ascii="Arial" w:hAnsi="Arial"/>
                <w:b w:val="0"/>
                <w:sz w:val="14"/>
              </w:rPr>
              <w:t>No Tier 0/1 product goes live without ownership, SLO, dashboard, alerts, runbook and recovery test.</w:t>
            </w:r>
          </w:p>
        </w:tc>
        <w:tc>
          <w:tcPr>
            <w:tcW w:type="dxa" w:w="2952"/>
            <w:vAlign w:val="center"/>
            <w:tcMar>
              <w:top w:w="70" w:type="dxa"/>
              <w:start w:w="80" w:type="dxa"/>
              <w:bottom w:w="70" w:type="dxa"/>
              <w:end w:w="80" w:type="dxa"/>
            </w:tcMar>
          </w:tcPr>
          <w:p>
            <w:pPr>
              <w:spacing w:after="0"/>
            </w:pPr>
            <w:r/>
            <w:r>
              <w:rPr>
                <w:rFonts w:ascii="Arial" w:hAnsi="Arial"/>
                <w:b w:val="0"/>
                <w:sz w:val="14"/>
              </w:rPr>
              <w:t>Mandatory readiness gate.</w:t>
            </w:r>
          </w:p>
        </w:tc>
        <w:tc>
          <w:tcPr>
            <w:tcW w:type="dxa" w:w="1800"/>
            <w:vAlign w:val="center"/>
            <w:tcMar>
              <w:top w:w="70" w:type="dxa"/>
              <w:start w:w="80" w:type="dxa"/>
              <w:bottom w:w="70" w:type="dxa"/>
              <w:end w:w="80" w:type="dxa"/>
            </w:tcMar>
          </w:tcPr>
          <w:p>
            <w:pPr>
              <w:spacing w:after="0"/>
            </w:pPr>
            <w:r/>
            <w:r>
              <w:rPr>
                <w:rFonts w:ascii="Arial" w:hAnsi="Arial"/>
                <w:b w:val="0"/>
                <w:sz w:val="14"/>
              </w:rPr>
              <w:t>Signed checklist.</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pPr>
        <w:pStyle w:val="Heading2"/>
      </w:pPr>
      <w:r>
        <w:t>4.8 Maintainability and Engineering Quality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NFR-MNT-001</w:t>
            </w:r>
          </w:p>
        </w:tc>
        <w:tc>
          <w:tcPr>
            <w:tcW w:type="dxa" w:w="1728"/>
            <w:vAlign w:val="center"/>
            <w:tcMar>
              <w:top w:w="70" w:type="dxa"/>
              <w:start w:w="80" w:type="dxa"/>
              <w:bottom w:w="70" w:type="dxa"/>
              <w:end w:w="80" w:type="dxa"/>
            </w:tcMar>
          </w:tcPr>
          <w:p>
            <w:pPr>
              <w:spacing w:after="0"/>
            </w:pPr>
            <w:r/>
            <w:r>
              <w:rPr>
                <w:rFonts w:ascii="Arial" w:hAnsi="Arial"/>
                <w:b w:val="0"/>
                <w:sz w:val="14"/>
              </w:rPr>
              <w:t>Infrastructure automation</w:t>
            </w:r>
          </w:p>
        </w:tc>
        <w:tc>
          <w:tcPr>
            <w:tcW w:type="dxa" w:w="2376"/>
            <w:vAlign w:val="center"/>
            <w:tcMar>
              <w:top w:w="70" w:type="dxa"/>
              <w:start w:w="80" w:type="dxa"/>
              <w:bottom w:w="70" w:type="dxa"/>
              <w:end w:w="80" w:type="dxa"/>
            </w:tcMar>
          </w:tcPr>
          <w:p>
            <w:pPr>
              <w:spacing w:after="0"/>
            </w:pPr>
            <w:r/>
            <w:r>
              <w:rPr>
                <w:rFonts w:ascii="Arial" w:hAnsi="Arial"/>
                <w:b w:val="0"/>
                <w:sz w:val="14"/>
              </w:rPr>
              <w:t>≥95% of managed platform resources are defined through approved IaC.</w:t>
            </w:r>
          </w:p>
        </w:tc>
        <w:tc>
          <w:tcPr>
            <w:tcW w:type="dxa" w:w="2952"/>
            <w:vAlign w:val="center"/>
            <w:tcMar>
              <w:top w:w="70" w:type="dxa"/>
              <w:start w:w="80" w:type="dxa"/>
              <w:bottom w:w="70" w:type="dxa"/>
              <w:end w:w="80" w:type="dxa"/>
            </w:tcMar>
          </w:tcPr>
          <w:p>
            <w:pPr>
              <w:spacing w:after="0"/>
            </w:pPr>
            <w:r/>
            <w:r>
              <w:rPr>
                <w:rFonts w:ascii="Arial" w:hAnsi="Arial"/>
                <w:b w:val="0"/>
                <w:sz w:val="14"/>
              </w:rPr>
              <w:t>Terraform modules and exceptions register.</w:t>
            </w:r>
          </w:p>
        </w:tc>
        <w:tc>
          <w:tcPr>
            <w:tcW w:type="dxa" w:w="1800"/>
            <w:vAlign w:val="center"/>
            <w:tcMar>
              <w:top w:w="70" w:type="dxa"/>
              <w:start w:w="80" w:type="dxa"/>
              <w:bottom w:w="70" w:type="dxa"/>
              <w:end w:w="80" w:type="dxa"/>
            </w:tcMar>
          </w:tcPr>
          <w:p>
            <w:pPr>
              <w:spacing w:after="0"/>
            </w:pPr>
            <w:r/>
            <w:r>
              <w:rPr>
                <w:rFonts w:ascii="Arial" w:hAnsi="Arial"/>
                <w:b w:val="0"/>
                <w:sz w:val="14"/>
              </w:rPr>
              <w:t>Asset-to-code reconciliation.</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NFR-MNT-002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Test automation</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Critical pipelines include unit, contract, quality, integration and deployment tests.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Reusable test harness.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Pipeline 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NFR-MNT-003</w:t>
            </w:r>
          </w:p>
        </w:tc>
        <w:tc>
          <w:tcPr>
            <w:tcW w:type="dxa" w:w="1728"/>
            <w:vAlign w:val="center"/>
            <w:tcMar>
              <w:top w:w="70" w:type="dxa"/>
              <w:start w:w="80" w:type="dxa"/>
              <w:bottom w:w="70" w:type="dxa"/>
              <w:end w:w="80" w:type="dxa"/>
            </w:tcMar>
          </w:tcPr>
          <w:p>
            <w:pPr>
              <w:spacing w:after="0"/>
            </w:pPr>
            <w:r/>
            <w:r>
              <w:rPr>
                <w:rFonts w:ascii="Arial" w:hAnsi="Arial"/>
                <w:b w:val="0"/>
                <w:sz w:val="14"/>
              </w:rPr>
              <w:t>Versioning</w:t>
            </w:r>
          </w:p>
        </w:tc>
        <w:tc>
          <w:tcPr>
            <w:tcW w:type="dxa" w:w="2376"/>
            <w:vAlign w:val="center"/>
            <w:tcMar>
              <w:top w:w="70" w:type="dxa"/>
              <w:start w:w="80" w:type="dxa"/>
              <w:bottom w:w="70" w:type="dxa"/>
              <w:end w:w="80" w:type="dxa"/>
            </w:tcMar>
          </w:tcPr>
          <w:p>
            <w:pPr>
              <w:spacing w:after="0"/>
            </w:pPr>
            <w:r/>
            <w:r>
              <w:rPr>
                <w:rFonts w:ascii="Arial" w:hAnsi="Arial"/>
                <w:b w:val="0"/>
                <w:sz w:val="14"/>
              </w:rPr>
              <w:t>Schemas, transformations, infrastructure and data-product contracts are version controlled.</w:t>
            </w:r>
          </w:p>
        </w:tc>
        <w:tc>
          <w:tcPr>
            <w:tcW w:type="dxa" w:w="2952"/>
            <w:vAlign w:val="center"/>
            <w:tcMar>
              <w:top w:w="70" w:type="dxa"/>
              <w:start w:w="80" w:type="dxa"/>
              <w:bottom w:w="70" w:type="dxa"/>
              <w:end w:w="80" w:type="dxa"/>
            </w:tcMar>
          </w:tcPr>
          <w:p>
            <w:pPr>
              <w:spacing w:after="0"/>
            </w:pPr>
            <w:r/>
            <w:r>
              <w:rPr>
                <w:rFonts w:ascii="Arial" w:hAnsi="Arial"/>
                <w:b w:val="0"/>
                <w:sz w:val="14"/>
              </w:rPr>
              <w:t>Git-based workflow and release tags.</w:t>
            </w:r>
          </w:p>
        </w:tc>
        <w:tc>
          <w:tcPr>
            <w:tcW w:type="dxa" w:w="1800"/>
            <w:vAlign w:val="center"/>
            <w:tcMar>
              <w:top w:w="70" w:type="dxa"/>
              <w:start w:w="80" w:type="dxa"/>
              <w:bottom w:w="70" w:type="dxa"/>
              <w:end w:w="80" w:type="dxa"/>
            </w:tcMar>
          </w:tcPr>
          <w:p>
            <w:pPr>
              <w:spacing w:after="0"/>
            </w:pPr>
            <w:r/>
            <w:r>
              <w:rPr>
                <w:rFonts w:ascii="Arial" w:hAnsi="Arial"/>
                <w:b w:val="0"/>
                <w:sz w:val="14"/>
              </w:rPr>
              <w:t>Repository audit.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NFR-MNT-004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Recovery from change</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Rollback or forward-fix procedure exists for every deployment type.</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Immutable artifacts and database/schema migration strategy.</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Rollback drill.</w:t>
            </w:r>
          </w:p>
        </w:tc>
      </w:tr>
      <w:tr>
        <w:tc>
          <w:tcPr>
            <w:tcW w:type="dxa" w:w="1224"/>
            <w:vAlign w:val="center"/>
            <w:tcMar>
              <w:top w:w="70" w:type="dxa"/>
              <w:start w:w="80" w:type="dxa"/>
              <w:bottom w:w="70" w:type="dxa"/>
              <w:end w:w="80" w:type="dxa"/>
            </w:tcMar>
          </w:tcPr>
          <w:p>
            <w:pPr>
              <w:spacing w:after="0"/>
            </w:pPr>
            <w:r/>
            <w:r>
              <w:rPr>
                <w:rFonts w:ascii="Arial" w:hAnsi="Arial"/>
                <w:b w:val="0"/>
                <w:sz w:val="14"/>
              </w:rPr>
              <w:t>NFR-MNT-005</w:t>
            </w:r>
          </w:p>
        </w:tc>
        <w:tc>
          <w:tcPr>
            <w:tcW w:type="dxa" w:w="1728"/>
            <w:vAlign w:val="center"/>
            <w:tcMar>
              <w:top w:w="70" w:type="dxa"/>
              <w:start w:w="80" w:type="dxa"/>
              <w:bottom w:w="70" w:type="dxa"/>
              <w:end w:w="80" w:type="dxa"/>
            </w:tcMar>
          </w:tcPr>
          <w:p>
            <w:pPr>
              <w:spacing w:after="0"/>
            </w:pPr>
            <w:r/>
            <w:r>
              <w:rPr>
                <w:rFonts w:ascii="Arial" w:hAnsi="Arial"/>
                <w:b w:val="0"/>
                <w:sz w:val="14"/>
              </w:rPr>
              <w:t>Documentation</w:t>
            </w:r>
          </w:p>
        </w:tc>
        <w:tc>
          <w:tcPr>
            <w:tcW w:type="dxa" w:w="2376"/>
            <w:vAlign w:val="center"/>
            <w:tcMar>
              <w:top w:w="70" w:type="dxa"/>
              <w:start w:w="80" w:type="dxa"/>
              <w:bottom w:w="70" w:type="dxa"/>
              <w:end w:w="80" w:type="dxa"/>
            </w:tcMar>
          </w:tcPr>
          <w:p>
            <w:pPr>
              <w:spacing w:after="0"/>
            </w:pPr>
            <w:r/>
            <w:r>
              <w:rPr>
                <w:rFonts w:ascii="Arial" w:hAnsi="Arial"/>
                <w:b w:val="0"/>
                <w:sz w:val="14"/>
              </w:rPr>
              <w:t>Architecture, runbooks and product metadata are updated in the same change lifecycle.</w:t>
            </w:r>
          </w:p>
        </w:tc>
        <w:tc>
          <w:tcPr>
            <w:tcW w:type="dxa" w:w="2952"/>
            <w:vAlign w:val="center"/>
            <w:tcMar>
              <w:top w:w="70" w:type="dxa"/>
              <w:start w:w="80" w:type="dxa"/>
              <w:bottom w:w="70" w:type="dxa"/>
              <w:end w:w="80" w:type="dxa"/>
            </w:tcMar>
          </w:tcPr>
          <w:p>
            <w:pPr>
              <w:spacing w:after="0"/>
            </w:pPr>
            <w:r/>
            <w:r>
              <w:rPr>
                <w:rFonts w:ascii="Arial" w:hAnsi="Arial"/>
                <w:b w:val="0"/>
                <w:sz w:val="14"/>
              </w:rPr>
              <w:t>Docs-as-code and metadata checks.</w:t>
            </w:r>
          </w:p>
        </w:tc>
        <w:tc>
          <w:tcPr>
            <w:tcW w:type="dxa" w:w="1800"/>
            <w:vAlign w:val="center"/>
            <w:tcMar>
              <w:top w:w="70" w:type="dxa"/>
              <w:start w:w="80" w:type="dxa"/>
              <w:bottom w:w="70" w:type="dxa"/>
              <w:end w:w="80" w:type="dxa"/>
            </w:tcMar>
          </w:tcPr>
          <w:p>
            <w:pPr>
              <w:spacing w:after="0"/>
            </w:pPr>
            <w:r/>
            <w:r>
              <w:rPr>
                <w:rFonts w:ascii="Arial" w:hAnsi="Arial"/>
                <w:b w:val="0"/>
                <w:sz w:val="14"/>
              </w:rPr>
              <w:t>Release audit.</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r>
        <w:br w:type="page"/>
      </w:r>
    </w:p>
    <w:p>
      <w:pPr>
        <w:pStyle w:val="Heading2"/>
      </w:pPr>
      <w:r>
        <w:t>4.9 Cost and Sustainability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NFR-CST-001</w:t>
            </w:r>
          </w:p>
        </w:tc>
        <w:tc>
          <w:tcPr>
            <w:tcW w:type="dxa" w:w="1728"/>
            <w:vAlign w:val="center"/>
            <w:tcMar>
              <w:top w:w="70" w:type="dxa"/>
              <w:start w:w="80" w:type="dxa"/>
              <w:bottom w:w="70" w:type="dxa"/>
              <w:end w:w="80" w:type="dxa"/>
            </w:tcMar>
          </w:tcPr>
          <w:p>
            <w:pPr>
              <w:spacing w:after="0"/>
            </w:pPr>
            <w:r/>
            <w:r>
              <w:rPr>
                <w:rFonts w:ascii="Arial" w:hAnsi="Arial"/>
                <w:b w:val="0"/>
                <w:sz w:val="14"/>
              </w:rPr>
              <w:t>Allocation</w:t>
            </w:r>
          </w:p>
        </w:tc>
        <w:tc>
          <w:tcPr>
            <w:tcW w:type="dxa" w:w="2376"/>
            <w:vAlign w:val="center"/>
            <w:tcMar>
              <w:top w:w="70" w:type="dxa"/>
              <w:start w:w="80" w:type="dxa"/>
              <w:bottom w:w="70" w:type="dxa"/>
              <w:end w:w="80" w:type="dxa"/>
            </w:tcMar>
          </w:tcPr>
          <w:p>
            <w:pPr>
              <w:spacing w:after="0"/>
            </w:pPr>
            <w:r/>
            <w:r>
              <w:rPr>
                <w:rFonts w:ascii="Arial" w:hAnsi="Arial"/>
                <w:b w:val="0"/>
                <w:sz w:val="14"/>
              </w:rPr>
              <w:t>≥95% of monthly platform spend is attributable to domain, product, environment and owner.</w:t>
            </w:r>
          </w:p>
        </w:tc>
        <w:tc>
          <w:tcPr>
            <w:tcW w:type="dxa" w:w="2952"/>
            <w:vAlign w:val="center"/>
            <w:tcMar>
              <w:top w:w="70" w:type="dxa"/>
              <w:start w:w="80" w:type="dxa"/>
              <w:bottom w:w="70" w:type="dxa"/>
              <w:end w:w="80" w:type="dxa"/>
            </w:tcMar>
          </w:tcPr>
          <w:p>
            <w:pPr>
              <w:spacing w:after="0"/>
            </w:pPr>
            <w:r/>
            <w:r>
              <w:rPr>
                <w:rFonts w:ascii="Arial" w:hAnsi="Arial"/>
                <w:b w:val="0"/>
                <w:sz w:val="14"/>
              </w:rPr>
              <w:t>Labels/tags, reservations and billing export.</w:t>
            </w:r>
          </w:p>
        </w:tc>
        <w:tc>
          <w:tcPr>
            <w:tcW w:type="dxa" w:w="1800"/>
            <w:vAlign w:val="center"/>
            <w:tcMar>
              <w:top w:w="70" w:type="dxa"/>
              <w:start w:w="80" w:type="dxa"/>
              <w:bottom w:w="70" w:type="dxa"/>
              <w:end w:w="80" w:type="dxa"/>
            </w:tcMar>
          </w:tcPr>
          <w:p>
            <w:pPr>
              <w:spacing w:after="0"/>
            </w:pPr>
            <w:r/>
            <w:r>
              <w:rPr>
                <w:rFonts w:ascii="Arial" w:hAnsi="Arial"/>
                <w:b w:val="0"/>
                <w:sz w:val="14"/>
              </w:rPr>
              <w:t>FinOps report.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NFR-CST-002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Budget control</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Forecast variance remains within ±10% at portfolio level after stabilization.</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Forecasting and anomaly alerts.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Monthly review.</w:t>
            </w:r>
          </w:p>
        </w:tc>
      </w:tr>
      <w:tr>
        <w:tc>
          <w:tcPr>
            <w:tcW w:type="dxa" w:w="1224"/>
            <w:vAlign w:val="center"/>
            <w:tcMar>
              <w:top w:w="70" w:type="dxa"/>
              <w:start w:w="80" w:type="dxa"/>
              <w:bottom w:w="70" w:type="dxa"/>
              <w:end w:w="80" w:type="dxa"/>
            </w:tcMar>
          </w:tcPr>
          <w:p>
            <w:pPr>
              <w:spacing w:after="0"/>
            </w:pPr>
            <w:r/>
            <w:r>
              <w:rPr>
                <w:rFonts w:ascii="Arial" w:hAnsi="Arial"/>
                <w:b w:val="0"/>
                <w:sz w:val="14"/>
              </w:rPr>
              <w:t>NFR-CST-003</w:t>
            </w:r>
          </w:p>
        </w:tc>
        <w:tc>
          <w:tcPr>
            <w:tcW w:type="dxa" w:w="1728"/>
            <w:vAlign w:val="center"/>
            <w:tcMar>
              <w:top w:w="70" w:type="dxa"/>
              <w:start w:w="80" w:type="dxa"/>
              <w:bottom w:w="70" w:type="dxa"/>
              <w:end w:w="80" w:type="dxa"/>
            </w:tcMar>
          </w:tcPr>
          <w:p>
            <w:pPr>
              <w:spacing w:after="0"/>
            </w:pPr>
            <w:r/>
            <w:r>
              <w:rPr>
                <w:rFonts w:ascii="Arial" w:hAnsi="Arial"/>
                <w:b w:val="0"/>
                <w:sz w:val="14"/>
              </w:rPr>
              <w:t>Query efficiency</w:t>
            </w:r>
          </w:p>
        </w:tc>
        <w:tc>
          <w:tcPr>
            <w:tcW w:type="dxa" w:w="2376"/>
            <w:vAlign w:val="center"/>
            <w:tcMar>
              <w:top w:w="70" w:type="dxa"/>
              <w:start w:w="80" w:type="dxa"/>
              <w:bottom w:w="70" w:type="dxa"/>
              <w:end w:w="80" w:type="dxa"/>
            </w:tcMar>
          </w:tcPr>
          <w:p>
            <w:pPr>
              <w:spacing w:after="0"/>
            </w:pPr>
            <w:r/>
            <w:r>
              <w:rPr>
                <w:rFonts w:ascii="Arial" w:hAnsi="Arial"/>
                <w:b w:val="0"/>
                <w:sz w:val="14"/>
              </w:rPr>
              <w:t>Curated workloads demonstrate partition pruning and avoid unrestricted scans.</w:t>
            </w:r>
          </w:p>
        </w:tc>
        <w:tc>
          <w:tcPr>
            <w:tcW w:type="dxa" w:w="2952"/>
            <w:vAlign w:val="center"/>
            <w:tcMar>
              <w:top w:w="70" w:type="dxa"/>
              <w:start w:w="80" w:type="dxa"/>
              <w:bottom w:w="70" w:type="dxa"/>
              <w:end w:w="80" w:type="dxa"/>
            </w:tcMar>
          </w:tcPr>
          <w:p>
            <w:pPr>
              <w:spacing w:after="0"/>
            </w:pPr>
            <w:r/>
            <w:r>
              <w:rPr>
                <w:rFonts w:ascii="Arial" w:hAnsi="Arial"/>
                <w:b w:val="0"/>
                <w:sz w:val="14"/>
              </w:rPr>
              <w:t>SQL linting, maximum bytes and workload tests.</w:t>
            </w:r>
          </w:p>
        </w:tc>
        <w:tc>
          <w:tcPr>
            <w:tcW w:type="dxa" w:w="1800"/>
            <w:vAlign w:val="center"/>
            <w:tcMar>
              <w:top w:w="70" w:type="dxa"/>
              <w:start w:w="80" w:type="dxa"/>
              <w:bottom w:w="70" w:type="dxa"/>
              <w:end w:w="80" w:type="dxa"/>
            </w:tcMar>
          </w:tcPr>
          <w:p>
            <w:pPr>
              <w:spacing w:after="0"/>
            </w:pPr>
            <w:r/>
            <w:r>
              <w:rPr>
                <w:rFonts w:ascii="Arial" w:hAnsi="Arial"/>
                <w:b w:val="0"/>
                <w:sz w:val="14"/>
              </w:rPr>
              <w:t>Query-plan review.</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NFR-CST-004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Idle resources</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Ephemeral compute terminates automatically and idle non-production capacity is minimized.</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Serverless services, schedules and lifecycle automation.</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Idle-resource report.</w:t>
            </w:r>
          </w:p>
        </w:tc>
      </w:tr>
      <w:tr>
        <w:tc>
          <w:tcPr>
            <w:tcW w:type="dxa" w:w="1224"/>
            <w:vAlign w:val="center"/>
            <w:tcMar>
              <w:top w:w="70" w:type="dxa"/>
              <w:start w:w="80" w:type="dxa"/>
              <w:bottom w:w="70" w:type="dxa"/>
              <w:end w:w="80" w:type="dxa"/>
            </w:tcMar>
          </w:tcPr>
          <w:p>
            <w:pPr>
              <w:spacing w:after="0"/>
            </w:pPr>
            <w:r/>
            <w:r>
              <w:rPr>
                <w:rFonts w:ascii="Arial" w:hAnsi="Arial"/>
                <w:b w:val="0"/>
                <w:sz w:val="14"/>
              </w:rPr>
              <w:t>NFR-CST-005</w:t>
            </w:r>
          </w:p>
        </w:tc>
        <w:tc>
          <w:tcPr>
            <w:tcW w:type="dxa" w:w="1728"/>
            <w:vAlign w:val="center"/>
            <w:tcMar>
              <w:top w:w="70" w:type="dxa"/>
              <w:start w:w="80" w:type="dxa"/>
              <w:bottom w:w="70" w:type="dxa"/>
              <w:end w:w="80" w:type="dxa"/>
            </w:tcMar>
          </w:tcPr>
          <w:p>
            <w:pPr>
              <w:spacing w:after="0"/>
            </w:pPr>
            <w:r/>
            <w:r>
              <w:rPr>
                <w:rFonts w:ascii="Arial" w:hAnsi="Arial"/>
                <w:b w:val="0"/>
                <w:sz w:val="14"/>
              </w:rPr>
              <w:t>Sustainability</w:t>
            </w:r>
          </w:p>
        </w:tc>
        <w:tc>
          <w:tcPr>
            <w:tcW w:type="dxa" w:w="2376"/>
            <w:vAlign w:val="center"/>
            <w:tcMar>
              <w:top w:w="70" w:type="dxa"/>
              <w:start w:w="80" w:type="dxa"/>
              <w:bottom w:w="70" w:type="dxa"/>
              <w:end w:w="80" w:type="dxa"/>
            </w:tcMar>
          </w:tcPr>
          <w:p>
            <w:pPr>
              <w:spacing w:after="0"/>
            </w:pPr>
            <w:r/>
            <w:r>
              <w:rPr>
                <w:rFonts w:ascii="Arial" w:hAnsi="Arial"/>
                <w:b w:val="0"/>
                <w:sz w:val="14"/>
              </w:rPr>
              <w:t>Region, retention and processing choices consider carbon and resource efficiency without violating residency or resilience.</w:t>
            </w:r>
          </w:p>
        </w:tc>
        <w:tc>
          <w:tcPr>
            <w:tcW w:type="dxa" w:w="2952"/>
            <w:vAlign w:val="center"/>
            <w:tcMar>
              <w:top w:w="70" w:type="dxa"/>
              <w:start w:w="80" w:type="dxa"/>
              <w:bottom w:w="70" w:type="dxa"/>
              <w:end w:w="80" w:type="dxa"/>
            </w:tcMar>
          </w:tcPr>
          <w:p>
            <w:pPr>
              <w:spacing w:after="0"/>
            </w:pPr>
            <w:r/>
            <w:r>
              <w:rPr>
                <w:rFonts w:ascii="Arial" w:hAnsi="Arial"/>
                <w:b w:val="0"/>
                <w:sz w:val="14"/>
              </w:rPr>
              <w:t>Architecture trade-off record.</w:t>
            </w:r>
          </w:p>
        </w:tc>
        <w:tc>
          <w:tcPr>
            <w:tcW w:type="dxa" w:w="1800"/>
            <w:vAlign w:val="center"/>
            <w:tcMar>
              <w:top w:w="70" w:type="dxa"/>
              <w:start w:w="80" w:type="dxa"/>
              <w:bottom w:w="70" w:type="dxa"/>
              <w:end w:w="80" w:type="dxa"/>
            </w:tcMar>
          </w:tcPr>
          <w:p>
            <w:pPr>
              <w:spacing w:after="0"/>
            </w:pPr>
            <w:r/>
            <w:r>
              <w:rPr>
                <w:rFonts w:ascii="Arial" w:hAnsi="Arial"/>
                <w:b w:val="0"/>
                <w:sz w:val="14"/>
              </w:rPr>
              <w:t>Quarterly architecture review.</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pPr>
        <w:pStyle w:val="Heading2"/>
      </w:pPr>
      <w:r>
        <w:t>4.10 Compliance and Auditability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Quality attribute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Target</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Architecture mechanism</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224"/>
            <w:vAlign w:val="center"/>
            <w:tcMar>
              <w:top w:w="70" w:type="dxa"/>
              <w:start w:w="80" w:type="dxa"/>
              <w:bottom w:w="70" w:type="dxa"/>
              <w:end w:w="80" w:type="dxa"/>
            </w:tcMar>
          </w:tcPr>
          <w:p>
            <w:pPr>
              <w:spacing w:after="0"/>
            </w:pPr>
            <w:r/>
            <w:r>
              <w:rPr>
                <w:rFonts w:ascii="Arial" w:hAnsi="Arial"/>
                <w:b w:val="0"/>
                <w:sz w:val="14"/>
              </w:rPr>
              <w:t>NFR-CMP-001</w:t>
            </w:r>
          </w:p>
        </w:tc>
        <w:tc>
          <w:tcPr>
            <w:tcW w:type="dxa" w:w="1728"/>
            <w:vAlign w:val="center"/>
            <w:tcMar>
              <w:top w:w="70" w:type="dxa"/>
              <w:start w:w="80" w:type="dxa"/>
              <w:bottom w:w="70" w:type="dxa"/>
              <w:end w:w="80" w:type="dxa"/>
            </w:tcMar>
          </w:tcPr>
          <w:p>
            <w:pPr>
              <w:spacing w:after="0"/>
            </w:pPr>
            <w:r/>
            <w:r>
              <w:rPr>
                <w:rFonts w:ascii="Arial" w:hAnsi="Arial"/>
                <w:b w:val="0"/>
                <w:sz w:val="14"/>
              </w:rPr>
              <w:t>Evidence</w:t>
            </w:r>
          </w:p>
        </w:tc>
        <w:tc>
          <w:tcPr>
            <w:tcW w:type="dxa" w:w="2376"/>
            <w:vAlign w:val="center"/>
            <w:tcMar>
              <w:top w:w="70" w:type="dxa"/>
              <w:start w:w="80" w:type="dxa"/>
              <w:bottom w:w="70" w:type="dxa"/>
              <w:end w:w="80" w:type="dxa"/>
            </w:tcMar>
          </w:tcPr>
          <w:p>
            <w:pPr>
              <w:spacing w:after="0"/>
            </w:pPr>
            <w:r/>
            <w:r>
              <w:rPr>
                <w:rFonts w:ascii="Arial" w:hAnsi="Arial"/>
                <w:b w:val="0"/>
                <w:sz w:val="14"/>
              </w:rPr>
              <w:t>Control evidence is reproducible from configuration, logs and workflow records.</w:t>
            </w:r>
          </w:p>
        </w:tc>
        <w:tc>
          <w:tcPr>
            <w:tcW w:type="dxa" w:w="2952"/>
            <w:vAlign w:val="center"/>
            <w:tcMar>
              <w:top w:w="70" w:type="dxa"/>
              <w:start w:w="80" w:type="dxa"/>
              <w:bottom w:w="70" w:type="dxa"/>
              <w:end w:w="80" w:type="dxa"/>
            </w:tcMar>
          </w:tcPr>
          <w:p>
            <w:pPr>
              <w:spacing w:after="0"/>
            </w:pPr>
            <w:r/>
            <w:r>
              <w:rPr>
                <w:rFonts w:ascii="Arial" w:hAnsi="Arial"/>
                <w:b w:val="0"/>
                <w:sz w:val="14"/>
              </w:rPr>
              <w:t>Automated evidence collection.</w:t>
            </w:r>
          </w:p>
        </w:tc>
        <w:tc>
          <w:tcPr>
            <w:tcW w:type="dxa" w:w="1800"/>
            <w:vAlign w:val="center"/>
            <w:tcMar>
              <w:top w:w="70" w:type="dxa"/>
              <w:start w:w="80" w:type="dxa"/>
              <w:bottom w:w="70" w:type="dxa"/>
              <w:end w:w="80" w:type="dxa"/>
            </w:tcMar>
          </w:tcPr>
          <w:p>
            <w:pPr>
              <w:spacing w:after="0"/>
            </w:pPr>
            <w:r/>
            <w:r>
              <w:rPr>
                <w:rFonts w:ascii="Arial" w:hAnsi="Arial"/>
                <w:b w:val="0"/>
                <w:sz w:val="14"/>
              </w:rPr>
              <w:t>Audit sample.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NFR-CMP-002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Retention</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Data and logs follow approved retention schedules with legal-hold overrides.</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Lifecycle policy and hold workflow.</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Policy test.</w:t>
            </w:r>
          </w:p>
        </w:tc>
      </w:tr>
      <w:tr>
        <w:tc>
          <w:tcPr>
            <w:tcW w:type="dxa" w:w="1224"/>
            <w:vAlign w:val="center"/>
            <w:tcMar>
              <w:top w:w="70" w:type="dxa"/>
              <w:start w:w="80" w:type="dxa"/>
              <w:bottom w:w="70" w:type="dxa"/>
              <w:end w:w="80" w:type="dxa"/>
            </w:tcMar>
          </w:tcPr>
          <w:p>
            <w:pPr>
              <w:spacing w:after="0"/>
            </w:pPr>
            <w:r/>
            <w:r>
              <w:rPr>
                <w:rFonts w:ascii="Arial" w:hAnsi="Arial"/>
                <w:b w:val="0"/>
                <w:sz w:val="14"/>
              </w:rPr>
              <w:t>NFR-CMP-003</w:t>
            </w:r>
          </w:p>
        </w:tc>
        <w:tc>
          <w:tcPr>
            <w:tcW w:type="dxa" w:w="1728"/>
            <w:vAlign w:val="center"/>
            <w:tcMar>
              <w:top w:w="70" w:type="dxa"/>
              <w:start w:w="80" w:type="dxa"/>
              <w:bottom w:w="70" w:type="dxa"/>
              <w:end w:w="80" w:type="dxa"/>
            </w:tcMar>
          </w:tcPr>
          <w:p>
            <w:pPr>
              <w:spacing w:after="0"/>
            </w:pPr>
            <w:r/>
            <w:r>
              <w:rPr>
                <w:rFonts w:ascii="Arial" w:hAnsi="Arial"/>
                <w:b w:val="0"/>
                <w:sz w:val="14"/>
              </w:rPr>
              <w:t>Privacy deletion</w:t>
            </w:r>
          </w:p>
        </w:tc>
        <w:tc>
          <w:tcPr>
            <w:tcW w:type="dxa" w:w="2376"/>
            <w:vAlign w:val="center"/>
            <w:tcMar>
              <w:top w:w="70" w:type="dxa"/>
              <w:start w:w="80" w:type="dxa"/>
              <w:bottom w:w="70" w:type="dxa"/>
              <w:end w:w="80" w:type="dxa"/>
            </w:tcMar>
          </w:tcPr>
          <w:p>
            <w:pPr>
              <w:spacing w:after="0"/>
            </w:pPr>
            <w:r/>
            <w:r>
              <w:rPr>
                <w:rFonts w:ascii="Arial" w:hAnsi="Arial"/>
                <w:b w:val="0"/>
                <w:sz w:val="14"/>
              </w:rPr>
              <w:t>Approved deletion requests propagate to governed copies within the policy timeframe.</w:t>
            </w:r>
          </w:p>
        </w:tc>
        <w:tc>
          <w:tcPr>
            <w:tcW w:type="dxa" w:w="2952"/>
            <w:vAlign w:val="center"/>
            <w:tcMar>
              <w:top w:w="70" w:type="dxa"/>
              <w:start w:w="80" w:type="dxa"/>
              <w:bottom w:w="70" w:type="dxa"/>
              <w:end w:w="80" w:type="dxa"/>
            </w:tcMar>
          </w:tcPr>
          <w:p>
            <w:pPr>
              <w:spacing w:after="0"/>
            </w:pPr>
            <w:r/>
            <w:r>
              <w:rPr>
                <w:rFonts w:ascii="Arial" w:hAnsi="Arial"/>
                <w:b w:val="0"/>
                <w:sz w:val="14"/>
              </w:rPr>
              <w:t>Identity mapping, delete workflow and evidence.</w:t>
            </w:r>
          </w:p>
        </w:tc>
        <w:tc>
          <w:tcPr>
            <w:tcW w:type="dxa" w:w="1800"/>
            <w:vAlign w:val="center"/>
            <w:tcMar>
              <w:top w:w="70" w:type="dxa"/>
              <w:start w:w="80" w:type="dxa"/>
              <w:bottom w:w="70" w:type="dxa"/>
              <w:end w:w="80" w:type="dxa"/>
            </w:tcMar>
          </w:tcPr>
          <w:p>
            <w:pPr>
              <w:spacing w:after="0"/>
            </w:pPr>
            <w:r/>
            <w:r>
              <w:rPr>
                <w:rFonts w:ascii="Arial" w:hAnsi="Arial"/>
                <w:b w:val="0"/>
                <w:sz w:val="14"/>
              </w:rPr>
              <w:t>End-to-end deletion test.</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NFR-CMP-004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Residency</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Restricted data remains within approved locations unless a transfer is authorized.</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Resource-location policies and transfer controls.</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Asset scan.</w:t>
            </w:r>
          </w:p>
        </w:tc>
      </w:tr>
      <w:tr>
        <w:tc>
          <w:tcPr>
            <w:tcW w:type="dxa" w:w="1224"/>
            <w:vAlign w:val="center"/>
            <w:tcMar>
              <w:top w:w="70" w:type="dxa"/>
              <w:start w:w="80" w:type="dxa"/>
              <w:bottom w:w="70" w:type="dxa"/>
              <w:end w:w="80" w:type="dxa"/>
            </w:tcMar>
          </w:tcPr>
          <w:p>
            <w:pPr>
              <w:spacing w:after="0"/>
            </w:pPr>
            <w:r/>
            <w:r>
              <w:rPr>
                <w:rFonts w:ascii="Arial" w:hAnsi="Arial"/>
                <w:b w:val="0"/>
                <w:sz w:val="14"/>
              </w:rPr>
              <w:t>NFR-CMP-005</w:t>
            </w:r>
          </w:p>
        </w:tc>
        <w:tc>
          <w:tcPr>
            <w:tcW w:type="dxa" w:w="1728"/>
            <w:vAlign w:val="center"/>
            <w:tcMar>
              <w:top w:w="70" w:type="dxa"/>
              <w:start w:w="80" w:type="dxa"/>
              <w:bottom w:w="70" w:type="dxa"/>
              <w:end w:w="80" w:type="dxa"/>
            </w:tcMar>
          </w:tcPr>
          <w:p>
            <w:pPr>
              <w:spacing w:after="0"/>
            </w:pPr>
            <w:r/>
            <w:r>
              <w:rPr>
                <w:rFonts w:ascii="Arial" w:hAnsi="Arial"/>
                <w:b w:val="0"/>
                <w:sz w:val="14"/>
              </w:rPr>
              <w:t>Control exceptions</w:t>
            </w:r>
          </w:p>
        </w:tc>
        <w:tc>
          <w:tcPr>
            <w:tcW w:type="dxa" w:w="2376"/>
            <w:vAlign w:val="center"/>
            <w:tcMar>
              <w:top w:w="70" w:type="dxa"/>
              <w:start w:w="80" w:type="dxa"/>
              <w:bottom w:w="70" w:type="dxa"/>
              <w:end w:w="80" w:type="dxa"/>
            </w:tcMar>
          </w:tcPr>
          <w:p>
            <w:pPr>
              <w:spacing w:after="0"/>
            </w:pPr>
            <w:r/>
            <w:r>
              <w:rPr>
                <w:rFonts w:ascii="Arial" w:hAnsi="Arial"/>
                <w:b w:val="0"/>
                <w:sz w:val="14"/>
              </w:rPr>
              <w:t>Every exception has owner, rationale, compensating control, expiry and review date.</w:t>
            </w:r>
          </w:p>
        </w:tc>
        <w:tc>
          <w:tcPr>
            <w:tcW w:type="dxa" w:w="2952"/>
            <w:vAlign w:val="center"/>
            <w:tcMar>
              <w:top w:w="70" w:type="dxa"/>
              <w:start w:w="80" w:type="dxa"/>
              <w:bottom w:w="70" w:type="dxa"/>
              <w:end w:w="80" w:type="dxa"/>
            </w:tcMar>
          </w:tcPr>
          <w:p>
            <w:pPr>
              <w:spacing w:after="0"/>
            </w:pPr>
            <w:r/>
            <w:r>
              <w:rPr>
                <w:rFonts w:ascii="Arial" w:hAnsi="Arial"/>
                <w:b w:val="0"/>
                <w:sz w:val="14"/>
              </w:rPr>
              <w:t>Exception register.</w:t>
            </w:r>
          </w:p>
        </w:tc>
        <w:tc>
          <w:tcPr>
            <w:tcW w:type="dxa" w:w="1800"/>
            <w:vAlign w:val="center"/>
            <w:tcMar>
              <w:top w:w="70" w:type="dxa"/>
              <w:start w:w="80" w:type="dxa"/>
              <w:bottom w:w="70" w:type="dxa"/>
              <w:end w:w="80" w:type="dxa"/>
            </w:tcMar>
          </w:tcPr>
          <w:p>
            <w:pPr>
              <w:spacing w:after="0"/>
            </w:pPr>
            <w:r/>
            <w:r>
              <w:rPr>
                <w:rFonts w:ascii="Arial" w:hAnsi="Arial"/>
                <w:b w:val="0"/>
                <w:sz w:val="14"/>
              </w:rPr>
              <w:t>Quarterly review.</w:t>
            </w:r>
          </w:p>
        </w:tc>
      </w:tr>
    </w:tbl>
    <w:p>
      <w:pPr>
        <w:spacing w:after="20"/>
      </w:pPr>
    </w:p>
    <w:p>
      <w:r>
        <w:t>Targets are baseline enterprise objectives. A product may adopt stronger targets when business impact warrants the additional cost, or weaker targets only when its service tier, consumer contract and risk acceptance explicitly permit them.</w:t>
      </w:r>
    </w:p>
    <w:p>
      <w:pPr>
        <w:pStyle w:val="Heading2"/>
      </w:pPr>
      <w:r>
        <w:t>4.11 Service-tier Model</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864"/>
            <w:vAlign w:val="center"/>
            <w:tcMar>
              <w:top w:w="70" w:type="dxa"/>
              <w:start w:w="80" w:type="dxa"/>
              <w:bottom w:w="70" w:type="dxa"/>
              <w:end w:w="80" w:type="dxa"/>
            </w:tcMar>
            <w:shd w:fill="1A73E8"/>
          </w:tcPr>
          <w:p>
            <w:pPr>
              <w:spacing w:after="0"/>
            </w:pPr>
            <w:r/>
            <w:r>
              <w:rPr>
                <w:rFonts w:ascii="Arial" w:hAnsi="Arial"/>
                <w:b/>
                <w:color w:val="FFFFFF"/>
                <w:sz w:val="16"/>
              </w:rPr>
              <w:t>Tier</w:t>
            </w:r>
          </w:p>
        </w:tc>
        <w:tc>
          <w:tcPr>
            <w:tcW w:type="dxa" w:w="2520"/>
            <w:vAlign w:val="center"/>
            <w:tcMar>
              <w:top w:w="70" w:type="dxa"/>
              <w:start w:w="80" w:type="dxa"/>
              <w:bottom w:w="70" w:type="dxa"/>
              <w:end w:w="80" w:type="dxa"/>
            </w:tcMar>
            <w:shd w:fill="1A73E8"/>
          </w:tcPr>
          <w:p>
            <w:pPr>
              <w:spacing w:after="0"/>
            </w:pPr>
            <w:r/>
            <w:r>
              <w:rPr>
                <w:rFonts w:ascii="Arial" w:hAnsi="Arial"/>
                <w:b/>
                <w:color w:val="FFFFFF"/>
                <w:sz w:val="16"/>
              </w:rPr>
              <w:t>Business impact</w:t>
            </w:r>
          </w:p>
        </w:tc>
        <w:tc>
          <w:tcPr>
            <w:tcW w:type="dxa" w:w="1440"/>
            <w:vAlign w:val="center"/>
            <w:tcMar>
              <w:top w:w="70" w:type="dxa"/>
              <w:start w:w="80" w:type="dxa"/>
              <w:bottom w:w="70" w:type="dxa"/>
              <w:end w:w="80" w:type="dxa"/>
            </w:tcMar>
            <w:shd w:fill="1A73E8"/>
          </w:tcPr>
          <w:p>
            <w:pPr>
              <w:spacing w:after="0"/>
            </w:pPr>
            <w:r/>
            <w:r>
              <w:rPr>
                <w:rFonts w:ascii="Arial" w:hAnsi="Arial"/>
                <w:b/>
                <w:color w:val="FFFFFF"/>
                <w:sz w:val="16"/>
              </w:rPr>
              <w:t>Availability objective</w:t>
            </w:r>
          </w:p>
        </w:tc>
        <w:tc>
          <w:tcPr>
            <w:tcW w:type="dxa" w:w="1008"/>
            <w:vAlign w:val="center"/>
            <w:tcMar>
              <w:top w:w="70" w:type="dxa"/>
              <w:start w:w="80" w:type="dxa"/>
              <w:bottom w:w="70" w:type="dxa"/>
              <w:end w:w="80" w:type="dxa"/>
            </w:tcMar>
            <w:shd w:fill="1A73E8"/>
          </w:tcPr>
          <w:p>
            <w:pPr>
              <w:spacing w:after="0"/>
            </w:pPr>
            <w:r/>
            <w:r>
              <w:rPr>
                <w:rFonts w:ascii="Arial" w:hAnsi="Arial"/>
                <w:b/>
                <w:color w:val="FFFFFF"/>
                <w:sz w:val="16"/>
              </w:rPr>
              <w:t>RTO</w:t>
            </w:r>
          </w:p>
        </w:tc>
        <w:tc>
          <w:tcPr>
            <w:tcW w:type="dxa" w:w="1008"/>
            <w:vAlign w:val="center"/>
            <w:tcMar>
              <w:top w:w="70" w:type="dxa"/>
              <w:start w:w="80" w:type="dxa"/>
              <w:bottom w:w="70" w:type="dxa"/>
              <w:end w:w="80" w:type="dxa"/>
            </w:tcMar>
            <w:shd w:fill="1A73E8"/>
          </w:tcPr>
          <w:p>
            <w:pPr>
              <w:spacing w:after="0"/>
            </w:pPr>
            <w:r/>
            <w:r>
              <w:rPr>
                <w:rFonts w:ascii="Arial" w:hAnsi="Arial"/>
                <w:b/>
                <w:color w:val="FFFFFF"/>
                <w:sz w:val="16"/>
              </w:rPr>
              <w:t>RPO</w:t>
            </w:r>
          </w:p>
        </w:tc>
        <w:tc>
          <w:tcPr>
            <w:tcW w:type="dxa" w:w="3240"/>
            <w:vAlign w:val="center"/>
            <w:tcMar>
              <w:top w:w="70" w:type="dxa"/>
              <w:start w:w="80" w:type="dxa"/>
              <w:bottom w:w="70" w:type="dxa"/>
              <w:end w:w="80" w:type="dxa"/>
            </w:tcMar>
            <w:shd w:fill="1A73E8"/>
          </w:tcPr>
          <w:p>
            <w:pPr>
              <w:spacing w:after="0"/>
            </w:pPr>
            <w:r/>
            <w:r>
              <w:rPr>
                <w:rFonts w:ascii="Arial" w:hAnsi="Arial"/>
                <w:b/>
                <w:color w:val="FFFFFF"/>
                <w:sz w:val="16"/>
              </w:rPr>
              <w:t>Required assurance</w:t>
            </w:r>
          </w:p>
        </w:tc>
      </w:tr>
      <w:tr>
        <w:tc>
          <w:tcPr>
            <w:tcW w:type="dxa" w:w="864"/>
            <w:vAlign w:val="center"/>
            <w:tcMar>
              <w:top w:w="70" w:type="dxa"/>
              <w:start w:w="80" w:type="dxa"/>
              <w:bottom w:w="70" w:type="dxa"/>
              <w:end w:w="80" w:type="dxa"/>
            </w:tcMar>
          </w:tcPr>
          <w:p>
            <w:pPr>
              <w:spacing w:after="0"/>
            </w:pPr>
            <w:r/>
            <w:r>
              <w:rPr>
                <w:rFonts w:ascii="Arial" w:hAnsi="Arial"/>
                <w:b w:val="0"/>
                <w:sz w:val="15"/>
              </w:rPr>
              <w:t>Tier 0</w:t>
            </w:r>
          </w:p>
        </w:tc>
        <w:tc>
          <w:tcPr>
            <w:tcW w:type="dxa" w:w="2520"/>
            <w:vAlign w:val="center"/>
            <w:tcMar>
              <w:top w:w="70" w:type="dxa"/>
              <w:start w:w="80" w:type="dxa"/>
              <w:bottom w:w="70" w:type="dxa"/>
              <w:end w:w="80" w:type="dxa"/>
            </w:tcMar>
          </w:tcPr>
          <w:p>
            <w:pPr>
              <w:spacing w:after="0"/>
            </w:pPr>
            <w:r/>
            <w:r>
              <w:rPr>
                <w:rFonts w:ascii="Arial" w:hAnsi="Arial"/>
                <w:b w:val="0"/>
                <w:sz w:val="15"/>
              </w:rPr>
              <w:t>Immediate material financial, safety, regulatory or customer impact</w:t>
            </w:r>
          </w:p>
        </w:tc>
        <w:tc>
          <w:tcPr>
            <w:tcW w:type="dxa" w:w="1440"/>
            <w:vAlign w:val="center"/>
            <w:tcMar>
              <w:top w:w="70" w:type="dxa"/>
              <w:start w:w="80" w:type="dxa"/>
              <w:bottom w:w="70" w:type="dxa"/>
              <w:end w:w="80" w:type="dxa"/>
            </w:tcMar>
          </w:tcPr>
          <w:p>
            <w:pPr>
              <w:spacing w:after="0"/>
            </w:pPr>
            <w:r/>
            <w:r>
              <w:rPr>
                <w:rFonts w:ascii="Arial" w:hAnsi="Arial"/>
                <w:b w:val="0"/>
                <w:sz w:val="15"/>
              </w:rPr>
              <w:t>99.99% target</w:t>
            </w:r>
          </w:p>
        </w:tc>
        <w:tc>
          <w:tcPr>
            <w:tcW w:type="dxa" w:w="1008"/>
            <w:vAlign w:val="center"/>
            <w:tcMar>
              <w:top w:w="70" w:type="dxa"/>
              <w:start w:w="80" w:type="dxa"/>
              <w:bottom w:w="70" w:type="dxa"/>
              <w:end w:w="80" w:type="dxa"/>
            </w:tcMar>
          </w:tcPr>
          <w:p>
            <w:pPr>
              <w:spacing w:after="0"/>
            </w:pPr>
            <w:r/>
            <w:r>
              <w:rPr>
                <w:rFonts w:ascii="Arial" w:hAnsi="Arial"/>
                <w:b w:val="0"/>
                <w:sz w:val="15"/>
              </w:rPr>
              <w:t>&lt;1 hour</w:t>
            </w:r>
          </w:p>
        </w:tc>
        <w:tc>
          <w:tcPr>
            <w:tcW w:type="dxa" w:w="1008"/>
            <w:vAlign w:val="center"/>
            <w:tcMar>
              <w:top w:w="70" w:type="dxa"/>
              <w:start w:w="80" w:type="dxa"/>
              <w:bottom w:w="70" w:type="dxa"/>
              <w:end w:w="80" w:type="dxa"/>
            </w:tcMar>
          </w:tcPr>
          <w:p>
            <w:pPr>
              <w:spacing w:after="0"/>
            </w:pPr>
            <w:r/>
            <w:r>
              <w:rPr>
                <w:rFonts w:ascii="Arial" w:hAnsi="Arial"/>
                <w:b w:val="0"/>
                <w:sz w:val="15"/>
              </w:rPr>
              <w:t>&lt;5 minutes</w:t>
            </w:r>
          </w:p>
        </w:tc>
        <w:tc>
          <w:tcPr>
            <w:tcW w:type="dxa" w:w="3240"/>
            <w:vAlign w:val="center"/>
            <w:tcMar>
              <w:top w:w="70" w:type="dxa"/>
              <w:start w:w="80" w:type="dxa"/>
              <w:bottom w:w="70" w:type="dxa"/>
              <w:end w:w="80" w:type="dxa"/>
            </w:tcMar>
          </w:tcPr>
          <w:p>
            <w:pPr>
              <w:spacing w:after="0"/>
            </w:pPr>
            <w:r/>
            <w:r>
              <w:rPr>
                <w:rFonts w:ascii="Arial" w:hAnsi="Arial"/>
                <w:b w:val="0"/>
                <w:sz w:val="15"/>
              </w:rPr>
              <w:t>24×7 on-call; quarterly recovery component test; annual regional exercise</w:t>
            </w:r>
          </w:p>
        </w:tc>
      </w:tr>
      <w:tr>
        <w:tc>
          <w:tcPr>
            <w:tcW w:type="dxa" w:w="864"/>
            <w:vAlign w:val="center"/>
            <w:tcMar>
              <w:top w:w="70" w:type="dxa"/>
              <w:start w:w="80" w:type="dxa"/>
              <w:bottom w:w="70" w:type="dxa"/>
              <w:end w:w="80" w:type="dxa"/>
            </w:tcMar>
            <w:shd w:fill="F8F9FA"/>
          </w:tcPr>
          <w:p>
            <w:pPr>
              <w:spacing w:after="0"/>
            </w:pPr>
            <w:r/>
            <w:r>
              <w:rPr>
                <w:rFonts w:ascii="Arial" w:hAnsi="Arial"/>
                <w:b w:val="0"/>
                <w:sz w:val="15"/>
              </w:rPr>
              <w:t>Tier 1</w:t>
            </w:r>
          </w:p>
        </w:tc>
        <w:tc>
          <w:tcPr>
            <w:tcW w:type="dxa" w:w="2520"/>
            <w:vAlign w:val="center"/>
            <w:tcMar>
              <w:top w:w="70" w:type="dxa"/>
              <w:start w:w="80" w:type="dxa"/>
              <w:bottom w:w="70" w:type="dxa"/>
              <w:end w:w="80" w:type="dxa"/>
            </w:tcMar>
            <w:shd w:fill="F8F9FA"/>
          </w:tcPr>
          <w:p>
            <w:pPr>
              <w:spacing w:after="0"/>
            </w:pPr>
            <w:r/>
            <w:r>
              <w:rPr>
                <w:rFonts w:ascii="Arial" w:hAnsi="Arial"/>
                <w:b w:val="0"/>
                <w:sz w:val="15"/>
              </w:rPr>
              <w:t>Major business-process disruption or missed regulatory/operational deadline</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99.9% target</w:t>
            </w:r>
          </w:p>
        </w:tc>
        <w:tc>
          <w:tcPr>
            <w:tcW w:type="dxa" w:w="1008"/>
            <w:vAlign w:val="center"/>
            <w:tcMar>
              <w:top w:w="70" w:type="dxa"/>
              <w:start w:w="80" w:type="dxa"/>
              <w:bottom w:w="70" w:type="dxa"/>
              <w:end w:w="80" w:type="dxa"/>
            </w:tcMar>
            <w:shd w:fill="F8F9FA"/>
          </w:tcPr>
          <w:p>
            <w:pPr>
              <w:spacing w:after="0"/>
            </w:pPr>
            <w:r/>
            <w:r>
              <w:rPr>
                <w:rFonts w:ascii="Arial" w:hAnsi="Arial"/>
                <w:b w:val="0"/>
                <w:sz w:val="15"/>
              </w:rPr>
              <w:t>&lt;4 hours</w:t>
            </w:r>
          </w:p>
        </w:tc>
        <w:tc>
          <w:tcPr>
            <w:tcW w:type="dxa" w:w="1008"/>
            <w:vAlign w:val="center"/>
            <w:tcMar>
              <w:top w:w="70" w:type="dxa"/>
              <w:start w:w="80" w:type="dxa"/>
              <w:bottom w:w="70" w:type="dxa"/>
              <w:end w:w="80" w:type="dxa"/>
            </w:tcMar>
            <w:shd w:fill="F8F9FA"/>
          </w:tcPr>
          <w:p>
            <w:pPr>
              <w:spacing w:after="0"/>
            </w:pPr>
            <w:r/>
            <w:r>
              <w:rPr>
                <w:rFonts w:ascii="Arial" w:hAnsi="Arial"/>
                <w:b w:val="0"/>
                <w:sz w:val="15"/>
              </w:rPr>
              <w:t>&lt;15 minutes</w:t>
            </w:r>
          </w:p>
        </w:tc>
        <w:tc>
          <w:tcPr>
            <w:tcW w:type="dxa" w:w="3240"/>
            <w:vAlign w:val="center"/>
            <w:tcMar>
              <w:top w:w="70" w:type="dxa"/>
              <w:start w:w="80" w:type="dxa"/>
              <w:bottom w:w="70" w:type="dxa"/>
              <w:end w:w="80" w:type="dxa"/>
            </w:tcMar>
            <w:shd w:fill="F8F9FA"/>
          </w:tcPr>
          <w:p>
            <w:pPr>
              <w:spacing w:after="0"/>
            </w:pPr>
            <w:r/>
            <w:r>
              <w:rPr>
                <w:rFonts w:ascii="Arial" w:hAnsi="Arial"/>
                <w:b w:val="0"/>
                <w:sz w:val="15"/>
              </w:rPr>
              <w:t>24×7 or business-critical on-call; semiannual recovery exercise</w:t>
            </w:r>
          </w:p>
        </w:tc>
      </w:tr>
      <w:tr>
        <w:tc>
          <w:tcPr>
            <w:tcW w:type="dxa" w:w="864"/>
            <w:vAlign w:val="center"/>
            <w:tcMar>
              <w:top w:w="70" w:type="dxa"/>
              <w:start w:w="80" w:type="dxa"/>
              <w:bottom w:w="70" w:type="dxa"/>
              <w:end w:w="80" w:type="dxa"/>
            </w:tcMar>
          </w:tcPr>
          <w:p>
            <w:pPr>
              <w:spacing w:after="0"/>
            </w:pPr>
            <w:r/>
            <w:r>
              <w:rPr>
                <w:rFonts w:ascii="Arial" w:hAnsi="Arial"/>
                <w:b w:val="0"/>
                <w:sz w:val="15"/>
              </w:rPr>
              <w:t>Tier 2</w:t>
            </w:r>
          </w:p>
        </w:tc>
        <w:tc>
          <w:tcPr>
            <w:tcW w:type="dxa" w:w="2520"/>
            <w:vAlign w:val="center"/>
            <w:tcMar>
              <w:top w:w="70" w:type="dxa"/>
              <w:start w:w="80" w:type="dxa"/>
              <w:bottom w:w="70" w:type="dxa"/>
              <w:end w:w="80" w:type="dxa"/>
            </w:tcMar>
          </w:tcPr>
          <w:p>
            <w:pPr>
              <w:spacing w:after="0"/>
            </w:pPr>
            <w:r/>
            <w:r>
              <w:rPr>
                <w:rFonts w:ascii="Arial" w:hAnsi="Arial"/>
                <w:b w:val="0"/>
                <w:sz w:val="15"/>
              </w:rPr>
              <w:t>Important analytics with tolerable delayed recovery</w:t>
            </w:r>
          </w:p>
        </w:tc>
        <w:tc>
          <w:tcPr>
            <w:tcW w:type="dxa" w:w="1440"/>
            <w:vAlign w:val="center"/>
            <w:tcMar>
              <w:top w:w="70" w:type="dxa"/>
              <w:start w:w="80" w:type="dxa"/>
              <w:bottom w:w="70" w:type="dxa"/>
              <w:end w:w="80" w:type="dxa"/>
            </w:tcMar>
          </w:tcPr>
          <w:p>
            <w:pPr>
              <w:spacing w:after="0"/>
            </w:pPr>
            <w:r/>
            <w:r>
              <w:rPr>
                <w:rFonts w:ascii="Arial" w:hAnsi="Arial"/>
                <w:b w:val="0"/>
                <w:sz w:val="15"/>
              </w:rPr>
              <w:t>99.5% target</w:t>
            </w:r>
          </w:p>
        </w:tc>
        <w:tc>
          <w:tcPr>
            <w:tcW w:type="dxa" w:w="1008"/>
            <w:vAlign w:val="center"/>
            <w:tcMar>
              <w:top w:w="70" w:type="dxa"/>
              <w:start w:w="80" w:type="dxa"/>
              <w:bottom w:w="70" w:type="dxa"/>
              <w:end w:w="80" w:type="dxa"/>
            </w:tcMar>
          </w:tcPr>
          <w:p>
            <w:pPr>
              <w:spacing w:after="0"/>
            </w:pPr>
            <w:r/>
            <w:r>
              <w:rPr>
                <w:rFonts w:ascii="Arial" w:hAnsi="Arial"/>
                <w:b w:val="0"/>
                <w:sz w:val="15"/>
              </w:rPr>
              <w:t>&lt;24 hours</w:t>
            </w:r>
          </w:p>
        </w:tc>
        <w:tc>
          <w:tcPr>
            <w:tcW w:type="dxa" w:w="1008"/>
            <w:vAlign w:val="center"/>
            <w:tcMar>
              <w:top w:w="70" w:type="dxa"/>
              <w:start w:w="80" w:type="dxa"/>
              <w:bottom w:w="70" w:type="dxa"/>
              <w:end w:w="80" w:type="dxa"/>
            </w:tcMar>
          </w:tcPr>
          <w:p>
            <w:pPr>
              <w:spacing w:after="0"/>
            </w:pPr>
            <w:r/>
            <w:r>
              <w:rPr>
                <w:rFonts w:ascii="Arial" w:hAnsi="Arial"/>
                <w:b w:val="0"/>
                <w:sz w:val="15"/>
              </w:rPr>
              <w:t>&lt;24 hours</w:t>
            </w:r>
          </w:p>
        </w:tc>
        <w:tc>
          <w:tcPr>
            <w:tcW w:type="dxa" w:w="3240"/>
            <w:vAlign w:val="center"/>
            <w:tcMar>
              <w:top w:w="70" w:type="dxa"/>
              <w:start w:w="80" w:type="dxa"/>
              <w:bottom w:w="70" w:type="dxa"/>
              <w:end w:w="80" w:type="dxa"/>
            </w:tcMar>
          </w:tcPr>
          <w:p>
            <w:pPr>
              <w:spacing w:after="0"/>
            </w:pPr>
            <w:r/>
            <w:r>
              <w:rPr>
                <w:rFonts w:ascii="Arial" w:hAnsi="Arial"/>
                <w:b w:val="0"/>
                <w:sz w:val="15"/>
              </w:rPr>
              <w:t>Business-hours support; annual restore test</w:t>
            </w:r>
          </w:p>
        </w:tc>
      </w:tr>
      <w:tr>
        <w:tc>
          <w:tcPr>
            <w:tcW w:type="dxa" w:w="864"/>
            <w:vAlign w:val="center"/>
            <w:tcMar>
              <w:top w:w="70" w:type="dxa"/>
              <w:start w:w="80" w:type="dxa"/>
              <w:bottom w:w="70" w:type="dxa"/>
              <w:end w:w="80" w:type="dxa"/>
            </w:tcMar>
            <w:shd w:fill="F8F9FA"/>
          </w:tcPr>
          <w:p>
            <w:pPr>
              <w:spacing w:after="0"/>
            </w:pPr>
            <w:r/>
            <w:r>
              <w:rPr>
                <w:rFonts w:ascii="Arial" w:hAnsi="Arial"/>
                <w:b w:val="0"/>
                <w:sz w:val="15"/>
              </w:rPr>
              <w:t>Tier 3</w:t>
            </w:r>
          </w:p>
        </w:tc>
        <w:tc>
          <w:tcPr>
            <w:tcW w:type="dxa" w:w="2520"/>
            <w:vAlign w:val="center"/>
            <w:tcMar>
              <w:top w:w="70" w:type="dxa"/>
              <w:start w:w="80" w:type="dxa"/>
              <w:bottom w:w="70" w:type="dxa"/>
              <w:end w:w="80" w:type="dxa"/>
            </w:tcMar>
            <w:shd w:fill="F8F9FA"/>
          </w:tcPr>
          <w:p>
            <w:pPr>
              <w:spacing w:after="0"/>
            </w:pPr>
            <w:r/>
            <w:r>
              <w:rPr>
                <w:rFonts w:ascii="Arial" w:hAnsi="Arial"/>
                <w:b w:val="0"/>
                <w:sz w:val="15"/>
              </w:rPr>
              <w:t>Experimentation, development or disposable workloads</w:t>
            </w:r>
          </w:p>
        </w:tc>
        <w:tc>
          <w:tcPr>
            <w:tcW w:type="dxa" w:w="1440"/>
            <w:vAlign w:val="center"/>
            <w:tcMar>
              <w:top w:w="70" w:type="dxa"/>
              <w:start w:w="80" w:type="dxa"/>
              <w:bottom w:w="70" w:type="dxa"/>
              <w:end w:w="80" w:type="dxa"/>
            </w:tcMar>
            <w:shd w:fill="F8F9FA"/>
          </w:tcPr>
          <w:p>
            <w:pPr>
              <w:spacing w:after="0"/>
            </w:pPr>
            <w:r/>
            <w:r>
              <w:rPr>
                <w:rFonts w:ascii="Arial" w:hAnsi="Arial"/>
                <w:b w:val="0"/>
                <w:sz w:val="15"/>
              </w:rPr>
              <w:t>Best effort</w:t>
            </w:r>
          </w:p>
        </w:tc>
        <w:tc>
          <w:tcPr>
            <w:tcW w:type="dxa" w:w="1008"/>
            <w:vAlign w:val="center"/>
            <w:tcMar>
              <w:top w:w="70" w:type="dxa"/>
              <w:start w:w="80" w:type="dxa"/>
              <w:bottom w:w="70" w:type="dxa"/>
              <w:end w:w="80" w:type="dxa"/>
            </w:tcMar>
            <w:shd w:fill="F8F9FA"/>
          </w:tcPr>
          <w:p>
            <w:pPr>
              <w:spacing w:after="0"/>
            </w:pPr>
            <w:r/>
            <w:r>
              <w:rPr>
                <w:rFonts w:ascii="Arial" w:hAnsi="Arial"/>
                <w:b w:val="0"/>
                <w:sz w:val="15"/>
              </w:rPr>
              <w:t>Rebuild</w:t>
            </w:r>
          </w:p>
        </w:tc>
        <w:tc>
          <w:tcPr>
            <w:tcW w:type="dxa" w:w="1008"/>
            <w:vAlign w:val="center"/>
            <w:tcMar>
              <w:top w:w="70" w:type="dxa"/>
              <w:start w:w="80" w:type="dxa"/>
              <w:bottom w:w="70" w:type="dxa"/>
              <w:end w:w="80" w:type="dxa"/>
            </w:tcMar>
            <w:shd w:fill="F8F9FA"/>
          </w:tcPr>
          <w:p>
            <w:pPr>
              <w:spacing w:after="0"/>
            </w:pPr>
            <w:r/>
            <w:r>
              <w:rPr>
                <w:rFonts w:ascii="Arial" w:hAnsi="Arial"/>
                <w:b w:val="0"/>
                <w:sz w:val="15"/>
              </w:rPr>
              <w:t>No guarantee</w:t>
            </w:r>
          </w:p>
        </w:tc>
        <w:tc>
          <w:tcPr>
            <w:tcW w:type="dxa" w:w="3240"/>
            <w:vAlign w:val="center"/>
            <w:tcMar>
              <w:top w:w="70" w:type="dxa"/>
              <w:start w:w="80" w:type="dxa"/>
              <w:bottom w:w="70" w:type="dxa"/>
              <w:end w:w="80" w:type="dxa"/>
            </w:tcMar>
            <w:shd w:fill="F8F9FA"/>
          </w:tcPr>
          <w:p>
            <w:pPr>
              <w:spacing w:after="0"/>
            </w:pPr>
            <w:r/>
            <w:r>
              <w:rPr>
                <w:rFonts w:ascii="Arial" w:hAnsi="Arial"/>
                <w:b w:val="0"/>
                <w:sz w:val="15"/>
              </w:rPr>
              <w:t>Quota, expiry and data-class restrictions</w:t>
            </w:r>
          </w:p>
        </w:tc>
      </w:tr>
    </w:tbl>
    <w:p>
      <w:pPr>
        <w:spacing w:after="20"/>
      </w:pPr>
    </w:p>
    <w:tbl>
      <w:tblPr>
        <w:tblW w:type="auto" w:w="0"/>
        <w:jc w:val="center"/>
        <w:tblLook w:firstColumn="1" w:firstRow="1" w:lastColumn="0" w:lastRow="0" w:noHBand="0" w:noVBand="1" w:val="04A0"/>
      </w:tblPr>
      <w:tblGrid>
        <w:gridCol w:w="10166"/>
      </w:tblGrid>
      <w:tr>
        <w:tc>
          <w:tcPr>
            <w:tcW w:type="dxa" w:w="10166"/>
            <w:shd w:fill="E8F0FE"/>
            <w:tcMar>
              <w:top w:w="120" w:type="dxa"/>
              <w:start w:w="140" w:type="dxa"/>
              <w:bottom w:w="120" w:type="dxa"/>
              <w:end w:w="140" w:type="dxa"/>
            </w:tcMar>
          </w:tcPr>
          <w:p>
            <w:pPr>
              <w:spacing w:after="80"/>
            </w:pPr>
            <w:r>
              <w:rPr>
                <w:rFonts w:ascii="Arial" w:hAnsi="Arial"/>
                <w:b/>
                <w:color w:val="1A73E8"/>
                <w:sz w:val="20"/>
              </w:rPr>
              <w:t>Verification policy</w:t>
            </w:r>
          </w:p>
          <w:p>
            <w:pPr>
              <w:pStyle w:val="BodyText"/>
              <w:spacing w:after="0"/>
            </w:pPr>
            <w:r>
              <w:t>Availability, latency, quality and recovery objectives must be measured at the data-product or user-journey boundary. Provider service availability alone is not sufficient evidence.</w:t>
            </w:r>
          </w:p>
        </w:tc>
      </w:tr>
    </w:tbl>
    <w:p>
      <w:pPr>
        <w:spacing w:after="20"/>
      </w:pPr>
    </w:p>
    <w:p>
      <w:pPr>
        <w:pStyle w:val="Heading1"/>
      </w:pPr>
      <w:r>
        <w:t>5. Architecture Principles</w:t>
      </w:r>
    </w:p>
    <w:p>
      <w:pPr>
        <w:pStyle w:val="Lead"/>
      </w:pPr>
      <w:r>
        <w:t>The principles are binding design constraints for the enterprise platform. They are intended to reduce one-off decisions, improve interoperability and make security, reliability and economics repeatable across domains.</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Twenty enforceable principles; Required behaviors; Exception criteria; Conformance evidence.</w:t>
            </w:r>
          </w:p>
        </w:tc>
      </w:tr>
    </w:tbl>
    <w:p>
      <w:pPr>
        <w:spacing w:after="20"/>
      </w:pPr>
    </w:p>
    <w:p>
      <w:pPr>
        <w:pStyle w:val="Heading2"/>
      </w:pPr>
      <w:r>
        <w:t>5.1 AP-01 — Business value before technology</w:t>
      </w:r>
    </w:p>
    <w:p>
      <w:r>
        <w:rPr>
          <w:b/>
        </w:rPr>
        <w:t>Every platform capability and real-time requirement must map to a measurable business, regulatory or operational outcome.</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Architecture proposals state the outcome, baseline, target and owner; unnecessary low-latency or duplicated capabilities are rejected.</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A separate approved risk or regulatory obligation justifies the capability.</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Business case, outcome metric and portfolio traceability.</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5.2 AP-02 — Data is an enterprise asset and a domain-owned product</w:t>
      </w:r>
    </w:p>
    <w:p>
      <w:r>
        <w:rPr>
          <w:b/>
        </w:rPr>
        <w:t>Domains own meaning, quality and support; the platform provides shared controls and delivery mechanisms.</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Each published product has an owner, contract, SLO, classification, consumers, lifecycle state and support model.</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Temporary migration datasets may have transitional ownership with an expiry date.</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Catalog metadata, product manifest and RACI.</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5.3 AP-03 — Security and privacy by design</w:t>
      </w:r>
    </w:p>
    <w:p>
      <w:r>
        <w:rPr>
          <w:b/>
        </w:rPr>
        <w:t>Security controls are designed with the service, not added after implementation.</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Threat modeling, least privilege, data classification, private access, logging and privacy controls are part of the initial design.</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No exception for legal or regulated controls; technical exceptions need compensating controls and expiry.</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Threat model, access tests, policy scans and security review.</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5.4 AP-04 — Zero Trust access</w:t>
      </w:r>
    </w:p>
    <w:p>
      <w:r>
        <w:rPr>
          <w:b/>
        </w:rPr>
        <w:t>Trust is based on verified identity, context, device/workload posture and explicit authorization rather than network location.</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Federated identities, short-lived credentials, service-account impersonation and context-aware access are used.</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Legacy protocols may use isolated gateways during migration.</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Identity-flow diagram, entitlement review and credential scan.</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5.5 AP-05 — Regional sovereignty with global governance</w:t>
      </w:r>
    </w:p>
    <w:p>
      <w:r>
        <w:rPr>
          <w:b/>
        </w:rPr>
        <w:t>Data is processed in approved locations while policies, metadata and product standards remain globally consistent.</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Residency classes determine project, region, transfer and replication behavior.</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Cross-region transfer requires legal purpose, data-owner approval and recorded controls.</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Residency matrix, resource-location policy and transfer register.</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5.6 AP-06 — Managed and serverless first</w:t>
      </w:r>
    </w:p>
    <w:p>
      <w:r>
        <w:rPr>
          <w:b/>
        </w:rPr>
        <w:t>Use managed and serverless services when they satisfy functional, security, performance and portability requirements.</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BigQuery, Dataflow, Pub/Sub, Datastream, Cloud Run and managed orchestration are preferred to self-managed clusters.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Self-managed technology requires a documented feature gap, support model and exit plan.</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Technology-selection matrix and ADR.</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5.7 AP-07 — Separate storage and compute</w:t>
      </w:r>
    </w:p>
    <w:p>
      <w:r>
        <w:rPr>
          <w:b/>
        </w:rPr>
        <w:t>Persistent data is not coupled to fixed processing capacity.</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Use Cloud Storage, BigQuery and BigLake as durable layers; allocate independent compute for SQL, streaming, Spark, BI and AI.</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Specialized operational stores may combine characteristics when justified.</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Physical architecture and cost model.</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5.8 AP-08 — Open formats where they create value</w:t>
      </w:r>
    </w:p>
    <w:p>
      <w:r>
        <w:rPr>
          <w:b/>
        </w:rPr>
        <w:t>Open formats are used for interoperability, archival or multi-engine access—not as a blanket rule.</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Parquet or Iceberg is considered for lakehouse workloads; native BigQuery tables are preferred for managed analytical serving.</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A closed format may be used where it materially improves reliability, security or service capability.</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Format decision, interoperability test and lifecycle plan.</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5.9 AP-09 — Immutable source history and reproducible processing</w:t>
      </w:r>
    </w:p>
    <w:p>
      <w:r>
        <w:rPr>
          <w:b/>
        </w:rPr>
        <w:t>The enterprise must be able to explain and reproduce published data.</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Retain replayable raw records or equivalent source evidence; transformations are versioned and deterministic where practical.</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Legal deletion and source restrictions may require controlled mutation.</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Replay test, code version and reconciliation evidence.</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5.10 AP-10 — Metadata and contracts are first-class</w:t>
      </w:r>
    </w:p>
    <w:p>
      <w:r>
        <w:rPr>
          <w:b/>
        </w:rPr>
        <w:t>Schemas, ownership, quality, SLOs, classifications and interfaces are managed as deployable metadata.</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Pipelines cannot publish certified products without contract metadata and compatibility checks.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Exploratory assets may use lightweight metadata but must be clearly non-certified.</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Catalog checks and CI validation.</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5.11 AP-11 — Automate policy and delivery</w:t>
      </w:r>
    </w:p>
    <w:p>
      <w:r>
        <w:rPr>
          <w:b/>
        </w:rPr>
        <w:t>Manual console configuration is not the production operating model.</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Use Terraform, policy-as-code, CI/CD, automated quality gates and evidence collection.</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Emergency changes are time-bound, logged and reconciled to code.</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Asset-to-code reconciliation and deployment provenance.</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5.12 AP-12 — Design for failure and recovery</w:t>
      </w:r>
    </w:p>
    <w:p>
      <w:r>
        <w:rPr>
          <w:b/>
        </w:rPr>
        <w:t>Every critical data flow has documented failure modes, recovery procedures and tested objectives.</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Include retries, dead letters, checkpoints, replay, backup/restore, dependency failure and regional recovery.</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Tier 3 experiments may be rebuild-only.</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Failure-mode analysis, runbook and test evidence.</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5.13 AP-13 — Observability at the product boundary</w:t>
      </w:r>
    </w:p>
    <w:p>
      <w:r>
        <w:rPr>
          <w:b/>
        </w:rPr>
        <w:t>Technical component health is insufficient without freshness, quality and consumer-impact telemetry.</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Measure end-to-end latency, product availability, quality, adoption, cost and dependencies.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None for Tier 0/1 products; lightweight telemetry permitted for sandboxes.</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SLO dashboard, alert tests and owner metadata.</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5.14 AP-14 — Cost is an architecture metric</w:t>
      </w:r>
    </w:p>
    <w:p>
      <w:r>
        <w:rPr>
          <w:b/>
        </w:rPr>
        <w:t>Teams own the economic consequences of design and consumption.</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Allocate cost by product/domain, define unit economics, use budgets, reservations and lifecycle policies, and review anomalies.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Shared foundational spend may be centrally funded but remains transparent.</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Showback report, unit metrics and optimization backlog.</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5.15 AP-15 — Paved roads over unrestricted choice</w:t>
      </w:r>
    </w:p>
    <w:p>
      <w:r>
        <w:rPr>
          <w:b/>
        </w:rPr>
        <w:t>The platform offers approved golden paths that cover common workloads and accelerate delivery.</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Teams start with reusable modules, pipeline templates, IAM patterns and operating standards.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Exceptions require a feature gap, risk analysis, ownership and retirement/standardization plan.</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Template adoption and exception register.</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5.16 AP-16 — Least data movement</w:t>
      </w:r>
    </w:p>
    <w:p>
      <w:r>
        <w:rPr>
          <w:b/>
        </w:rPr>
        <w:t>Move or copy data only for residency, performance, isolation, recovery or contractual reasons.</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Prefer in-place governed access, authorized views and managed sharing; avoid uncontrolled extracts.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Approved regulatory archive or external contract may require a copy.</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Data-flow inventory and transfer-cost analysis.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5.17 AP-17 — Consumer contracts and backward compatibility</w:t>
      </w:r>
    </w:p>
    <w:p>
      <w:r>
        <w:rPr>
          <w:b/>
        </w:rPr>
        <w:t>Published products evolve without silently breaking consumers.</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Use semantic versioning, compatibility tests, deprecation windows and migration communications.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Emergency security fixes may require accelerated change with executive communication.</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Contract test and consumer-impact record.</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5.18 AP-18 — Federated governance, centrally assured</w:t>
      </w:r>
    </w:p>
    <w:p>
      <w:r>
        <w:rPr>
          <w:b/>
        </w:rPr>
        <w:t>Central teams define policies and guardrails; domains execute and own outcomes.</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Automated conformance, common classifications and delegated stewardship are required.</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Highly regulated domains may use additional centralized approval.</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Governance RACI and conformance dashboard.</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5.19 AP-19 — AI uses governed data and explicit risk tiers</w:t>
      </w:r>
    </w:p>
    <w:p>
      <w:r>
        <w:rPr>
          <w:b/>
        </w:rPr>
        <w:t>AI does not create an alternative uncontrolled path to enterprise information.</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Training, RAG and inference use approved data products, service identities, evaluations, audit and human oversight based on risk.</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Public low-risk experimentation may use approved non-sensitive data in sandbox controls.</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AI use-case registration, evaluation report and model card.</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pPr>
        <w:pStyle w:val="Heading2"/>
      </w:pPr>
      <w:r>
        <w:t>5.20 AP-20 — Prefer reversible decisions and planned exits</w:t>
      </w:r>
    </w:p>
    <w:p>
      <w:r>
        <w:rPr>
          <w:b/>
        </w:rPr>
        <w:t>Architecture minimizes lock-in where it is economically sensible and documents exit strategies for material dependencies.</w:t>
      </w:r>
    </w:p>
    <w:p>
      <w:r>
        <w:t>This principle applies to new platform capabilities, domain data products and material changes to existing services. Reviewers should assess both the design intent and the evidence produced by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Element</w:t>
            </w:r>
          </w:p>
        </w:tc>
        <w:tc>
          <w:tcPr>
            <w:tcW w:type="dxa" w:w="7848"/>
            <w:vAlign w:val="center"/>
            <w:tcMar>
              <w:top w:w="70" w:type="dxa"/>
              <w:start w:w="80" w:type="dxa"/>
              <w:bottom w:w="70" w:type="dxa"/>
              <w:end w:w="80" w:type="dxa"/>
            </w:tcMar>
            <w:shd w:fill="1A73E8"/>
          </w:tcPr>
          <w:p>
            <w:pPr>
              <w:spacing w:after="0"/>
            </w:pPr>
            <w:r/>
            <w:r>
              <w:rPr>
                <w:rFonts w:ascii="Arial" w:hAnsi="Arial"/>
                <w:b/>
                <w:color w:val="FFFFFF"/>
                <w:sz w:val="16"/>
              </w:rPr>
              <w:t>Requirement</w:t>
            </w:r>
          </w:p>
        </w:tc>
      </w:tr>
      <w:tr>
        <w:tc>
          <w:tcPr>
            <w:tcW w:type="dxa" w:w="2088"/>
            <w:vAlign w:val="center"/>
            <w:tcMar>
              <w:top w:w="70" w:type="dxa"/>
              <w:start w:w="80" w:type="dxa"/>
              <w:bottom w:w="70" w:type="dxa"/>
              <w:end w:w="80" w:type="dxa"/>
            </w:tcMar>
          </w:tcPr>
          <w:p>
            <w:pPr>
              <w:spacing w:after="0"/>
            </w:pPr>
            <w:r/>
            <w:r>
              <w:rPr>
                <w:rFonts w:ascii="Arial" w:hAnsi="Arial"/>
                <w:b w:val="0"/>
                <w:sz w:val="16"/>
              </w:rPr>
              <w:t>Required behavior</w:t>
            </w:r>
          </w:p>
        </w:tc>
        <w:tc>
          <w:tcPr>
            <w:tcW w:type="dxa" w:w="7848"/>
            <w:vAlign w:val="center"/>
            <w:tcMar>
              <w:top w:w="70" w:type="dxa"/>
              <w:start w:w="80" w:type="dxa"/>
              <w:bottom w:w="70" w:type="dxa"/>
              <w:end w:w="80" w:type="dxa"/>
            </w:tcMar>
          </w:tcPr>
          <w:p>
            <w:pPr>
              <w:spacing w:after="0"/>
            </w:pPr>
            <w:r/>
            <w:r>
              <w:rPr>
                <w:rFonts w:ascii="Arial" w:hAnsi="Arial"/>
                <w:b w:val="0"/>
                <w:sz w:val="16"/>
              </w:rPr>
              <w:t>Use interfaces, portable data formats, versioned code, export procedures and periodic decision reviews.</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Exception rule</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Deep managed-service adoption is accepted when benefits exceed switching risk.</w:t>
            </w:r>
          </w:p>
        </w:tc>
      </w:tr>
      <w:tr>
        <w:tc>
          <w:tcPr>
            <w:tcW w:type="dxa" w:w="2088"/>
            <w:vAlign w:val="center"/>
            <w:tcMar>
              <w:top w:w="70" w:type="dxa"/>
              <w:start w:w="80" w:type="dxa"/>
              <w:bottom w:w="70" w:type="dxa"/>
              <w:end w:w="80" w:type="dxa"/>
            </w:tcMar>
          </w:tcPr>
          <w:p>
            <w:pPr>
              <w:spacing w:after="0"/>
            </w:pPr>
            <w:r/>
            <w:r>
              <w:rPr>
                <w:rFonts w:ascii="Arial" w:hAnsi="Arial"/>
                <w:b w:val="0"/>
                <w:sz w:val="16"/>
              </w:rPr>
              <w:t>Conformance evidence</w:t>
            </w:r>
          </w:p>
        </w:tc>
        <w:tc>
          <w:tcPr>
            <w:tcW w:type="dxa" w:w="7848"/>
            <w:vAlign w:val="center"/>
            <w:tcMar>
              <w:top w:w="70" w:type="dxa"/>
              <w:start w:w="80" w:type="dxa"/>
              <w:bottom w:w="70" w:type="dxa"/>
              <w:end w:w="80" w:type="dxa"/>
            </w:tcMar>
          </w:tcPr>
          <w:p>
            <w:pPr>
              <w:spacing w:after="0"/>
            </w:pPr>
            <w:r/>
            <w:r>
              <w:rPr>
                <w:rFonts w:ascii="Arial" w:hAnsi="Arial"/>
                <w:b w:val="0"/>
                <w:sz w:val="16"/>
              </w:rPr>
              <w:t>ADR review trigger, recovery/export test and lifecycle plan.</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Review owner</w:t>
            </w:r>
          </w:p>
        </w:tc>
        <w:tc>
          <w:tcPr>
            <w:tcW w:type="dxa" w:w="7848"/>
            <w:vAlign w:val="center"/>
            <w:tcMar>
              <w:top w:w="70" w:type="dxa"/>
              <w:start w:w="80" w:type="dxa"/>
              <w:bottom w:w="70" w:type="dxa"/>
              <w:end w:w="80" w:type="dxa"/>
            </w:tcMar>
            <w:shd w:fill="F8F9FA"/>
          </w:tcPr>
          <w:p>
            <w:pPr>
              <w:spacing w:after="0"/>
            </w:pPr>
            <w:r/>
            <w:r>
              <w:rPr>
                <w:rFonts w:ascii="Arial" w:hAnsi="Arial"/>
                <w:b w:val="0"/>
                <w:sz w:val="16"/>
              </w:rPr>
              <w:t>Enterprise Architecture with Security, Data Governance, SRE or FinOps participation as applicable.</w:t>
            </w:r>
          </w:p>
        </w:tc>
      </w:tr>
      <w:tr>
        <w:tc>
          <w:tcPr>
            <w:tcW w:type="dxa" w:w="2088"/>
            <w:vAlign w:val="center"/>
            <w:tcMar>
              <w:top w:w="70" w:type="dxa"/>
              <w:start w:w="80" w:type="dxa"/>
              <w:bottom w:w="70" w:type="dxa"/>
              <w:end w:w="80" w:type="dxa"/>
            </w:tcMar>
          </w:tcPr>
          <w:p>
            <w:pPr>
              <w:spacing w:after="0"/>
            </w:pPr>
            <w:r/>
            <w:r>
              <w:rPr>
                <w:rFonts w:ascii="Arial" w:hAnsi="Arial"/>
                <w:b w:val="0"/>
                <w:sz w:val="16"/>
              </w:rPr>
              <w:t>Failure consequence</w:t>
            </w:r>
          </w:p>
        </w:tc>
        <w:tc>
          <w:tcPr>
            <w:tcW w:type="dxa" w:w="7848"/>
            <w:vAlign w:val="center"/>
            <w:tcMar>
              <w:top w:w="70" w:type="dxa"/>
              <w:start w:w="80" w:type="dxa"/>
              <w:bottom w:w="70" w:type="dxa"/>
              <w:end w:w="80" w:type="dxa"/>
            </w:tcMar>
          </w:tcPr>
          <w:p>
            <w:pPr>
              <w:spacing w:after="0"/>
            </w:pPr>
            <w:r/>
            <w:r>
              <w:rPr>
                <w:rFonts w:ascii="Arial" w:hAnsi="Arial"/>
                <w:b w:val="0"/>
                <w:sz w:val="16"/>
              </w:rPr>
              <w:t>The design remains conditional or is recorded as a time-bound architecture exception.</w:t>
            </w:r>
          </w:p>
        </w:tc>
      </w:tr>
    </w:tbl>
    <w:p>
      <w:pPr>
        <w:spacing w:after="20"/>
      </w:pPr>
    </w:p>
    <w:p>
      <w:r>
        <w:br w:type="page"/>
      </w:r>
    </w:p>
    <w:p>
      <w:pPr>
        <w:pStyle w:val="Heading2"/>
      </w:pPr>
      <w:r>
        <w:t>5.21 Principle Conformance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Rating</w:t>
            </w:r>
          </w:p>
        </w:tc>
        <w:tc>
          <w:tcPr>
            <w:tcW w:type="dxa" w:w="4968"/>
            <w:vAlign w:val="center"/>
            <w:tcMar>
              <w:top w:w="70" w:type="dxa"/>
              <w:start w:w="80" w:type="dxa"/>
              <w:bottom w:w="70" w:type="dxa"/>
              <w:end w:w="80" w:type="dxa"/>
            </w:tcMar>
            <w:shd w:fill="1A73E8"/>
          </w:tcPr>
          <w:p>
            <w:pPr>
              <w:spacing w:after="0"/>
            </w:pPr>
            <w:r/>
            <w:r>
              <w:rPr>
                <w:rFonts w:ascii="Arial" w:hAnsi="Arial"/>
                <w:b/>
                <w:color w:val="FFFFFF"/>
                <w:sz w:val="16"/>
              </w:rPr>
              <w:t>Definition</w:t>
            </w:r>
          </w:p>
        </w:tc>
        <w:tc>
          <w:tcPr>
            <w:tcW w:type="dxa" w:w="3168"/>
            <w:vAlign w:val="center"/>
            <w:tcMar>
              <w:top w:w="70" w:type="dxa"/>
              <w:start w:w="80" w:type="dxa"/>
              <w:bottom w:w="70" w:type="dxa"/>
              <w:end w:w="80" w:type="dxa"/>
            </w:tcMar>
            <w:shd w:fill="1A73E8"/>
          </w:tcPr>
          <w:p>
            <w:pPr>
              <w:spacing w:after="0"/>
            </w:pPr>
            <w:r/>
            <w:r>
              <w:rPr>
                <w:rFonts w:ascii="Arial" w:hAnsi="Arial"/>
                <w:b/>
                <w:color w:val="FFFFFF"/>
                <w:sz w:val="16"/>
              </w:rPr>
              <w:t>Action</w:t>
            </w:r>
          </w:p>
        </w:tc>
      </w:tr>
      <w:tr>
        <w:tc>
          <w:tcPr>
            <w:tcW w:type="dxa" w:w="1800"/>
            <w:vAlign w:val="center"/>
            <w:tcMar>
              <w:top w:w="70" w:type="dxa"/>
              <w:start w:w="80" w:type="dxa"/>
              <w:bottom w:w="70" w:type="dxa"/>
              <w:end w:w="80" w:type="dxa"/>
            </w:tcMar>
          </w:tcPr>
          <w:p>
            <w:pPr>
              <w:spacing w:after="0"/>
            </w:pPr>
            <w:r/>
            <w:r>
              <w:rPr>
                <w:rFonts w:ascii="Arial" w:hAnsi="Arial"/>
                <w:b w:val="0"/>
                <w:sz w:val="16"/>
              </w:rPr>
              <w:t>Conformant</w:t>
            </w:r>
          </w:p>
        </w:tc>
        <w:tc>
          <w:tcPr>
            <w:tcW w:type="dxa" w:w="4968"/>
            <w:vAlign w:val="center"/>
            <w:tcMar>
              <w:top w:w="70" w:type="dxa"/>
              <w:start w:w="80" w:type="dxa"/>
              <w:bottom w:w="70" w:type="dxa"/>
              <w:end w:w="80" w:type="dxa"/>
            </w:tcMar>
          </w:tcPr>
          <w:p>
            <w:pPr>
              <w:spacing w:after="0"/>
            </w:pPr>
            <w:r/>
            <w:r>
              <w:rPr>
                <w:rFonts w:ascii="Arial" w:hAnsi="Arial"/>
                <w:b w:val="0"/>
                <w:sz w:val="16"/>
              </w:rPr>
              <w:t>Design and evidence satisfy the principle.</w:t>
            </w:r>
          </w:p>
        </w:tc>
        <w:tc>
          <w:tcPr>
            <w:tcW w:type="dxa" w:w="3168"/>
            <w:vAlign w:val="center"/>
            <w:tcMar>
              <w:top w:w="70" w:type="dxa"/>
              <w:start w:w="80" w:type="dxa"/>
              <w:bottom w:w="70" w:type="dxa"/>
              <w:end w:w="80" w:type="dxa"/>
            </w:tcMar>
          </w:tcPr>
          <w:p>
            <w:pPr>
              <w:spacing w:after="0"/>
            </w:pPr>
            <w:r/>
            <w:r>
              <w:rPr>
                <w:rFonts w:ascii="Arial" w:hAnsi="Arial"/>
                <w:b w:val="0"/>
                <w:sz w:val="16"/>
              </w:rPr>
              <w:t>Approve within normal governance.</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6"/>
              </w:rPr>
              <w:t>Conditionally conformant</w:t>
            </w:r>
          </w:p>
        </w:tc>
        <w:tc>
          <w:tcPr>
            <w:tcW w:type="dxa" w:w="4968"/>
            <w:vAlign w:val="center"/>
            <w:tcMar>
              <w:top w:w="70" w:type="dxa"/>
              <w:start w:w="80" w:type="dxa"/>
              <w:bottom w:w="70" w:type="dxa"/>
              <w:end w:w="80" w:type="dxa"/>
            </w:tcMar>
            <w:shd w:fill="F8F9FA"/>
          </w:tcPr>
          <w:p>
            <w:pPr>
              <w:spacing w:after="0"/>
            </w:pPr>
            <w:r/>
            <w:r>
              <w:rPr>
                <w:rFonts w:ascii="Arial" w:hAnsi="Arial"/>
                <w:b w:val="0"/>
                <w:sz w:val="16"/>
              </w:rPr>
              <w:t>Intent is met but evidence or automation is incomplete.</w:t>
            </w:r>
          </w:p>
        </w:tc>
        <w:tc>
          <w:tcPr>
            <w:tcW w:type="dxa" w:w="3168"/>
            <w:vAlign w:val="center"/>
            <w:tcMar>
              <w:top w:w="70" w:type="dxa"/>
              <w:start w:w="80" w:type="dxa"/>
              <w:bottom w:w="70" w:type="dxa"/>
              <w:end w:w="80" w:type="dxa"/>
            </w:tcMar>
            <w:shd w:fill="F8F9FA"/>
          </w:tcPr>
          <w:p>
            <w:pPr>
              <w:spacing w:after="0"/>
            </w:pPr>
            <w:r/>
            <w:r>
              <w:rPr>
                <w:rFonts w:ascii="Arial" w:hAnsi="Arial"/>
                <w:b w:val="0"/>
                <w:sz w:val="16"/>
              </w:rPr>
              <w:t>Approve with dated conditions and accountable owner.</w:t>
            </w:r>
          </w:p>
        </w:tc>
      </w:tr>
      <w:tr>
        <w:tc>
          <w:tcPr>
            <w:tcW w:type="dxa" w:w="1800"/>
            <w:vAlign w:val="center"/>
            <w:tcMar>
              <w:top w:w="70" w:type="dxa"/>
              <w:start w:w="80" w:type="dxa"/>
              <w:bottom w:w="70" w:type="dxa"/>
              <w:end w:w="80" w:type="dxa"/>
            </w:tcMar>
          </w:tcPr>
          <w:p>
            <w:pPr>
              <w:spacing w:after="0"/>
            </w:pPr>
            <w:r/>
            <w:r>
              <w:rPr>
                <w:rFonts w:ascii="Arial" w:hAnsi="Arial"/>
                <w:b w:val="0"/>
                <w:sz w:val="16"/>
              </w:rPr>
              <w:t>Exception</w:t>
            </w:r>
          </w:p>
        </w:tc>
        <w:tc>
          <w:tcPr>
            <w:tcW w:type="dxa" w:w="4968"/>
            <w:vAlign w:val="center"/>
            <w:tcMar>
              <w:top w:w="70" w:type="dxa"/>
              <w:start w:w="80" w:type="dxa"/>
              <w:bottom w:w="70" w:type="dxa"/>
              <w:end w:w="80" w:type="dxa"/>
            </w:tcMar>
          </w:tcPr>
          <w:p>
            <w:pPr>
              <w:spacing w:after="0"/>
            </w:pPr>
            <w:r/>
            <w:r>
              <w:rPr>
                <w:rFonts w:ascii="Arial" w:hAnsi="Arial"/>
                <w:b w:val="0"/>
                <w:sz w:val="16"/>
              </w:rPr>
              <w:t>Design intentionally departs from the principle.</w:t>
            </w:r>
          </w:p>
        </w:tc>
        <w:tc>
          <w:tcPr>
            <w:tcW w:type="dxa" w:w="3168"/>
            <w:vAlign w:val="center"/>
            <w:tcMar>
              <w:top w:w="70" w:type="dxa"/>
              <w:start w:w="80" w:type="dxa"/>
              <w:bottom w:w="70" w:type="dxa"/>
              <w:end w:w="80" w:type="dxa"/>
            </w:tcMar>
          </w:tcPr>
          <w:p>
            <w:pPr>
              <w:spacing w:after="0"/>
            </w:pPr>
            <w:r/>
            <w:r>
              <w:rPr>
                <w:rFonts w:ascii="Arial" w:hAnsi="Arial"/>
                <w:b w:val="0"/>
                <w:sz w:val="16"/>
              </w:rPr>
              <w:t>Architecture exception with risk, compensating control and expiry.</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6"/>
              </w:rPr>
              <w:t>Non-conformant</w:t>
            </w:r>
          </w:p>
        </w:tc>
        <w:tc>
          <w:tcPr>
            <w:tcW w:type="dxa" w:w="4968"/>
            <w:vAlign w:val="center"/>
            <w:tcMar>
              <w:top w:w="70" w:type="dxa"/>
              <w:start w:w="80" w:type="dxa"/>
              <w:bottom w:w="70" w:type="dxa"/>
              <w:end w:w="80" w:type="dxa"/>
            </w:tcMar>
            <w:shd w:fill="F8F9FA"/>
          </w:tcPr>
          <w:p>
            <w:pPr>
              <w:spacing w:after="0"/>
            </w:pPr>
            <w:r/>
            <w:r>
              <w:rPr>
                <w:rFonts w:ascii="Arial" w:hAnsi="Arial"/>
                <w:b w:val="0"/>
                <w:sz w:val="16"/>
              </w:rPr>
              <w:t>Departure is unacknowledged or creates unacceptable risk.</w:t>
            </w:r>
          </w:p>
        </w:tc>
        <w:tc>
          <w:tcPr>
            <w:tcW w:type="dxa" w:w="3168"/>
            <w:vAlign w:val="center"/>
            <w:tcMar>
              <w:top w:w="70" w:type="dxa"/>
              <w:start w:w="80" w:type="dxa"/>
              <w:bottom w:w="70" w:type="dxa"/>
              <w:end w:w="80" w:type="dxa"/>
            </w:tcMar>
            <w:shd w:fill="F8F9FA"/>
          </w:tcPr>
          <w:p>
            <w:pPr>
              <w:spacing w:after="0"/>
            </w:pPr>
            <w:r/>
            <w:r>
              <w:rPr>
                <w:rFonts w:ascii="Arial" w:hAnsi="Arial"/>
                <w:b w:val="0"/>
                <w:sz w:val="16"/>
              </w:rPr>
              <w:t>Do not approve.</w:t>
            </w:r>
          </w:p>
        </w:tc>
      </w:tr>
    </w:tbl>
    <w:p>
      <w:pPr>
        <w:spacing w:after="20"/>
      </w:pPr>
    </w:p>
    <w:p>
      <w:pPr>
        <w:pStyle w:val="Heading1"/>
      </w:pPr>
      <w:r>
        <w:t>6. Cloud Adoption Strategy</w:t>
      </w:r>
    </w:p>
    <w:p>
      <w:pPr>
        <w:pStyle w:val="Lead"/>
      </w:pPr>
      <w:r>
        <w:t>The adoption strategy treats the data platform as an enterprise product and transformation program, not as a collection of migrations. It establishes how foundations, domains, controls, skills, economics and legacy retirement progress together.</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Adoption waves; Workstream responsibilities; Migration decision model; Value and risk controls.</w:t>
            </w:r>
          </w:p>
        </w:tc>
      </w:tr>
    </w:tbl>
    <w:p>
      <w:pPr>
        <w:spacing w:after="20"/>
      </w:pPr>
    </w:p>
    <w:p>
      <w:pPr>
        <w:pStyle w:val="Heading2"/>
      </w:pPr>
      <w:r>
        <w:t>6.1 Adoption Thesis</w:t>
      </w:r>
    </w:p>
    <w:p>
      <w:r>
        <w:t>The enterprise should establish a secure, reusable cloud foundation and prove the operating model with a bounded production domain before accelerating workload migration. The sequence avoids two common failure modes: building a technically complete platform without product adoption, and migrating workloads rapidly into inconsistent projects that later require expensive remediation.</w:t>
      </w:r>
    </w:p>
    <w:tbl>
      <w:tblPr>
        <w:tblW w:type="auto" w:w="0"/>
        <w:jc w:val="center"/>
        <w:tblLook w:firstColumn="1" w:firstRow="1" w:lastColumn="0" w:lastRow="0" w:noHBand="0" w:noVBand="1" w:val="04A0"/>
      </w:tblPr>
      <w:tblGrid>
        <w:gridCol w:w="10166"/>
      </w:tblGrid>
      <w:tr>
        <w:tc>
          <w:tcPr>
            <w:tcW w:type="dxa" w:w="10166"/>
            <w:shd w:fill="E8F0FE"/>
            <w:tcMar>
              <w:top w:w="120" w:type="dxa"/>
              <w:start w:w="140" w:type="dxa"/>
              <w:bottom w:w="120" w:type="dxa"/>
              <w:end w:w="140" w:type="dxa"/>
            </w:tcMar>
          </w:tcPr>
          <w:p>
            <w:pPr>
              <w:spacing w:after="80"/>
            </w:pPr>
            <w:r>
              <w:rPr>
                <w:rFonts w:ascii="Arial" w:hAnsi="Arial"/>
                <w:b/>
                <w:color w:val="1A73E8"/>
                <w:sz w:val="20"/>
              </w:rPr>
              <w:t>Adoption position</w:t>
            </w:r>
          </w:p>
          <w:p>
            <w:pPr>
              <w:pStyle w:val="BodyText"/>
              <w:spacing w:after="0"/>
            </w:pPr>
            <w:r>
              <w:t>Build the minimum viable foundation required for the first production product, then expand platform capabilities through repeated domain adoption. Do not wait for an exhaustive platform before delivering value, and do not permit production shortcuts that undermine identity, network, audit, residency or recovery controls.</w:t>
            </w:r>
          </w:p>
        </w:tc>
      </w:tr>
    </w:tbl>
    <w:p>
      <w:pPr>
        <w:spacing w:after="20"/>
      </w:pPr>
    </w:p>
    <w:p>
      <w:pPr>
        <w:pStyle w:val="Heading2"/>
      </w:pPr>
      <w:r>
        <w:t>6.2 Adoption Workstreams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Workstream</w:t>
            </w:r>
          </w:p>
        </w:tc>
        <w:tc>
          <w:tcPr>
            <w:tcW w:type="dxa" w:w="5400"/>
            <w:vAlign w:val="center"/>
            <w:tcMar>
              <w:top w:w="70" w:type="dxa"/>
              <w:start w:w="80" w:type="dxa"/>
              <w:bottom w:w="70" w:type="dxa"/>
              <w:end w:w="80" w:type="dxa"/>
            </w:tcMar>
            <w:shd w:fill="1A73E8"/>
          </w:tcPr>
          <w:p>
            <w:pPr>
              <w:spacing w:after="0"/>
            </w:pPr>
            <w:r/>
            <w:r>
              <w:rPr>
                <w:rFonts w:ascii="Arial" w:hAnsi="Arial"/>
                <w:b/>
                <w:color w:val="FFFFFF"/>
                <w:sz w:val="16"/>
              </w:rPr>
              <w:t>Scope</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Accountable lead</w:t>
            </w:r>
          </w:p>
        </w:tc>
      </w:tr>
      <w:tr>
        <w:tc>
          <w:tcPr>
            <w:tcW w:type="dxa" w:w="936"/>
            <w:vAlign w:val="center"/>
            <w:tcMar>
              <w:top w:w="70" w:type="dxa"/>
              <w:start w:w="80" w:type="dxa"/>
              <w:bottom w:w="70" w:type="dxa"/>
              <w:end w:w="80" w:type="dxa"/>
            </w:tcMar>
          </w:tcPr>
          <w:p>
            <w:pPr>
              <w:spacing w:after="0"/>
            </w:pPr>
            <w:r/>
            <w:r>
              <w:rPr>
                <w:rFonts w:ascii="Arial" w:hAnsi="Arial"/>
                <w:b w:val="0"/>
                <w:sz w:val="15"/>
              </w:rPr>
              <w:t>WS-01</w:t>
            </w:r>
          </w:p>
        </w:tc>
        <w:tc>
          <w:tcPr>
            <w:tcW w:type="dxa" w:w="1944"/>
            <w:vAlign w:val="center"/>
            <w:tcMar>
              <w:top w:w="70" w:type="dxa"/>
              <w:start w:w="80" w:type="dxa"/>
              <w:bottom w:w="70" w:type="dxa"/>
              <w:end w:w="80" w:type="dxa"/>
            </w:tcMar>
          </w:tcPr>
          <w:p>
            <w:pPr>
              <w:spacing w:after="0"/>
            </w:pPr>
            <w:r/>
            <w:r>
              <w:rPr>
                <w:rFonts w:ascii="Arial" w:hAnsi="Arial"/>
                <w:b w:val="0"/>
                <w:sz w:val="15"/>
              </w:rPr>
              <w:t>Executive sponsorship and value</w:t>
            </w:r>
          </w:p>
        </w:tc>
        <w:tc>
          <w:tcPr>
            <w:tcW w:type="dxa" w:w="5400"/>
            <w:vAlign w:val="center"/>
            <w:tcMar>
              <w:top w:w="70" w:type="dxa"/>
              <w:start w:w="80" w:type="dxa"/>
              <w:bottom w:w="70" w:type="dxa"/>
              <w:end w:w="80" w:type="dxa"/>
            </w:tcMar>
          </w:tcPr>
          <w:p>
            <w:pPr>
              <w:spacing w:after="0"/>
            </w:pPr>
            <w:r/>
            <w:r>
              <w:rPr>
                <w:rFonts w:ascii="Arial" w:hAnsi="Arial"/>
                <w:b w:val="0"/>
                <w:sz w:val="15"/>
              </w:rPr>
              <w:t>Outcome portfolio, funding model, business ownership, decision escalation.</w:t>
            </w:r>
          </w:p>
        </w:tc>
        <w:tc>
          <w:tcPr>
            <w:tcW w:type="dxa" w:w="1800"/>
            <w:vAlign w:val="center"/>
            <w:tcMar>
              <w:top w:w="70" w:type="dxa"/>
              <w:start w:w="80" w:type="dxa"/>
              <w:bottom w:w="70" w:type="dxa"/>
              <w:end w:w="80" w:type="dxa"/>
            </w:tcMar>
          </w:tcPr>
          <w:p>
            <w:pPr>
              <w:spacing w:after="0"/>
            </w:pPr>
            <w:r/>
            <w:r>
              <w:rPr>
                <w:rFonts w:ascii="Arial" w:hAnsi="Arial"/>
                <w:b w:val="0"/>
                <w:sz w:val="15"/>
              </w:rPr>
              <w:t>Executive sponsor, CDO, CFO</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WS-02</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Cloud foundation</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Organization, folders, projects, Shared VPC, identity, logging, KMS and policy.</w:t>
            </w:r>
          </w:p>
        </w:tc>
        <w:tc>
          <w:tcPr>
            <w:tcW w:type="dxa" w:w="1800"/>
            <w:vAlign w:val="center"/>
            <w:tcMar>
              <w:top w:w="70" w:type="dxa"/>
              <w:start w:w="80" w:type="dxa"/>
              <w:bottom w:w="70" w:type="dxa"/>
              <w:end w:w="80" w:type="dxa"/>
            </w:tcMar>
            <w:shd w:fill="F8F9FA"/>
          </w:tcPr>
          <w:p>
            <w:pPr>
              <w:spacing w:after="0"/>
            </w:pPr>
            <w:r/>
            <w:r>
              <w:rPr>
                <w:rFonts w:ascii="Arial" w:hAnsi="Arial"/>
                <w:b w:val="0"/>
                <w:sz w:val="15"/>
              </w:rPr>
              <w:t>Cloud Platform Lead</w:t>
            </w:r>
          </w:p>
        </w:tc>
      </w:tr>
      <w:tr>
        <w:tc>
          <w:tcPr>
            <w:tcW w:type="dxa" w:w="936"/>
            <w:vAlign w:val="center"/>
            <w:tcMar>
              <w:top w:w="70" w:type="dxa"/>
              <w:start w:w="80" w:type="dxa"/>
              <w:bottom w:w="70" w:type="dxa"/>
              <w:end w:w="80" w:type="dxa"/>
            </w:tcMar>
          </w:tcPr>
          <w:p>
            <w:pPr>
              <w:spacing w:after="0"/>
            </w:pPr>
            <w:r/>
            <w:r>
              <w:rPr>
                <w:rFonts w:ascii="Arial" w:hAnsi="Arial"/>
                <w:b w:val="0"/>
                <w:sz w:val="15"/>
              </w:rPr>
              <w:t>WS-03</w:t>
            </w:r>
          </w:p>
        </w:tc>
        <w:tc>
          <w:tcPr>
            <w:tcW w:type="dxa" w:w="1944"/>
            <w:vAlign w:val="center"/>
            <w:tcMar>
              <w:top w:w="70" w:type="dxa"/>
              <w:start w:w="80" w:type="dxa"/>
              <w:bottom w:w="70" w:type="dxa"/>
              <w:end w:w="80" w:type="dxa"/>
            </w:tcMar>
          </w:tcPr>
          <w:p>
            <w:pPr>
              <w:spacing w:after="0"/>
            </w:pPr>
            <w:r/>
            <w:r>
              <w:rPr>
                <w:rFonts w:ascii="Arial" w:hAnsi="Arial"/>
                <w:b w:val="0"/>
                <w:sz w:val="15"/>
              </w:rPr>
              <w:t>Security and compliance</w:t>
            </w:r>
          </w:p>
        </w:tc>
        <w:tc>
          <w:tcPr>
            <w:tcW w:type="dxa" w:w="5400"/>
            <w:vAlign w:val="center"/>
            <w:tcMar>
              <w:top w:w="70" w:type="dxa"/>
              <w:start w:w="80" w:type="dxa"/>
              <w:bottom w:w="70" w:type="dxa"/>
              <w:end w:w="80" w:type="dxa"/>
            </w:tcMar>
          </w:tcPr>
          <w:p>
            <w:pPr>
              <w:spacing w:after="0"/>
            </w:pPr>
            <w:r/>
            <w:r>
              <w:rPr>
                <w:rFonts w:ascii="Arial" w:hAnsi="Arial"/>
                <w:b w:val="0"/>
                <w:sz w:val="15"/>
              </w:rPr>
              <w:t>Threat model, service perimeter, controls, evidence, privacy and risk acceptance.</w:t>
            </w:r>
          </w:p>
        </w:tc>
        <w:tc>
          <w:tcPr>
            <w:tcW w:type="dxa" w:w="1800"/>
            <w:vAlign w:val="center"/>
            <w:tcMar>
              <w:top w:w="70" w:type="dxa"/>
              <w:start w:w="80" w:type="dxa"/>
              <w:bottom w:w="70" w:type="dxa"/>
              <w:end w:w="80" w:type="dxa"/>
            </w:tcMar>
          </w:tcPr>
          <w:p>
            <w:pPr>
              <w:spacing w:after="0"/>
            </w:pPr>
            <w:r/>
            <w:r>
              <w:rPr>
                <w:rFonts w:ascii="Arial" w:hAnsi="Arial"/>
                <w:b w:val="0"/>
                <w:sz w:val="15"/>
              </w:rPr>
              <w:t>CISO and Compliance</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WS-04</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Data platform product</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Ingestion, storage, processing, governance, sharing, templates and product backlog.</w:t>
            </w:r>
          </w:p>
        </w:tc>
        <w:tc>
          <w:tcPr>
            <w:tcW w:type="dxa" w:w="1800"/>
            <w:vAlign w:val="center"/>
            <w:tcMar>
              <w:top w:w="70" w:type="dxa"/>
              <w:start w:w="80" w:type="dxa"/>
              <w:bottom w:w="70" w:type="dxa"/>
              <w:end w:w="80" w:type="dxa"/>
            </w:tcMar>
            <w:shd w:fill="F8F9FA"/>
          </w:tcPr>
          <w:p>
            <w:pPr>
              <w:spacing w:after="0"/>
            </w:pPr>
            <w:r/>
            <w:r>
              <w:rPr>
                <w:rFonts w:ascii="Arial" w:hAnsi="Arial"/>
                <w:b w:val="0"/>
                <w:sz w:val="15"/>
              </w:rPr>
              <w:t>Data Platform Product Owner</w:t>
            </w:r>
          </w:p>
        </w:tc>
      </w:tr>
      <w:tr>
        <w:tc>
          <w:tcPr>
            <w:tcW w:type="dxa" w:w="936"/>
            <w:vAlign w:val="center"/>
            <w:tcMar>
              <w:top w:w="70" w:type="dxa"/>
              <w:start w:w="80" w:type="dxa"/>
              <w:bottom w:w="70" w:type="dxa"/>
              <w:end w:w="80" w:type="dxa"/>
            </w:tcMar>
          </w:tcPr>
          <w:p>
            <w:pPr>
              <w:spacing w:after="0"/>
            </w:pPr>
            <w:r/>
            <w:r>
              <w:rPr>
                <w:rFonts w:ascii="Arial" w:hAnsi="Arial"/>
                <w:b w:val="0"/>
                <w:sz w:val="15"/>
              </w:rPr>
              <w:t>WS-05</w:t>
            </w:r>
          </w:p>
        </w:tc>
        <w:tc>
          <w:tcPr>
            <w:tcW w:type="dxa" w:w="1944"/>
            <w:vAlign w:val="center"/>
            <w:tcMar>
              <w:top w:w="70" w:type="dxa"/>
              <w:start w:w="80" w:type="dxa"/>
              <w:bottom w:w="70" w:type="dxa"/>
              <w:end w:w="80" w:type="dxa"/>
            </w:tcMar>
          </w:tcPr>
          <w:p>
            <w:pPr>
              <w:spacing w:after="0"/>
            </w:pPr>
            <w:r/>
            <w:r>
              <w:rPr>
                <w:rFonts w:ascii="Arial" w:hAnsi="Arial"/>
                <w:b w:val="0"/>
                <w:sz w:val="15"/>
              </w:rPr>
              <w:t>Domain adoption</w:t>
            </w:r>
          </w:p>
        </w:tc>
        <w:tc>
          <w:tcPr>
            <w:tcW w:type="dxa" w:w="5400"/>
            <w:vAlign w:val="center"/>
            <w:tcMar>
              <w:top w:w="70" w:type="dxa"/>
              <w:start w:w="80" w:type="dxa"/>
              <w:bottom w:w="70" w:type="dxa"/>
              <w:end w:w="80" w:type="dxa"/>
            </w:tcMar>
          </w:tcPr>
          <w:p>
            <w:pPr>
              <w:spacing w:after="0"/>
            </w:pPr>
            <w:r/>
            <w:r>
              <w:rPr>
                <w:rFonts w:ascii="Arial" w:hAnsi="Arial"/>
                <w:b w:val="0"/>
                <w:sz w:val="15"/>
              </w:rPr>
              <w:t>Source onboarding, contracts, quality, product delivery and consumer migration.</w:t>
            </w:r>
          </w:p>
        </w:tc>
        <w:tc>
          <w:tcPr>
            <w:tcW w:type="dxa" w:w="1800"/>
            <w:vAlign w:val="center"/>
            <w:tcMar>
              <w:top w:w="70" w:type="dxa"/>
              <w:start w:w="80" w:type="dxa"/>
              <w:bottom w:w="70" w:type="dxa"/>
              <w:end w:w="80" w:type="dxa"/>
            </w:tcMar>
          </w:tcPr>
          <w:p>
            <w:pPr>
              <w:spacing w:after="0"/>
            </w:pPr>
            <w:r/>
            <w:r>
              <w:rPr>
                <w:rFonts w:ascii="Arial" w:hAnsi="Arial"/>
                <w:b w:val="0"/>
                <w:sz w:val="15"/>
              </w:rPr>
              <w:t>Domain Data Product Owners</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WS-06</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Migration factory</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Assessment, code conversion, reconciliation, cutover, coexistence and decommissioning.</w:t>
            </w:r>
          </w:p>
        </w:tc>
        <w:tc>
          <w:tcPr>
            <w:tcW w:type="dxa" w:w="1800"/>
            <w:vAlign w:val="center"/>
            <w:tcMar>
              <w:top w:w="70" w:type="dxa"/>
              <w:start w:w="80" w:type="dxa"/>
              <w:bottom w:w="70" w:type="dxa"/>
              <w:end w:w="80" w:type="dxa"/>
            </w:tcMar>
            <w:shd w:fill="F8F9FA"/>
          </w:tcPr>
          <w:p>
            <w:pPr>
              <w:spacing w:after="0"/>
            </w:pPr>
            <w:r/>
            <w:r>
              <w:rPr>
                <w:rFonts w:ascii="Arial" w:hAnsi="Arial"/>
                <w:b w:val="0"/>
                <w:sz w:val="15"/>
              </w:rPr>
              <w:t>Migration Lead</w:t>
            </w:r>
          </w:p>
        </w:tc>
      </w:tr>
      <w:tr>
        <w:tc>
          <w:tcPr>
            <w:tcW w:type="dxa" w:w="936"/>
            <w:vAlign w:val="center"/>
            <w:tcMar>
              <w:top w:w="70" w:type="dxa"/>
              <w:start w:w="80" w:type="dxa"/>
              <w:bottom w:w="70" w:type="dxa"/>
              <w:end w:w="80" w:type="dxa"/>
            </w:tcMar>
          </w:tcPr>
          <w:p>
            <w:pPr>
              <w:spacing w:after="0"/>
            </w:pPr>
            <w:r/>
            <w:r>
              <w:rPr>
                <w:rFonts w:ascii="Arial" w:hAnsi="Arial"/>
                <w:b w:val="0"/>
                <w:sz w:val="15"/>
              </w:rPr>
              <w:t>WS-07</w:t>
            </w:r>
          </w:p>
        </w:tc>
        <w:tc>
          <w:tcPr>
            <w:tcW w:type="dxa" w:w="1944"/>
            <w:vAlign w:val="center"/>
            <w:tcMar>
              <w:top w:w="70" w:type="dxa"/>
              <w:start w:w="80" w:type="dxa"/>
              <w:bottom w:w="70" w:type="dxa"/>
              <w:end w:w="80" w:type="dxa"/>
            </w:tcMar>
          </w:tcPr>
          <w:p>
            <w:pPr>
              <w:spacing w:after="0"/>
            </w:pPr>
            <w:r/>
            <w:r>
              <w:rPr>
                <w:rFonts w:ascii="Arial" w:hAnsi="Arial"/>
                <w:b w:val="0"/>
                <w:sz w:val="15"/>
              </w:rPr>
              <w:t>Analytics and AI</w:t>
            </w:r>
          </w:p>
        </w:tc>
        <w:tc>
          <w:tcPr>
            <w:tcW w:type="dxa" w:w="5400"/>
            <w:vAlign w:val="center"/>
            <w:tcMar>
              <w:top w:w="70" w:type="dxa"/>
              <w:start w:w="80" w:type="dxa"/>
              <w:bottom w:w="70" w:type="dxa"/>
              <w:end w:w="80" w:type="dxa"/>
            </w:tcMar>
          </w:tcPr>
          <w:p>
            <w:pPr>
              <w:spacing w:after="0"/>
            </w:pPr>
            <w:r/>
            <w:r>
              <w:rPr>
                <w:rFonts w:ascii="Arial" w:hAnsi="Arial"/>
                <w:b w:val="0"/>
                <w:sz w:val="15"/>
              </w:rPr>
              <w:t>Semantic layer, governed BI, AI data access, MLOps and RAG patterns.</w:t>
            </w:r>
          </w:p>
        </w:tc>
        <w:tc>
          <w:tcPr>
            <w:tcW w:type="dxa" w:w="1800"/>
            <w:vAlign w:val="center"/>
            <w:tcMar>
              <w:top w:w="70" w:type="dxa"/>
              <w:start w:w="80" w:type="dxa"/>
              <w:bottom w:w="70" w:type="dxa"/>
              <w:end w:w="80" w:type="dxa"/>
            </w:tcMar>
          </w:tcPr>
          <w:p>
            <w:pPr>
              <w:spacing w:after="0"/>
            </w:pPr>
            <w:r/>
            <w:r>
              <w:rPr>
                <w:rFonts w:ascii="Arial" w:hAnsi="Arial"/>
                <w:b w:val="0"/>
                <w:sz w:val="15"/>
              </w:rPr>
              <w:t>Analytics/AI Leads</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WS-08</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SRE and operations</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SLOs, observability, incident, capacity, recovery, support and readiness.</w:t>
            </w:r>
          </w:p>
        </w:tc>
        <w:tc>
          <w:tcPr>
            <w:tcW w:type="dxa" w:w="1800"/>
            <w:vAlign w:val="center"/>
            <w:tcMar>
              <w:top w:w="70" w:type="dxa"/>
              <w:start w:w="80" w:type="dxa"/>
              <w:bottom w:w="70" w:type="dxa"/>
              <w:end w:w="80" w:type="dxa"/>
            </w:tcMar>
            <w:shd w:fill="F8F9FA"/>
          </w:tcPr>
          <w:p>
            <w:pPr>
              <w:spacing w:after="0"/>
            </w:pPr>
            <w:r/>
            <w:r>
              <w:rPr>
                <w:rFonts w:ascii="Arial" w:hAnsi="Arial"/>
                <w:b w:val="0"/>
                <w:sz w:val="15"/>
              </w:rPr>
              <w:t>SRE Lead</w:t>
            </w:r>
          </w:p>
        </w:tc>
      </w:tr>
      <w:tr>
        <w:tc>
          <w:tcPr>
            <w:tcW w:type="dxa" w:w="936"/>
            <w:vAlign w:val="center"/>
            <w:tcMar>
              <w:top w:w="70" w:type="dxa"/>
              <w:start w:w="80" w:type="dxa"/>
              <w:bottom w:w="70" w:type="dxa"/>
              <w:end w:w="80" w:type="dxa"/>
            </w:tcMar>
          </w:tcPr>
          <w:p>
            <w:pPr>
              <w:spacing w:after="0"/>
            </w:pPr>
            <w:r/>
            <w:r>
              <w:rPr>
                <w:rFonts w:ascii="Arial" w:hAnsi="Arial"/>
                <w:b w:val="0"/>
                <w:sz w:val="15"/>
              </w:rPr>
              <w:t>WS-09</w:t>
            </w:r>
          </w:p>
        </w:tc>
        <w:tc>
          <w:tcPr>
            <w:tcW w:type="dxa" w:w="1944"/>
            <w:vAlign w:val="center"/>
            <w:tcMar>
              <w:top w:w="70" w:type="dxa"/>
              <w:start w:w="80" w:type="dxa"/>
              <w:bottom w:w="70" w:type="dxa"/>
              <w:end w:w="80" w:type="dxa"/>
            </w:tcMar>
          </w:tcPr>
          <w:p>
            <w:pPr>
              <w:spacing w:after="0"/>
            </w:pPr>
            <w:r/>
            <w:r>
              <w:rPr>
                <w:rFonts w:ascii="Arial" w:hAnsi="Arial"/>
                <w:b w:val="0"/>
                <w:sz w:val="15"/>
              </w:rPr>
              <w:t>DevSecOps and IaC</w:t>
            </w:r>
          </w:p>
        </w:tc>
        <w:tc>
          <w:tcPr>
            <w:tcW w:type="dxa" w:w="5400"/>
            <w:vAlign w:val="center"/>
            <w:tcMar>
              <w:top w:w="70" w:type="dxa"/>
              <w:start w:w="80" w:type="dxa"/>
              <w:bottom w:w="70" w:type="dxa"/>
              <w:end w:w="80" w:type="dxa"/>
            </w:tcMar>
          </w:tcPr>
          <w:p>
            <w:pPr>
              <w:spacing w:after="0"/>
            </w:pPr>
            <w:r/>
            <w:r>
              <w:rPr>
                <w:rFonts w:ascii="Arial" w:hAnsi="Arial"/>
                <w:b w:val="0"/>
                <w:sz w:val="15"/>
              </w:rPr>
              <w:t>Repositories, golden modules, build, testing, provenance and promotion.</w:t>
            </w:r>
          </w:p>
        </w:tc>
        <w:tc>
          <w:tcPr>
            <w:tcW w:type="dxa" w:w="1800"/>
            <w:vAlign w:val="center"/>
            <w:tcMar>
              <w:top w:w="70" w:type="dxa"/>
              <w:start w:w="80" w:type="dxa"/>
              <w:bottom w:w="70" w:type="dxa"/>
              <w:end w:w="80" w:type="dxa"/>
            </w:tcMar>
          </w:tcPr>
          <w:p>
            <w:pPr>
              <w:spacing w:after="0"/>
            </w:pPr>
            <w:r/>
            <w:r>
              <w:rPr>
                <w:rFonts w:ascii="Arial" w:hAnsi="Arial"/>
                <w:b w:val="0"/>
                <w:sz w:val="15"/>
              </w:rPr>
              <w:t>DevSecOps Lead</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WS-10</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FinOps</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Allocation, forecasts, reservations, cost controls and unit economics.</w:t>
            </w:r>
          </w:p>
        </w:tc>
        <w:tc>
          <w:tcPr>
            <w:tcW w:type="dxa" w:w="1800"/>
            <w:vAlign w:val="center"/>
            <w:tcMar>
              <w:top w:w="70" w:type="dxa"/>
              <w:start w:w="80" w:type="dxa"/>
              <w:bottom w:w="70" w:type="dxa"/>
              <w:end w:w="80" w:type="dxa"/>
            </w:tcMar>
            <w:shd w:fill="F8F9FA"/>
          </w:tcPr>
          <w:p>
            <w:pPr>
              <w:spacing w:after="0"/>
            </w:pPr>
            <w:r/>
            <w:r>
              <w:rPr>
                <w:rFonts w:ascii="Arial" w:hAnsi="Arial"/>
                <w:b w:val="0"/>
                <w:sz w:val="15"/>
              </w:rPr>
              <w:t>FinOps Lead</w:t>
            </w:r>
          </w:p>
        </w:tc>
      </w:tr>
      <w:tr>
        <w:tc>
          <w:tcPr>
            <w:tcW w:type="dxa" w:w="936"/>
            <w:vAlign w:val="center"/>
            <w:tcMar>
              <w:top w:w="70" w:type="dxa"/>
              <w:start w:w="80" w:type="dxa"/>
              <w:bottom w:w="70" w:type="dxa"/>
              <w:end w:w="80" w:type="dxa"/>
            </w:tcMar>
          </w:tcPr>
          <w:p>
            <w:pPr>
              <w:spacing w:after="0"/>
            </w:pPr>
            <w:r/>
            <w:r>
              <w:rPr>
                <w:rFonts w:ascii="Arial" w:hAnsi="Arial"/>
                <w:b w:val="0"/>
                <w:sz w:val="15"/>
              </w:rPr>
              <w:t>WS-11</w:t>
            </w:r>
          </w:p>
        </w:tc>
        <w:tc>
          <w:tcPr>
            <w:tcW w:type="dxa" w:w="1944"/>
            <w:vAlign w:val="center"/>
            <w:tcMar>
              <w:top w:w="70" w:type="dxa"/>
              <w:start w:w="80" w:type="dxa"/>
              <w:bottom w:w="70" w:type="dxa"/>
              <w:end w:w="80" w:type="dxa"/>
            </w:tcMar>
          </w:tcPr>
          <w:p>
            <w:pPr>
              <w:spacing w:after="0"/>
            </w:pPr>
            <w:r/>
            <w:r>
              <w:rPr>
                <w:rFonts w:ascii="Arial" w:hAnsi="Arial"/>
                <w:b w:val="0"/>
                <w:sz w:val="15"/>
              </w:rPr>
              <w:t>Change and skills</w:t>
            </w:r>
          </w:p>
        </w:tc>
        <w:tc>
          <w:tcPr>
            <w:tcW w:type="dxa" w:w="5400"/>
            <w:vAlign w:val="center"/>
            <w:tcMar>
              <w:top w:w="70" w:type="dxa"/>
              <w:start w:w="80" w:type="dxa"/>
              <w:bottom w:w="70" w:type="dxa"/>
              <w:end w:w="80" w:type="dxa"/>
            </w:tcMar>
          </w:tcPr>
          <w:p>
            <w:pPr>
              <w:spacing w:after="0"/>
            </w:pPr>
            <w:r/>
            <w:r>
              <w:rPr>
                <w:rFonts w:ascii="Arial" w:hAnsi="Arial"/>
                <w:b w:val="0"/>
                <w:sz w:val="15"/>
              </w:rPr>
              <w:t>Role design, training, communities of practice and adoption communications.</w:t>
            </w:r>
          </w:p>
        </w:tc>
        <w:tc>
          <w:tcPr>
            <w:tcW w:type="dxa" w:w="1800"/>
            <w:vAlign w:val="center"/>
            <w:tcMar>
              <w:top w:w="70" w:type="dxa"/>
              <w:start w:w="80" w:type="dxa"/>
              <w:bottom w:w="70" w:type="dxa"/>
              <w:end w:w="80" w:type="dxa"/>
            </w:tcMar>
          </w:tcPr>
          <w:p>
            <w:pPr>
              <w:spacing w:after="0"/>
            </w:pPr>
            <w:r/>
            <w:r>
              <w:rPr>
                <w:rFonts w:ascii="Arial" w:hAnsi="Arial"/>
                <w:b w:val="0"/>
                <w:sz w:val="15"/>
              </w:rPr>
              <w:t>Transformation Lead</w:t>
            </w:r>
          </w:p>
        </w:tc>
      </w:tr>
      <w:tr>
        <w:tc>
          <w:tcPr>
            <w:tcW w:type="dxa" w:w="936"/>
            <w:vAlign w:val="center"/>
            <w:tcMar>
              <w:top w:w="70" w:type="dxa"/>
              <w:start w:w="80" w:type="dxa"/>
              <w:bottom w:w="70" w:type="dxa"/>
              <w:end w:w="80" w:type="dxa"/>
            </w:tcMar>
            <w:shd w:fill="F8F9FA"/>
          </w:tcPr>
          <w:p>
            <w:pPr>
              <w:spacing w:after="0"/>
            </w:pPr>
            <w:r/>
            <w:r>
              <w:rPr>
                <w:rFonts w:ascii="Arial" w:hAnsi="Arial"/>
                <w:b w:val="0"/>
                <w:sz w:val="15"/>
              </w:rPr>
              <w:t>WS-12</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Architecture governance</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ADRs, standards, exceptions, assurance and technology lifecycle.</w:t>
            </w:r>
          </w:p>
        </w:tc>
        <w:tc>
          <w:tcPr>
            <w:tcW w:type="dxa" w:w="1800"/>
            <w:vAlign w:val="center"/>
            <w:tcMar>
              <w:top w:w="70" w:type="dxa"/>
              <w:start w:w="80" w:type="dxa"/>
              <w:bottom w:w="70" w:type="dxa"/>
              <w:end w:w="80" w:type="dxa"/>
            </w:tcMar>
            <w:shd w:fill="F8F9FA"/>
          </w:tcPr>
          <w:p>
            <w:pPr>
              <w:spacing w:after="0"/>
            </w:pPr>
            <w:r/>
            <w:r>
              <w:rPr>
                <w:rFonts w:ascii="Arial" w:hAnsi="Arial"/>
                <w:b w:val="0"/>
                <w:sz w:val="15"/>
              </w:rPr>
              <w:t>Chief Architect</w:t>
            </w:r>
          </w:p>
        </w:tc>
      </w:tr>
    </w:tbl>
    <w:p>
      <w:pPr>
        <w:spacing w:after="20"/>
      </w:pPr>
    </w:p>
    <w:p>
      <w:pPr>
        <w:pStyle w:val="Heading2"/>
      </w:pPr>
      <w:r>
        <w:t>6.3 Migration Disposition Model</w:t>
      </w:r>
    </w:p>
    <w:p>
      <w:r>
        <w:t>Each workload is assessed using business criticality, strategic differentiation, technical debt, data sensitivity, latency, integration complexity, regulatory constraints, performance profile and retirement dependency. The selected disposition must include a target date, funding owner and measurable exit criterion.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tcMar>
              <w:top w:w="70" w:type="dxa"/>
              <w:start w:w="80" w:type="dxa"/>
              <w:bottom w:w="70" w:type="dxa"/>
              <w:end w:w="80" w:type="dxa"/>
            </w:tcMar>
            <w:shd w:fill="1A73E8"/>
          </w:tcPr>
          <w:p>
            <w:pPr>
              <w:spacing w:after="0"/>
            </w:pPr>
            <w:r/>
            <w:r>
              <w:rPr>
                <w:rFonts w:ascii="Arial" w:hAnsi="Arial"/>
                <w:b/>
                <w:color w:val="FFFFFF"/>
                <w:sz w:val="16"/>
              </w:rPr>
              <w:t>Disposition</w:t>
            </w:r>
          </w:p>
        </w:tc>
        <w:tc>
          <w:tcPr>
            <w:tcW w:type="dxa" w:w="2880"/>
            <w:vAlign w:val="center"/>
            <w:tcMar>
              <w:top w:w="70" w:type="dxa"/>
              <w:start w:w="80" w:type="dxa"/>
              <w:bottom w:w="70" w:type="dxa"/>
              <w:end w:w="80" w:type="dxa"/>
            </w:tcMar>
            <w:shd w:fill="1A73E8"/>
          </w:tcPr>
          <w:p>
            <w:pPr>
              <w:spacing w:after="0"/>
            </w:pPr>
            <w:r/>
            <w:r>
              <w:rPr>
                <w:rFonts w:ascii="Arial" w:hAnsi="Arial"/>
                <w:b/>
                <w:color w:val="FFFFFF"/>
                <w:sz w:val="16"/>
              </w:rPr>
              <w:t>When to use</w:t>
            </w:r>
          </w:p>
        </w:tc>
        <w:tc>
          <w:tcPr>
            <w:tcW w:type="dxa" w:w="3096"/>
            <w:vAlign w:val="center"/>
            <w:tcMar>
              <w:top w:w="70" w:type="dxa"/>
              <w:start w:w="80" w:type="dxa"/>
              <w:bottom w:w="70" w:type="dxa"/>
              <w:end w:w="80" w:type="dxa"/>
            </w:tcMar>
            <w:shd w:fill="1A73E8"/>
          </w:tcPr>
          <w:p>
            <w:pPr>
              <w:spacing w:after="0"/>
            </w:pPr>
            <w:r/>
            <w:r>
              <w:rPr>
                <w:rFonts w:ascii="Arial" w:hAnsi="Arial"/>
                <w:b/>
                <w:color w:val="FFFFFF"/>
                <w:sz w:val="16"/>
              </w:rPr>
              <w:t>Typical implementation</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Exit criterion</w:t>
            </w:r>
          </w:p>
        </w:tc>
      </w:tr>
      <w:tr>
        <w:tc>
          <w:tcPr>
            <w:tcW w:type="dxa" w:w="1296"/>
            <w:vAlign w:val="center"/>
            <w:tcMar>
              <w:top w:w="70" w:type="dxa"/>
              <w:start w:w="80" w:type="dxa"/>
              <w:bottom w:w="70" w:type="dxa"/>
              <w:end w:w="80" w:type="dxa"/>
            </w:tcMar>
          </w:tcPr>
          <w:p>
            <w:pPr>
              <w:spacing w:after="0"/>
            </w:pPr>
            <w:r/>
            <w:r>
              <w:rPr>
                <w:rFonts w:ascii="Arial" w:hAnsi="Arial"/>
                <w:b w:val="0"/>
                <w:sz w:val="15"/>
              </w:rPr>
              <w:t>Retire</w:t>
            </w:r>
          </w:p>
        </w:tc>
        <w:tc>
          <w:tcPr>
            <w:tcW w:type="dxa" w:w="2880"/>
            <w:vAlign w:val="center"/>
            <w:tcMar>
              <w:top w:w="70" w:type="dxa"/>
              <w:start w:w="80" w:type="dxa"/>
              <w:bottom w:w="70" w:type="dxa"/>
              <w:end w:w="80" w:type="dxa"/>
            </w:tcMar>
          </w:tcPr>
          <w:p>
            <w:pPr>
              <w:spacing w:after="0"/>
            </w:pPr>
            <w:r/>
            <w:r>
              <w:rPr>
                <w:rFonts w:ascii="Arial" w:hAnsi="Arial"/>
                <w:b w:val="0"/>
                <w:sz w:val="15"/>
              </w:rPr>
              <w:t>Unused, duplicated or legally obsolete capability.</w:t>
            </w:r>
          </w:p>
        </w:tc>
        <w:tc>
          <w:tcPr>
            <w:tcW w:type="dxa" w:w="3096"/>
            <w:vAlign w:val="center"/>
            <w:tcMar>
              <w:top w:w="70" w:type="dxa"/>
              <w:start w:w="80" w:type="dxa"/>
              <w:bottom w:w="70" w:type="dxa"/>
              <w:end w:w="80" w:type="dxa"/>
            </w:tcMar>
          </w:tcPr>
          <w:p>
            <w:pPr>
              <w:spacing w:after="0"/>
            </w:pPr>
            <w:r/>
            <w:r>
              <w:rPr>
                <w:rFonts w:ascii="Arial" w:hAnsi="Arial"/>
                <w:b w:val="0"/>
                <w:sz w:val="15"/>
              </w:rPr>
              <w:t>Archive required evidence and remove integrations.</w:t>
            </w:r>
          </w:p>
        </w:tc>
        <w:tc>
          <w:tcPr>
            <w:tcW w:type="dxa" w:w="2664"/>
            <w:vAlign w:val="center"/>
            <w:tcMar>
              <w:top w:w="70" w:type="dxa"/>
              <w:start w:w="80" w:type="dxa"/>
              <w:bottom w:w="70" w:type="dxa"/>
              <w:end w:w="80" w:type="dxa"/>
            </w:tcMar>
          </w:tcPr>
          <w:p>
            <w:pPr>
              <w:spacing w:after="0"/>
            </w:pPr>
            <w:r/>
            <w:r>
              <w:rPr>
                <w:rFonts w:ascii="Arial" w:hAnsi="Arial"/>
                <w:b w:val="0"/>
                <w:sz w:val="15"/>
              </w:rPr>
              <w:t>No active consumers; retention obligations satisfied.</w:t>
            </w:r>
          </w:p>
        </w:tc>
      </w:tr>
      <w:tr>
        <w:tc>
          <w:tcPr>
            <w:tcW w:type="dxa" w:w="1296"/>
            <w:vAlign w:val="center"/>
            <w:tcMar>
              <w:top w:w="70" w:type="dxa"/>
              <w:start w:w="80" w:type="dxa"/>
              <w:bottom w:w="70" w:type="dxa"/>
              <w:end w:w="80" w:type="dxa"/>
            </w:tcMar>
            <w:shd w:fill="F8F9FA"/>
          </w:tcPr>
          <w:p>
            <w:pPr>
              <w:spacing w:after="0"/>
            </w:pPr>
            <w:r/>
            <w:r>
              <w:rPr>
                <w:rFonts w:ascii="Arial" w:hAnsi="Arial"/>
                <w:b w:val="0"/>
                <w:sz w:val="15"/>
              </w:rPr>
              <w:t>Retain</w:t>
            </w:r>
          </w:p>
        </w:tc>
        <w:tc>
          <w:tcPr>
            <w:tcW w:type="dxa" w:w="2880"/>
            <w:vAlign w:val="center"/>
            <w:tcMar>
              <w:top w:w="70" w:type="dxa"/>
              <w:start w:w="80" w:type="dxa"/>
              <w:bottom w:w="70" w:type="dxa"/>
              <w:end w:w="80" w:type="dxa"/>
            </w:tcMar>
            <w:shd w:fill="F8F9FA"/>
          </w:tcPr>
          <w:p>
            <w:pPr>
              <w:spacing w:after="0"/>
            </w:pPr>
            <w:r/>
            <w:r>
              <w:rPr>
                <w:rFonts w:ascii="Arial" w:hAnsi="Arial"/>
                <w:b w:val="0"/>
                <w:sz w:val="15"/>
              </w:rPr>
              <w:t>Migration risk or dependency exceeds current value.</w:t>
            </w:r>
          </w:p>
        </w:tc>
        <w:tc>
          <w:tcPr>
            <w:tcW w:type="dxa" w:w="3096"/>
            <w:vAlign w:val="center"/>
            <w:tcMar>
              <w:top w:w="70" w:type="dxa"/>
              <w:start w:w="80" w:type="dxa"/>
              <w:bottom w:w="70" w:type="dxa"/>
              <w:end w:w="80" w:type="dxa"/>
            </w:tcMar>
            <w:shd w:fill="F8F9FA"/>
          </w:tcPr>
          <w:p>
            <w:pPr>
              <w:spacing w:after="0"/>
            </w:pPr>
            <w:r/>
            <w:r>
              <w:rPr>
                <w:rFonts w:ascii="Arial" w:hAnsi="Arial"/>
                <w:b w:val="0"/>
                <w:sz w:val="15"/>
              </w:rPr>
              <w:t>Keep in place with interface and control improvements.</w:t>
            </w:r>
          </w:p>
        </w:tc>
        <w:tc>
          <w:tcPr>
            <w:tcW w:type="dxa" w:w="2664"/>
            <w:vAlign w:val="center"/>
            <w:tcMar>
              <w:top w:w="70" w:type="dxa"/>
              <w:start w:w="80" w:type="dxa"/>
              <w:bottom w:w="70" w:type="dxa"/>
              <w:end w:w="80" w:type="dxa"/>
            </w:tcMar>
            <w:shd w:fill="F8F9FA"/>
          </w:tcPr>
          <w:p>
            <w:pPr>
              <w:spacing w:after="0"/>
            </w:pPr>
            <w:r/>
            <w:r>
              <w:rPr>
                <w:rFonts w:ascii="Arial" w:hAnsi="Arial"/>
                <w:b w:val="0"/>
                <w:sz w:val="15"/>
              </w:rPr>
              <w:t>Scheduled review date and funded future decision.</w:t>
            </w:r>
          </w:p>
        </w:tc>
      </w:tr>
      <w:tr>
        <w:tc>
          <w:tcPr>
            <w:tcW w:type="dxa" w:w="1296"/>
            <w:vAlign w:val="center"/>
            <w:tcMar>
              <w:top w:w="70" w:type="dxa"/>
              <w:start w:w="80" w:type="dxa"/>
              <w:bottom w:w="70" w:type="dxa"/>
              <w:end w:w="80" w:type="dxa"/>
            </w:tcMar>
          </w:tcPr>
          <w:p>
            <w:pPr>
              <w:spacing w:after="0"/>
            </w:pPr>
            <w:r/>
            <w:r>
              <w:rPr>
                <w:rFonts w:ascii="Arial" w:hAnsi="Arial"/>
                <w:b w:val="0"/>
                <w:sz w:val="15"/>
              </w:rPr>
              <w:t>Replace</w:t>
            </w:r>
          </w:p>
        </w:tc>
        <w:tc>
          <w:tcPr>
            <w:tcW w:type="dxa" w:w="2880"/>
            <w:vAlign w:val="center"/>
            <w:tcMar>
              <w:top w:w="70" w:type="dxa"/>
              <w:start w:w="80" w:type="dxa"/>
              <w:bottom w:w="70" w:type="dxa"/>
              <w:end w:w="80" w:type="dxa"/>
            </w:tcMar>
          </w:tcPr>
          <w:p>
            <w:pPr>
              <w:spacing w:after="0"/>
            </w:pPr>
            <w:r/>
            <w:r>
              <w:rPr>
                <w:rFonts w:ascii="Arial" w:hAnsi="Arial"/>
                <w:b w:val="0"/>
                <w:sz w:val="15"/>
              </w:rPr>
              <w:t>Commodity capability is better served by strategic SaaS or managed product.</w:t>
            </w:r>
          </w:p>
        </w:tc>
        <w:tc>
          <w:tcPr>
            <w:tcW w:type="dxa" w:w="3096"/>
            <w:vAlign w:val="center"/>
            <w:tcMar>
              <w:top w:w="70" w:type="dxa"/>
              <w:start w:w="80" w:type="dxa"/>
              <w:bottom w:w="70" w:type="dxa"/>
              <w:end w:w="80" w:type="dxa"/>
            </w:tcMar>
          </w:tcPr>
          <w:p>
            <w:pPr>
              <w:spacing w:after="0"/>
            </w:pPr>
            <w:r/>
            <w:r>
              <w:rPr>
                <w:rFonts w:ascii="Arial" w:hAnsi="Arial"/>
                <w:b w:val="0"/>
                <w:sz w:val="15"/>
              </w:rPr>
              <w:t>Migrate consumers and history to approved replacement.</w:t>
            </w:r>
          </w:p>
        </w:tc>
        <w:tc>
          <w:tcPr>
            <w:tcW w:type="dxa" w:w="2664"/>
            <w:vAlign w:val="center"/>
            <w:tcMar>
              <w:top w:w="70" w:type="dxa"/>
              <w:start w:w="80" w:type="dxa"/>
              <w:bottom w:w="70" w:type="dxa"/>
              <w:end w:w="80" w:type="dxa"/>
            </w:tcMar>
          </w:tcPr>
          <w:p>
            <w:pPr>
              <w:spacing w:after="0"/>
            </w:pPr>
            <w:r/>
            <w:r>
              <w:rPr>
                <w:rFonts w:ascii="Arial" w:hAnsi="Arial"/>
                <w:b w:val="0"/>
                <w:sz w:val="15"/>
              </w:rPr>
              <w:t>Old product disabled and support contract ended.</w:t>
            </w:r>
          </w:p>
        </w:tc>
      </w:tr>
      <w:tr>
        <w:tc>
          <w:tcPr>
            <w:tcW w:type="dxa" w:w="1296"/>
            <w:vAlign w:val="center"/>
            <w:tcMar>
              <w:top w:w="70" w:type="dxa"/>
              <w:start w:w="80" w:type="dxa"/>
              <w:bottom w:w="70" w:type="dxa"/>
              <w:end w:w="80" w:type="dxa"/>
            </w:tcMar>
            <w:shd w:fill="F8F9FA"/>
          </w:tcPr>
          <w:p>
            <w:pPr>
              <w:spacing w:after="0"/>
            </w:pPr>
            <w:r/>
            <w:r>
              <w:rPr>
                <w:rFonts w:ascii="Arial" w:hAnsi="Arial"/>
                <w:b w:val="0"/>
                <w:sz w:val="15"/>
              </w:rPr>
              <w:t>Rehost</w:t>
            </w:r>
          </w:p>
        </w:tc>
        <w:tc>
          <w:tcPr>
            <w:tcW w:type="dxa" w:w="2880"/>
            <w:vAlign w:val="center"/>
            <w:tcMar>
              <w:top w:w="70" w:type="dxa"/>
              <w:start w:w="80" w:type="dxa"/>
              <w:bottom w:w="70" w:type="dxa"/>
              <w:end w:w="80" w:type="dxa"/>
            </w:tcMar>
            <w:shd w:fill="F8F9FA"/>
          </w:tcPr>
          <w:p>
            <w:pPr>
              <w:spacing w:after="0"/>
            </w:pPr>
            <w:r/>
            <w:r>
              <w:rPr>
                <w:rFonts w:ascii="Arial" w:hAnsi="Arial"/>
                <w:b w:val="0"/>
                <w:sz w:val="15"/>
              </w:rPr>
              <w:t>Short-term infrastructure exit with minimal application change.</w:t>
            </w:r>
          </w:p>
        </w:tc>
        <w:tc>
          <w:tcPr>
            <w:tcW w:type="dxa" w:w="3096"/>
            <w:vAlign w:val="center"/>
            <w:tcMar>
              <w:top w:w="70" w:type="dxa"/>
              <w:start w:w="80" w:type="dxa"/>
              <w:bottom w:w="70" w:type="dxa"/>
              <w:end w:w="80" w:type="dxa"/>
            </w:tcMar>
            <w:shd w:fill="F8F9FA"/>
          </w:tcPr>
          <w:p>
            <w:pPr>
              <w:spacing w:after="0"/>
            </w:pPr>
            <w:r/>
            <w:r>
              <w:rPr>
                <w:rFonts w:ascii="Arial" w:hAnsi="Arial"/>
                <w:b w:val="0"/>
                <w:sz w:val="15"/>
              </w:rPr>
              <w:t>Move compute/storage while preserving interfaces.</w:t>
            </w:r>
          </w:p>
        </w:tc>
        <w:tc>
          <w:tcPr>
            <w:tcW w:type="dxa" w:w="2664"/>
            <w:vAlign w:val="center"/>
            <w:tcMar>
              <w:top w:w="70" w:type="dxa"/>
              <w:start w:w="80" w:type="dxa"/>
              <w:bottom w:w="70" w:type="dxa"/>
              <w:end w:w="80" w:type="dxa"/>
            </w:tcMar>
            <w:shd w:fill="F8F9FA"/>
          </w:tcPr>
          <w:p>
            <w:pPr>
              <w:spacing w:after="0"/>
            </w:pPr>
            <w:r/>
            <w:r>
              <w:rPr>
                <w:rFonts w:ascii="Arial" w:hAnsi="Arial"/>
                <w:b w:val="0"/>
                <w:sz w:val="15"/>
              </w:rPr>
              <w:t>Data center dependency removed; modernization debt recorded.</w:t>
            </w:r>
          </w:p>
        </w:tc>
      </w:tr>
      <w:tr>
        <w:tc>
          <w:tcPr>
            <w:tcW w:type="dxa" w:w="1296"/>
            <w:vAlign w:val="center"/>
            <w:tcMar>
              <w:top w:w="70" w:type="dxa"/>
              <w:start w:w="80" w:type="dxa"/>
              <w:bottom w:w="70" w:type="dxa"/>
              <w:end w:w="80" w:type="dxa"/>
            </w:tcMar>
          </w:tcPr>
          <w:p>
            <w:pPr>
              <w:spacing w:after="0"/>
            </w:pPr>
            <w:r/>
            <w:r>
              <w:rPr>
                <w:rFonts w:ascii="Arial" w:hAnsi="Arial"/>
                <w:b w:val="0"/>
                <w:sz w:val="15"/>
              </w:rPr>
              <w:t>Replatform</w:t>
            </w:r>
          </w:p>
        </w:tc>
        <w:tc>
          <w:tcPr>
            <w:tcW w:type="dxa" w:w="2880"/>
            <w:vAlign w:val="center"/>
            <w:tcMar>
              <w:top w:w="70" w:type="dxa"/>
              <w:start w:w="80" w:type="dxa"/>
              <w:bottom w:w="70" w:type="dxa"/>
              <w:end w:w="80" w:type="dxa"/>
            </w:tcMar>
          </w:tcPr>
          <w:p>
            <w:pPr>
              <w:spacing w:after="0"/>
            </w:pPr>
            <w:r/>
            <w:r>
              <w:rPr>
                <w:rFonts w:ascii="Arial" w:hAnsi="Arial"/>
                <w:b w:val="0"/>
                <w:sz w:val="15"/>
              </w:rPr>
              <w:t>Managed cloud service satisfies requirements with moderate change.</w:t>
            </w:r>
          </w:p>
        </w:tc>
        <w:tc>
          <w:tcPr>
            <w:tcW w:type="dxa" w:w="3096"/>
            <w:vAlign w:val="center"/>
            <w:tcMar>
              <w:top w:w="70" w:type="dxa"/>
              <w:start w:w="80" w:type="dxa"/>
              <w:bottom w:w="70" w:type="dxa"/>
              <w:end w:w="80" w:type="dxa"/>
            </w:tcMar>
          </w:tcPr>
          <w:p>
            <w:pPr>
              <w:spacing w:after="0"/>
            </w:pPr>
            <w:r/>
            <w:r>
              <w:rPr>
                <w:rFonts w:ascii="Arial" w:hAnsi="Arial"/>
                <w:b w:val="0"/>
                <w:sz w:val="15"/>
              </w:rPr>
              <w:t>Move warehouse/pipeline to BigQuery, Dataflow or managed equivalent.</w:t>
            </w:r>
          </w:p>
        </w:tc>
        <w:tc>
          <w:tcPr>
            <w:tcW w:type="dxa" w:w="2664"/>
            <w:vAlign w:val="center"/>
            <w:tcMar>
              <w:top w:w="70" w:type="dxa"/>
              <w:start w:w="80" w:type="dxa"/>
              <w:bottom w:w="70" w:type="dxa"/>
              <w:end w:w="80" w:type="dxa"/>
            </w:tcMar>
          </w:tcPr>
          <w:p>
            <w:pPr>
              <w:spacing w:after="0"/>
            </w:pPr>
            <w:r/>
            <w:r>
              <w:rPr>
                <w:rFonts w:ascii="Arial" w:hAnsi="Arial"/>
                <w:b w:val="0"/>
                <w:sz w:val="15"/>
              </w:rPr>
              <w:t>Performance, reconciliation, security and operations accepted.</w:t>
            </w:r>
          </w:p>
        </w:tc>
      </w:tr>
      <w:tr>
        <w:tc>
          <w:tcPr>
            <w:tcW w:type="dxa" w:w="1296"/>
            <w:vAlign w:val="center"/>
            <w:tcMar>
              <w:top w:w="70" w:type="dxa"/>
              <w:start w:w="80" w:type="dxa"/>
              <w:bottom w:w="70" w:type="dxa"/>
              <w:end w:w="80" w:type="dxa"/>
            </w:tcMar>
            <w:shd w:fill="F8F9FA"/>
          </w:tcPr>
          <w:p>
            <w:pPr>
              <w:spacing w:after="0"/>
            </w:pPr>
            <w:r/>
            <w:r>
              <w:rPr>
                <w:rFonts w:ascii="Arial" w:hAnsi="Arial"/>
                <w:b w:val="0"/>
                <w:sz w:val="15"/>
              </w:rPr>
              <w:t>Refactor</w:t>
            </w:r>
          </w:p>
        </w:tc>
        <w:tc>
          <w:tcPr>
            <w:tcW w:type="dxa" w:w="2880"/>
            <w:vAlign w:val="center"/>
            <w:tcMar>
              <w:top w:w="70" w:type="dxa"/>
              <w:start w:w="80" w:type="dxa"/>
              <w:bottom w:w="70" w:type="dxa"/>
              <w:end w:w="80" w:type="dxa"/>
            </w:tcMar>
            <w:shd w:fill="F8F9FA"/>
          </w:tcPr>
          <w:p>
            <w:pPr>
              <w:spacing w:after="0"/>
            </w:pPr>
            <w:r/>
            <w:r>
              <w:rPr>
                <w:rFonts w:ascii="Arial" w:hAnsi="Arial"/>
                <w:b w:val="0"/>
                <w:sz w:val="15"/>
              </w:rPr>
              <w:t>Differentiated capability requires cloud-native redesign.</w:t>
            </w:r>
          </w:p>
        </w:tc>
        <w:tc>
          <w:tcPr>
            <w:tcW w:type="dxa" w:w="3096"/>
            <w:vAlign w:val="center"/>
            <w:tcMar>
              <w:top w:w="70" w:type="dxa"/>
              <w:start w:w="80" w:type="dxa"/>
              <w:bottom w:w="70" w:type="dxa"/>
              <w:end w:w="80" w:type="dxa"/>
            </w:tcMar>
            <w:shd w:fill="F8F9FA"/>
          </w:tcPr>
          <w:p>
            <w:pPr>
              <w:spacing w:after="0"/>
            </w:pPr>
            <w:r/>
            <w:r>
              <w:rPr>
                <w:rFonts w:ascii="Arial" w:hAnsi="Arial"/>
                <w:b w:val="0"/>
                <w:sz w:val="15"/>
              </w:rPr>
              <w:t>Rebuild around data products, events, APIs or AI.</w:t>
            </w:r>
          </w:p>
        </w:tc>
        <w:tc>
          <w:tcPr>
            <w:tcW w:type="dxa" w:w="2664"/>
            <w:vAlign w:val="center"/>
            <w:tcMar>
              <w:top w:w="70" w:type="dxa"/>
              <w:start w:w="80" w:type="dxa"/>
              <w:bottom w:w="70" w:type="dxa"/>
              <w:end w:w="80" w:type="dxa"/>
            </w:tcMar>
            <w:shd w:fill="F8F9FA"/>
          </w:tcPr>
          <w:p>
            <w:pPr>
              <w:spacing w:after="0"/>
            </w:pPr>
            <w:r/>
            <w:r>
              <w:rPr>
                <w:rFonts w:ascii="Arial" w:hAnsi="Arial"/>
                <w:b w:val="0"/>
                <w:sz w:val="15"/>
              </w:rPr>
              <w:t>Business outcomes and SLOs met; legacy service retired.</w:t>
            </w:r>
          </w:p>
        </w:tc>
      </w:tr>
      <w:tr>
        <w:tc>
          <w:tcPr>
            <w:tcW w:type="dxa" w:w="1296"/>
            <w:vAlign w:val="center"/>
            <w:tcMar>
              <w:top w:w="70" w:type="dxa"/>
              <w:start w:w="80" w:type="dxa"/>
              <w:bottom w:w="70" w:type="dxa"/>
              <w:end w:w="80" w:type="dxa"/>
            </w:tcMar>
          </w:tcPr>
          <w:p>
            <w:pPr>
              <w:spacing w:after="0"/>
            </w:pPr>
            <w:r/>
            <w:r>
              <w:rPr>
                <w:rFonts w:ascii="Arial" w:hAnsi="Arial"/>
                <w:b w:val="0"/>
                <w:sz w:val="15"/>
              </w:rPr>
              <w:t>Consolidate</w:t>
            </w:r>
          </w:p>
        </w:tc>
        <w:tc>
          <w:tcPr>
            <w:tcW w:type="dxa" w:w="2880"/>
            <w:vAlign w:val="center"/>
            <w:tcMar>
              <w:top w:w="70" w:type="dxa"/>
              <w:start w:w="80" w:type="dxa"/>
              <w:bottom w:w="70" w:type="dxa"/>
              <w:end w:w="80" w:type="dxa"/>
            </w:tcMar>
          </w:tcPr>
          <w:p>
            <w:pPr>
              <w:spacing w:after="0"/>
            </w:pPr>
            <w:r/>
            <w:r>
              <w:rPr>
                <w:rFonts w:ascii="Arial" w:hAnsi="Arial"/>
                <w:b w:val="0"/>
                <w:sz w:val="15"/>
              </w:rPr>
              <w:t>Multiple regional or departmental implementations perform the same function.</w:t>
            </w:r>
          </w:p>
        </w:tc>
        <w:tc>
          <w:tcPr>
            <w:tcW w:type="dxa" w:w="3096"/>
            <w:vAlign w:val="center"/>
            <w:tcMar>
              <w:top w:w="70" w:type="dxa"/>
              <w:start w:w="80" w:type="dxa"/>
              <w:bottom w:w="70" w:type="dxa"/>
              <w:end w:w="80" w:type="dxa"/>
            </w:tcMar>
          </w:tcPr>
          <w:p>
            <w:pPr>
              <w:spacing w:after="0"/>
            </w:pPr>
            <w:r/>
            <w:r>
              <w:rPr>
                <w:rFonts w:ascii="Arial" w:hAnsi="Arial"/>
                <w:b w:val="0"/>
                <w:sz w:val="15"/>
              </w:rPr>
              <w:t>Adopt strategic platform service and migrate variants.</w:t>
            </w:r>
          </w:p>
        </w:tc>
        <w:tc>
          <w:tcPr>
            <w:tcW w:type="dxa" w:w="2664"/>
            <w:vAlign w:val="center"/>
            <w:tcMar>
              <w:top w:w="70" w:type="dxa"/>
              <w:start w:w="80" w:type="dxa"/>
              <w:bottom w:w="70" w:type="dxa"/>
              <w:end w:w="80" w:type="dxa"/>
            </w:tcMar>
          </w:tcPr>
          <w:p>
            <w:pPr>
              <w:spacing w:after="0"/>
            </w:pPr>
            <w:r/>
            <w:r>
              <w:rPr>
                <w:rFonts w:ascii="Arial" w:hAnsi="Arial"/>
                <w:b w:val="0"/>
                <w:sz w:val="15"/>
              </w:rPr>
              <w:t>Exceptions retired and shared capability meets demand.</w:t>
            </w:r>
          </w:p>
        </w:tc>
      </w:tr>
    </w:tbl>
    <w:p>
      <w:pPr>
        <w:spacing w:after="20"/>
      </w:pPr>
    </w:p>
    <w:p>
      <w:pPr>
        <w:pStyle w:val="Heading2"/>
      </w:pPr>
      <w:r>
        <w:t>6.4 Workload Prioritization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Factor</w:t>
            </w:r>
          </w:p>
        </w:tc>
        <w:tc>
          <w:tcPr>
            <w:tcW w:type="dxa" w:w="1008"/>
            <w:vAlign w:val="center"/>
            <w:tcMar>
              <w:top w:w="70" w:type="dxa"/>
              <w:start w:w="80" w:type="dxa"/>
              <w:bottom w:w="70" w:type="dxa"/>
              <w:end w:w="80" w:type="dxa"/>
            </w:tcMar>
            <w:shd w:fill="1A73E8"/>
          </w:tcPr>
          <w:p>
            <w:pPr>
              <w:spacing w:after="0"/>
            </w:pPr>
            <w:r/>
            <w:r>
              <w:rPr>
                <w:rFonts w:ascii="Arial" w:hAnsi="Arial"/>
                <w:b/>
                <w:color w:val="FFFFFF"/>
                <w:sz w:val="16"/>
              </w:rPr>
              <w:t>Weight</w:t>
            </w:r>
          </w:p>
        </w:tc>
        <w:tc>
          <w:tcPr>
            <w:tcW w:type="dxa" w:w="6984"/>
            <w:vAlign w:val="center"/>
            <w:tcMar>
              <w:top w:w="70" w:type="dxa"/>
              <w:start w:w="80" w:type="dxa"/>
              <w:bottom w:w="70" w:type="dxa"/>
              <w:end w:w="80" w:type="dxa"/>
            </w:tcMar>
            <w:shd w:fill="1A73E8"/>
          </w:tcPr>
          <w:p>
            <w:pPr>
              <w:spacing w:after="0"/>
            </w:pPr>
            <w:r/>
            <w:r>
              <w:rPr>
                <w:rFonts w:ascii="Arial" w:hAnsi="Arial"/>
                <w:b/>
                <w:color w:val="FFFFFF"/>
                <w:sz w:val="16"/>
              </w:rPr>
              <w:t>Scoring guidance</w:t>
            </w:r>
          </w:p>
        </w:tc>
      </w:tr>
      <w:tr>
        <w:tc>
          <w:tcPr>
            <w:tcW w:type="dxa" w:w="2088"/>
            <w:vAlign w:val="center"/>
            <w:tcMar>
              <w:top w:w="70" w:type="dxa"/>
              <w:start w:w="80" w:type="dxa"/>
              <w:bottom w:w="70" w:type="dxa"/>
              <w:end w:w="80" w:type="dxa"/>
            </w:tcMar>
          </w:tcPr>
          <w:p>
            <w:pPr>
              <w:spacing w:after="0"/>
            </w:pPr>
            <w:r/>
            <w:r>
              <w:rPr>
                <w:rFonts w:ascii="Arial" w:hAnsi="Arial"/>
                <w:b w:val="0"/>
                <w:sz w:val="16"/>
              </w:rPr>
              <w:t>Business value</w:t>
            </w:r>
          </w:p>
        </w:tc>
        <w:tc>
          <w:tcPr>
            <w:tcW w:type="dxa" w:w="1008"/>
            <w:vAlign w:val="center"/>
            <w:tcMar>
              <w:top w:w="70" w:type="dxa"/>
              <w:start w:w="80" w:type="dxa"/>
              <w:bottom w:w="70" w:type="dxa"/>
              <w:end w:w="80" w:type="dxa"/>
            </w:tcMar>
          </w:tcPr>
          <w:p>
            <w:pPr>
              <w:spacing w:after="0"/>
            </w:pPr>
            <w:r/>
            <w:r>
              <w:rPr>
                <w:rFonts w:ascii="Arial" w:hAnsi="Arial"/>
                <w:b w:val="0"/>
                <w:sz w:val="16"/>
              </w:rPr>
              <w:t>25%</w:t>
            </w:r>
          </w:p>
        </w:tc>
        <w:tc>
          <w:tcPr>
            <w:tcW w:type="dxa" w:w="6984"/>
            <w:vAlign w:val="center"/>
            <w:tcMar>
              <w:top w:w="70" w:type="dxa"/>
              <w:start w:w="80" w:type="dxa"/>
              <w:bottom w:w="70" w:type="dxa"/>
              <w:end w:w="80" w:type="dxa"/>
            </w:tcMar>
          </w:tcPr>
          <w:p>
            <w:pPr>
              <w:spacing w:after="0"/>
            </w:pPr>
            <w:r/>
            <w:r>
              <w:rPr>
                <w:rFonts w:ascii="Arial" w:hAnsi="Arial"/>
                <w:b w:val="0"/>
                <w:sz w:val="16"/>
              </w:rPr>
              <w:t>Revenue, risk reduction, customer impact, regulatory deadline or operating efficiency.</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Platform learning</w:t>
            </w:r>
          </w:p>
        </w:tc>
        <w:tc>
          <w:tcPr>
            <w:tcW w:type="dxa" w:w="1008"/>
            <w:vAlign w:val="center"/>
            <w:tcMar>
              <w:top w:w="70" w:type="dxa"/>
              <w:start w:w="80" w:type="dxa"/>
              <w:bottom w:w="70" w:type="dxa"/>
              <w:end w:w="80" w:type="dxa"/>
            </w:tcMar>
            <w:shd w:fill="F8F9FA"/>
          </w:tcPr>
          <w:p>
            <w:pPr>
              <w:spacing w:after="0"/>
            </w:pPr>
            <w:r/>
            <w:r>
              <w:rPr>
                <w:rFonts w:ascii="Arial" w:hAnsi="Arial"/>
                <w:b w:val="0"/>
                <w:sz w:val="16"/>
              </w:rPr>
              <w:t>15%</w:t>
            </w:r>
          </w:p>
        </w:tc>
        <w:tc>
          <w:tcPr>
            <w:tcW w:type="dxa" w:w="6984"/>
            <w:vAlign w:val="center"/>
            <w:tcMar>
              <w:top w:w="70" w:type="dxa"/>
              <w:start w:w="80" w:type="dxa"/>
              <w:bottom w:w="70" w:type="dxa"/>
              <w:end w:w="80" w:type="dxa"/>
            </w:tcMar>
            <w:shd w:fill="F8F9FA"/>
          </w:tcPr>
          <w:p>
            <w:pPr>
              <w:spacing w:after="0"/>
            </w:pPr>
            <w:r/>
            <w:r>
              <w:rPr>
                <w:rFonts w:ascii="Arial" w:hAnsi="Arial"/>
                <w:b w:val="0"/>
                <w:sz w:val="16"/>
              </w:rPr>
              <w:t>Exercises reusable patterns without creating unbounded complexity.</w:t>
            </w:r>
          </w:p>
        </w:tc>
      </w:tr>
      <w:tr>
        <w:tc>
          <w:tcPr>
            <w:tcW w:type="dxa" w:w="2088"/>
            <w:vAlign w:val="center"/>
            <w:tcMar>
              <w:top w:w="70" w:type="dxa"/>
              <w:start w:w="80" w:type="dxa"/>
              <w:bottom w:w="70" w:type="dxa"/>
              <w:end w:w="80" w:type="dxa"/>
            </w:tcMar>
          </w:tcPr>
          <w:p>
            <w:pPr>
              <w:spacing w:after="0"/>
            </w:pPr>
            <w:r/>
            <w:r>
              <w:rPr>
                <w:rFonts w:ascii="Arial" w:hAnsi="Arial"/>
                <w:b w:val="0"/>
                <w:sz w:val="16"/>
              </w:rPr>
              <w:t>Data readiness</w:t>
            </w:r>
          </w:p>
        </w:tc>
        <w:tc>
          <w:tcPr>
            <w:tcW w:type="dxa" w:w="1008"/>
            <w:vAlign w:val="center"/>
            <w:tcMar>
              <w:top w:w="70" w:type="dxa"/>
              <w:start w:w="80" w:type="dxa"/>
              <w:bottom w:w="70" w:type="dxa"/>
              <w:end w:w="80" w:type="dxa"/>
            </w:tcMar>
          </w:tcPr>
          <w:p>
            <w:pPr>
              <w:spacing w:after="0"/>
            </w:pPr>
            <w:r/>
            <w:r>
              <w:rPr>
                <w:rFonts w:ascii="Arial" w:hAnsi="Arial"/>
                <w:b w:val="0"/>
                <w:sz w:val="16"/>
              </w:rPr>
              <w:t>15%</w:t>
            </w:r>
          </w:p>
        </w:tc>
        <w:tc>
          <w:tcPr>
            <w:tcW w:type="dxa" w:w="6984"/>
            <w:vAlign w:val="center"/>
            <w:tcMar>
              <w:top w:w="70" w:type="dxa"/>
              <w:start w:w="80" w:type="dxa"/>
              <w:bottom w:w="70" w:type="dxa"/>
              <w:end w:w="80" w:type="dxa"/>
            </w:tcMar>
          </w:tcPr>
          <w:p>
            <w:pPr>
              <w:spacing w:after="0"/>
            </w:pPr>
            <w:r/>
            <w:r>
              <w:rPr>
                <w:rFonts w:ascii="Arial" w:hAnsi="Arial"/>
                <w:b w:val="0"/>
                <w:sz w:val="16"/>
              </w:rPr>
              <w:t>Known ownership, source access, quality baseline and consumer commitment.</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Technical feasibility</w:t>
            </w:r>
          </w:p>
        </w:tc>
        <w:tc>
          <w:tcPr>
            <w:tcW w:type="dxa" w:w="1008"/>
            <w:vAlign w:val="center"/>
            <w:tcMar>
              <w:top w:w="70" w:type="dxa"/>
              <w:start w:w="80" w:type="dxa"/>
              <w:bottom w:w="70" w:type="dxa"/>
              <w:end w:w="80" w:type="dxa"/>
            </w:tcMar>
            <w:shd w:fill="F8F9FA"/>
          </w:tcPr>
          <w:p>
            <w:pPr>
              <w:spacing w:after="0"/>
            </w:pPr>
            <w:r/>
            <w:r>
              <w:rPr>
                <w:rFonts w:ascii="Arial" w:hAnsi="Arial"/>
                <w:b w:val="0"/>
                <w:sz w:val="16"/>
              </w:rPr>
              <w:t>15%</w:t>
            </w:r>
          </w:p>
        </w:tc>
        <w:tc>
          <w:tcPr>
            <w:tcW w:type="dxa" w:w="6984"/>
            <w:vAlign w:val="center"/>
            <w:tcMar>
              <w:top w:w="70" w:type="dxa"/>
              <w:start w:w="80" w:type="dxa"/>
              <w:bottom w:w="70" w:type="dxa"/>
              <w:end w:w="80" w:type="dxa"/>
            </w:tcMar>
            <w:shd w:fill="F8F9FA"/>
          </w:tcPr>
          <w:p>
            <w:pPr>
              <w:spacing w:after="0"/>
            </w:pPr>
            <w:r/>
            <w:r>
              <w:rPr>
                <w:rFonts w:ascii="Arial" w:hAnsi="Arial"/>
                <w:b w:val="0"/>
                <w:sz w:val="16"/>
              </w:rPr>
              <w:t>Supported interfaces, manageable transformation and achievable non-functional targets.</w:t>
            </w:r>
          </w:p>
        </w:tc>
      </w:tr>
      <w:tr>
        <w:tc>
          <w:tcPr>
            <w:tcW w:type="dxa" w:w="2088"/>
            <w:vAlign w:val="center"/>
            <w:tcMar>
              <w:top w:w="70" w:type="dxa"/>
              <w:start w:w="80" w:type="dxa"/>
              <w:bottom w:w="70" w:type="dxa"/>
              <w:end w:w="80" w:type="dxa"/>
            </w:tcMar>
          </w:tcPr>
          <w:p>
            <w:pPr>
              <w:spacing w:after="0"/>
            </w:pPr>
            <w:r/>
            <w:r>
              <w:rPr>
                <w:rFonts w:ascii="Arial" w:hAnsi="Arial"/>
                <w:b w:val="0"/>
                <w:sz w:val="16"/>
              </w:rPr>
              <w:t>Risk and compliance</w:t>
            </w:r>
          </w:p>
        </w:tc>
        <w:tc>
          <w:tcPr>
            <w:tcW w:type="dxa" w:w="1008"/>
            <w:vAlign w:val="center"/>
            <w:tcMar>
              <w:top w:w="70" w:type="dxa"/>
              <w:start w:w="80" w:type="dxa"/>
              <w:bottom w:w="70" w:type="dxa"/>
              <w:end w:w="80" w:type="dxa"/>
            </w:tcMar>
          </w:tcPr>
          <w:p>
            <w:pPr>
              <w:spacing w:after="0"/>
            </w:pPr>
            <w:r/>
            <w:r>
              <w:rPr>
                <w:rFonts w:ascii="Arial" w:hAnsi="Arial"/>
                <w:b w:val="0"/>
                <w:sz w:val="16"/>
              </w:rPr>
              <w:t>15%</w:t>
            </w:r>
          </w:p>
        </w:tc>
        <w:tc>
          <w:tcPr>
            <w:tcW w:type="dxa" w:w="6984"/>
            <w:vAlign w:val="center"/>
            <w:tcMar>
              <w:top w:w="70" w:type="dxa"/>
              <w:start w:w="80" w:type="dxa"/>
              <w:bottom w:w="70" w:type="dxa"/>
              <w:end w:w="80" w:type="dxa"/>
            </w:tcMar>
          </w:tcPr>
          <w:p>
            <w:pPr>
              <w:spacing w:after="0"/>
            </w:pPr>
            <w:r/>
            <w:r>
              <w:rPr>
                <w:rFonts w:ascii="Arial" w:hAnsi="Arial"/>
                <w:b w:val="0"/>
                <w:sz w:val="16"/>
              </w:rPr>
              <w:t>Removes control gaps or meets an external commitment.</w:t>
            </w:r>
          </w:p>
        </w:tc>
      </w:tr>
      <w:tr>
        <w:tc>
          <w:tcPr>
            <w:tcW w:type="dxa" w:w="2088"/>
            <w:vAlign w:val="center"/>
            <w:tcMar>
              <w:top w:w="70" w:type="dxa"/>
              <w:start w:w="80" w:type="dxa"/>
              <w:bottom w:w="70" w:type="dxa"/>
              <w:end w:w="80" w:type="dxa"/>
            </w:tcMar>
            <w:shd w:fill="F8F9FA"/>
          </w:tcPr>
          <w:p>
            <w:pPr>
              <w:spacing w:after="0"/>
            </w:pPr>
            <w:r/>
            <w:r>
              <w:rPr>
                <w:rFonts w:ascii="Arial" w:hAnsi="Arial"/>
                <w:b w:val="0"/>
                <w:sz w:val="16"/>
              </w:rPr>
              <w:t>Legacy cost avoidance</w:t>
            </w:r>
          </w:p>
        </w:tc>
        <w:tc>
          <w:tcPr>
            <w:tcW w:type="dxa" w:w="1008"/>
            <w:vAlign w:val="center"/>
            <w:tcMar>
              <w:top w:w="70" w:type="dxa"/>
              <w:start w:w="80" w:type="dxa"/>
              <w:bottom w:w="70" w:type="dxa"/>
              <w:end w:w="80" w:type="dxa"/>
            </w:tcMar>
            <w:shd w:fill="F8F9FA"/>
          </w:tcPr>
          <w:p>
            <w:pPr>
              <w:spacing w:after="0"/>
            </w:pPr>
            <w:r/>
            <w:r>
              <w:rPr>
                <w:rFonts w:ascii="Arial" w:hAnsi="Arial"/>
                <w:b w:val="0"/>
                <w:sz w:val="16"/>
              </w:rPr>
              <w:t>10%</w:t>
            </w:r>
          </w:p>
        </w:tc>
        <w:tc>
          <w:tcPr>
            <w:tcW w:type="dxa" w:w="6984"/>
            <w:vAlign w:val="center"/>
            <w:tcMar>
              <w:top w:w="70" w:type="dxa"/>
              <w:start w:w="80" w:type="dxa"/>
              <w:bottom w:w="70" w:type="dxa"/>
              <w:end w:w="80" w:type="dxa"/>
            </w:tcMar>
            <w:shd w:fill="F8F9FA"/>
          </w:tcPr>
          <w:p>
            <w:pPr>
              <w:spacing w:after="0"/>
            </w:pPr>
            <w:r/>
            <w:r>
              <w:rPr>
                <w:rFonts w:ascii="Arial" w:hAnsi="Arial"/>
                <w:b w:val="0"/>
                <w:sz w:val="16"/>
              </w:rPr>
              <w:t>Enables license, infrastructure or support retirement.</w:t>
            </w:r>
          </w:p>
        </w:tc>
      </w:tr>
      <w:tr>
        <w:tc>
          <w:tcPr>
            <w:tcW w:type="dxa" w:w="2088"/>
            <w:vAlign w:val="center"/>
            <w:tcMar>
              <w:top w:w="70" w:type="dxa"/>
              <w:start w:w="80" w:type="dxa"/>
              <w:bottom w:w="70" w:type="dxa"/>
              <w:end w:w="80" w:type="dxa"/>
            </w:tcMar>
          </w:tcPr>
          <w:p>
            <w:pPr>
              <w:spacing w:after="0"/>
            </w:pPr>
            <w:r/>
            <w:r>
              <w:rPr>
                <w:rFonts w:ascii="Arial" w:hAnsi="Arial"/>
                <w:b w:val="0"/>
                <w:sz w:val="16"/>
              </w:rPr>
              <w:t>Organizational readiness</w:t>
            </w:r>
          </w:p>
        </w:tc>
        <w:tc>
          <w:tcPr>
            <w:tcW w:type="dxa" w:w="1008"/>
            <w:vAlign w:val="center"/>
            <w:tcMar>
              <w:top w:w="70" w:type="dxa"/>
              <w:start w:w="80" w:type="dxa"/>
              <w:bottom w:w="70" w:type="dxa"/>
              <w:end w:w="80" w:type="dxa"/>
            </w:tcMar>
          </w:tcPr>
          <w:p>
            <w:pPr>
              <w:spacing w:after="0"/>
            </w:pPr>
            <w:r/>
            <w:r>
              <w:rPr>
                <w:rFonts w:ascii="Arial" w:hAnsi="Arial"/>
                <w:b w:val="0"/>
                <w:sz w:val="16"/>
              </w:rPr>
              <w:t>5%</w:t>
            </w:r>
          </w:p>
        </w:tc>
        <w:tc>
          <w:tcPr>
            <w:tcW w:type="dxa" w:w="6984"/>
            <w:vAlign w:val="center"/>
            <w:tcMar>
              <w:top w:w="70" w:type="dxa"/>
              <w:start w:w="80" w:type="dxa"/>
              <w:bottom w:w="70" w:type="dxa"/>
              <w:end w:w="80" w:type="dxa"/>
            </w:tcMar>
          </w:tcPr>
          <w:p>
            <w:pPr>
              <w:spacing w:after="0"/>
            </w:pPr>
            <w:r/>
            <w:r>
              <w:rPr>
                <w:rFonts w:ascii="Arial" w:hAnsi="Arial"/>
                <w:b w:val="0"/>
                <w:sz w:val="16"/>
              </w:rPr>
              <w:t>Named product owner, engineering capacity and change plan.</w:t>
            </w:r>
          </w:p>
        </w:tc>
      </w:tr>
    </w:tbl>
    <w:p>
      <w:pPr>
        <w:spacing w:after="20"/>
      </w:pPr>
    </w:p>
    <w:p>
      <w:r>
        <w:t>The first domain should score highly on business value and learning while remaining bounded enough to complete. A Customer 360, regulatory reporting or supply-chain visibility product is typically preferable to an enterprise-wide master-data replacement as the initial production scope.</w:t>
      </w:r>
    </w:p>
    <w:p>
      <w:pPr>
        <w:pStyle w:val="Heading2"/>
      </w:pPr>
      <w:r>
        <w:t>6.5 Adoption Waves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Wave</w:t>
            </w:r>
          </w:p>
        </w:tc>
        <w:tc>
          <w:tcPr>
            <w:tcW w:type="dxa" w:w="1296"/>
            <w:vAlign w:val="center"/>
            <w:tcMar>
              <w:top w:w="70" w:type="dxa"/>
              <w:start w:w="80" w:type="dxa"/>
              <w:bottom w:w="70" w:type="dxa"/>
              <w:end w:w="80" w:type="dxa"/>
            </w:tcMar>
            <w:shd w:fill="1A73E8"/>
          </w:tcPr>
          <w:p>
            <w:pPr>
              <w:spacing w:after="0"/>
            </w:pPr>
            <w:r/>
            <w:r>
              <w:rPr>
                <w:rFonts w:ascii="Arial" w:hAnsi="Arial"/>
                <w:b/>
                <w:color w:val="FFFFFF"/>
                <w:sz w:val="16"/>
              </w:rPr>
              <w:t>Indicative timing</w:t>
            </w:r>
          </w:p>
        </w:tc>
        <w:tc>
          <w:tcPr>
            <w:tcW w:type="dxa" w:w="4680"/>
            <w:vAlign w:val="center"/>
            <w:tcMar>
              <w:top w:w="70" w:type="dxa"/>
              <w:start w:w="80" w:type="dxa"/>
              <w:bottom w:w="70" w:type="dxa"/>
              <w:end w:w="80" w:type="dxa"/>
            </w:tcMar>
            <w:shd w:fill="1A73E8"/>
          </w:tcPr>
          <w:p>
            <w:pPr>
              <w:spacing w:after="0"/>
            </w:pPr>
            <w:r/>
            <w:r>
              <w:rPr>
                <w:rFonts w:ascii="Arial" w:hAnsi="Arial"/>
                <w:b/>
                <w:color w:val="FFFFFF"/>
                <w:sz w:val="16"/>
              </w:rPr>
              <w:t>Scope</w:t>
            </w:r>
          </w:p>
        </w:tc>
        <w:tc>
          <w:tcPr>
            <w:tcW w:type="dxa" w:w="2160"/>
            <w:vAlign w:val="center"/>
            <w:tcMar>
              <w:top w:w="70" w:type="dxa"/>
              <w:start w:w="80" w:type="dxa"/>
              <w:bottom w:w="70" w:type="dxa"/>
              <w:end w:w="80" w:type="dxa"/>
            </w:tcMar>
            <w:shd w:fill="1A73E8"/>
          </w:tcPr>
          <w:p>
            <w:pPr>
              <w:spacing w:after="0"/>
            </w:pPr>
            <w:r/>
            <w:r>
              <w:rPr>
                <w:rFonts w:ascii="Arial" w:hAnsi="Arial"/>
                <w:b/>
                <w:color w:val="FFFFFF"/>
                <w:sz w:val="16"/>
              </w:rPr>
              <w:t>Exit evidence</w:t>
            </w:r>
          </w:p>
        </w:tc>
      </w:tr>
      <w:tr>
        <w:tc>
          <w:tcPr>
            <w:tcW w:type="dxa" w:w="1944"/>
            <w:vAlign w:val="center"/>
            <w:tcMar>
              <w:top w:w="70" w:type="dxa"/>
              <w:start w:w="80" w:type="dxa"/>
              <w:bottom w:w="70" w:type="dxa"/>
              <w:end w:w="80" w:type="dxa"/>
            </w:tcMar>
          </w:tcPr>
          <w:p>
            <w:pPr>
              <w:spacing w:after="0"/>
            </w:pPr>
            <w:r/>
            <w:r>
              <w:rPr>
                <w:rFonts w:ascii="Arial" w:hAnsi="Arial"/>
                <w:b w:val="0"/>
                <w:sz w:val="15"/>
              </w:rPr>
              <w:t>Wave 0 — Mobilize</w:t>
            </w:r>
          </w:p>
        </w:tc>
        <w:tc>
          <w:tcPr>
            <w:tcW w:type="dxa" w:w="1296"/>
            <w:vAlign w:val="center"/>
            <w:tcMar>
              <w:top w:w="70" w:type="dxa"/>
              <w:start w:w="80" w:type="dxa"/>
              <w:bottom w:w="70" w:type="dxa"/>
              <w:end w:w="80" w:type="dxa"/>
            </w:tcMar>
          </w:tcPr>
          <w:p>
            <w:pPr>
              <w:spacing w:after="0"/>
            </w:pPr>
            <w:r/>
            <w:r>
              <w:rPr>
                <w:rFonts w:ascii="Arial" w:hAnsi="Arial"/>
                <w:b w:val="0"/>
                <w:sz w:val="15"/>
              </w:rPr>
              <w:t>0–8 weeks</w:t>
            </w:r>
          </w:p>
        </w:tc>
        <w:tc>
          <w:tcPr>
            <w:tcW w:type="dxa" w:w="4680"/>
            <w:vAlign w:val="center"/>
            <w:tcMar>
              <w:top w:w="70" w:type="dxa"/>
              <w:start w:w="80" w:type="dxa"/>
              <w:bottom w:w="70" w:type="dxa"/>
              <w:end w:w="80" w:type="dxa"/>
            </w:tcMar>
          </w:tcPr>
          <w:p>
            <w:pPr>
              <w:spacing w:after="0"/>
            </w:pPr>
            <w:r/>
            <w:r>
              <w:rPr>
                <w:rFonts w:ascii="Arial" w:hAnsi="Arial"/>
                <w:b w:val="0"/>
                <w:sz w:val="15"/>
              </w:rPr>
              <w:t>Confirm sponsorship, assumptions, control scope, platform product charter, architecture baseline and prioritized pilot.</w:t>
            </w:r>
          </w:p>
        </w:tc>
        <w:tc>
          <w:tcPr>
            <w:tcW w:type="dxa" w:w="2160"/>
            <w:vAlign w:val="center"/>
            <w:tcMar>
              <w:top w:w="70" w:type="dxa"/>
              <w:start w:w="80" w:type="dxa"/>
              <w:bottom w:w="70" w:type="dxa"/>
              <w:end w:w="80" w:type="dxa"/>
            </w:tcMar>
          </w:tcPr>
          <w:p>
            <w:pPr>
              <w:spacing w:after="0"/>
            </w:pPr>
            <w:r/>
            <w:r>
              <w:rPr>
                <w:rFonts w:ascii="Arial" w:hAnsi="Arial"/>
                <w:b w:val="0"/>
                <w:sz w:val="15"/>
              </w:rPr>
              <w:t>Approved charter; decision rights; baseline requirements; funded team.</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Wave 1 — Establish foundation</w:t>
            </w:r>
          </w:p>
        </w:tc>
        <w:tc>
          <w:tcPr>
            <w:tcW w:type="dxa" w:w="1296"/>
            <w:vAlign w:val="center"/>
            <w:tcMar>
              <w:top w:w="70" w:type="dxa"/>
              <w:start w:w="80" w:type="dxa"/>
              <w:bottom w:w="70" w:type="dxa"/>
              <w:end w:w="80" w:type="dxa"/>
            </w:tcMar>
            <w:shd w:fill="F8F9FA"/>
          </w:tcPr>
          <w:p>
            <w:pPr>
              <w:spacing w:after="0"/>
            </w:pPr>
            <w:r/>
            <w:r>
              <w:rPr>
                <w:rFonts w:ascii="Arial" w:hAnsi="Arial"/>
                <w:b w:val="0"/>
                <w:sz w:val="15"/>
              </w:rPr>
              <w:t>6–16 weeks</w:t>
            </w:r>
          </w:p>
        </w:tc>
        <w:tc>
          <w:tcPr>
            <w:tcW w:type="dxa" w:w="4680"/>
            <w:vAlign w:val="center"/>
            <w:tcMar>
              <w:top w:w="70" w:type="dxa"/>
              <w:start w:w="80" w:type="dxa"/>
              <w:bottom w:w="70" w:type="dxa"/>
              <w:end w:w="80" w:type="dxa"/>
            </w:tcMar>
            <w:shd w:fill="F8F9FA"/>
          </w:tcPr>
          <w:p>
            <w:pPr>
              <w:spacing w:after="0"/>
            </w:pPr>
            <w:r/>
            <w:r>
              <w:rPr>
                <w:rFonts w:ascii="Arial" w:hAnsi="Arial"/>
                <w:b w:val="0"/>
                <w:sz w:val="15"/>
              </w:rPr>
              <w:t>Deploy organization/folder/project patterns, Shared VPC, identity, KMS, central logs, CI/CD and policy guardrails.</w:t>
            </w:r>
          </w:p>
        </w:tc>
        <w:tc>
          <w:tcPr>
            <w:tcW w:type="dxa" w:w="2160"/>
            <w:vAlign w:val="center"/>
            <w:tcMar>
              <w:top w:w="70" w:type="dxa"/>
              <w:start w:w="80" w:type="dxa"/>
              <w:bottom w:w="70" w:type="dxa"/>
              <w:end w:w="80" w:type="dxa"/>
            </w:tcMar>
            <w:shd w:fill="F8F9FA"/>
          </w:tcPr>
          <w:p>
            <w:pPr>
              <w:spacing w:after="0"/>
            </w:pPr>
            <w:r/>
            <w:r>
              <w:rPr>
                <w:rFonts w:ascii="Arial" w:hAnsi="Arial"/>
                <w:b w:val="0"/>
                <w:sz w:val="15"/>
              </w:rPr>
              <w:t>Foundation acceptance and security assurance.</w:t>
            </w:r>
          </w:p>
        </w:tc>
      </w:tr>
      <w:tr>
        <w:tc>
          <w:tcPr>
            <w:tcW w:type="dxa" w:w="1944"/>
            <w:vAlign w:val="center"/>
            <w:tcMar>
              <w:top w:w="70" w:type="dxa"/>
              <w:start w:w="80" w:type="dxa"/>
              <w:bottom w:w="70" w:type="dxa"/>
              <w:end w:w="80" w:type="dxa"/>
            </w:tcMar>
          </w:tcPr>
          <w:p>
            <w:pPr>
              <w:spacing w:after="0"/>
            </w:pPr>
            <w:r/>
            <w:r>
              <w:rPr>
                <w:rFonts w:ascii="Arial" w:hAnsi="Arial"/>
                <w:b w:val="0"/>
                <w:sz w:val="15"/>
              </w:rPr>
              <w:t>Wave 2 — Minimum viable platform</w:t>
            </w:r>
          </w:p>
        </w:tc>
        <w:tc>
          <w:tcPr>
            <w:tcW w:type="dxa" w:w="1296"/>
            <w:vAlign w:val="center"/>
            <w:tcMar>
              <w:top w:w="70" w:type="dxa"/>
              <w:start w:w="80" w:type="dxa"/>
              <w:bottom w:w="70" w:type="dxa"/>
              <w:end w:w="80" w:type="dxa"/>
            </w:tcMar>
          </w:tcPr>
          <w:p>
            <w:pPr>
              <w:spacing w:after="0"/>
            </w:pPr>
            <w:r/>
            <w:r>
              <w:rPr>
                <w:rFonts w:ascii="Arial" w:hAnsi="Arial"/>
                <w:b w:val="0"/>
                <w:sz w:val="15"/>
              </w:rPr>
              <w:t>10–24 weeks</w:t>
            </w:r>
          </w:p>
        </w:tc>
        <w:tc>
          <w:tcPr>
            <w:tcW w:type="dxa" w:w="4680"/>
            <w:vAlign w:val="center"/>
            <w:tcMar>
              <w:top w:w="70" w:type="dxa"/>
              <w:start w:w="80" w:type="dxa"/>
              <w:bottom w:w="70" w:type="dxa"/>
              <w:end w:w="80" w:type="dxa"/>
            </w:tcMar>
          </w:tcPr>
          <w:p>
            <w:pPr>
              <w:spacing w:after="0"/>
            </w:pPr>
            <w:r/>
            <w:r>
              <w:rPr>
                <w:rFonts w:ascii="Arial" w:hAnsi="Arial"/>
                <w:b w:val="0"/>
                <w:sz w:val="15"/>
              </w:rPr>
              <w:t>Implement landing/raw/curated patterns, batch/CDC/streaming templates, governance, quality, monitoring and FinOps.</w:t>
            </w:r>
          </w:p>
        </w:tc>
        <w:tc>
          <w:tcPr>
            <w:tcW w:type="dxa" w:w="2160"/>
            <w:vAlign w:val="center"/>
            <w:tcMar>
              <w:top w:w="70" w:type="dxa"/>
              <w:start w:w="80" w:type="dxa"/>
              <w:bottom w:w="70" w:type="dxa"/>
              <w:end w:w="80" w:type="dxa"/>
            </w:tcMar>
          </w:tcPr>
          <w:p>
            <w:pPr>
              <w:spacing w:after="0"/>
            </w:pPr>
            <w:r/>
            <w:r>
              <w:rPr>
                <w:rFonts w:ascii="Arial" w:hAnsi="Arial"/>
                <w:b w:val="0"/>
                <w:sz w:val="15"/>
              </w:rPr>
              <w:t>Reference pipelines and first certified product.</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Wave 3 — Prove operating model</w:t>
            </w:r>
          </w:p>
        </w:tc>
        <w:tc>
          <w:tcPr>
            <w:tcW w:type="dxa" w:w="1296"/>
            <w:vAlign w:val="center"/>
            <w:tcMar>
              <w:top w:w="70" w:type="dxa"/>
              <w:start w:w="80" w:type="dxa"/>
              <w:bottom w:w="70" w:type="dxa"/>
              <w:end w:w="80" w:type="dxa"/>
            </w:tcMar>
            <w:shd w:fill="F8F9FA"/>
          </w:tcPr>
          <w:p>
            <w:pPr>
              <w:spacing w:after="0"/>
            </w:pPr>
            <w:r/>
            <w:r>
              <w:rPr>
                <w:rFonts w:ascii="Arial" w:hAnsi="Arial"/>
                <w:b w:val="0"/>
                <w:sz w:val="15"/>
              </w:rPr>
              <w:t>16–32 weeks</w:t>
            </w:r>
          </w:p>
        </w:tc>
        <w:tc>
          <w:tcPr>
            <w:tcW w:type="dxa" w:w="4680"/>
            <w:vAlign w:val="center"/>
            <w:tcMar>
              <w:top w:w="70" w:type="dxa"/>
              <w:start w:w="80" w:type="dxa"/>
              <w:bottom w:w="70" w:type="dxa"/>
              <w:end w:w="80" w:type="dxa"/>
            </w:tcMar>
            <w:shd w:fill="F8F9FA"/>
          </w:tcPr>
          <w:p>
            <w:pPr>
              <w:spacing w:after="0"/>
            </w:pPr>
            <w:r/>
            <w:r>
              <w:rPr>
                <w:rFonts w:ascii="Arial" w:hAnsi="Arial"/>
                <w:b w:val="0"/>
                <w:sz w:val="15"/>
              </w:rPr>
              <w:t>Run the first domain in production, prove product ownership, SLOs, support, recovery and cost review.</w:t>
            </w:r>
          </w:p>
        </w:tc>
        <w:tc>
          <w:tcPr>
            <w:tcW w:type="dxa" w:w="2160"/>
            <w:vAlign w:val="center"/>
            <w:tcMar>
              <w:top w:w="70" w:type="dxa"/>
              <w:start w:w="80" w:type="dxa"/>
              <w:bottom w:w="70" w:type="dxa"/>
              <w:end w:w="80" w:type="dxa"/>
            </w:tcMar>
            <w:shd w:fill="F8F9FA"/>
          </w:tcPr>
          <w:p>
            <w:pPr>
              <w:spacing w:after="0"/>
            </w:pPr>
            <w:r/>
            <w:r>
              <w:rPr>
                <w:rFonts w:ascii="Arial" w:hAnsi="Arial"/>
                <w:b w:val="0"/>
                <w:sz w:val="15"/>
              </w:rPr>
              <w:t>Three months of stable product operation.</w:t>
            </w:r>
          </w:p>
        </w:tc>
      </w:tr>
      <w:tr>
        <w:tc>
          <w:tcPr>
            <w:tcW w:type="dxa" w:w="1944"/>
            <w:vAlign w:val="center"/>
            <w:tcMar>
              <w:top w:w="70" w:type="dxa"/>
              <w:start w:w="80" w:type="dxa"/>
              <w:bottom w:w="70" w:type="dxa"/>
              <w:end w:w="80" w:type="dxa"/>
            </w:tcMar>
          </w:tcPr>
          <w:p>
            <w:pPr>
              <w:spacing w:after="0"/>
            </w:pPr>
            <w:r/>
            <w:r>
              <w:rPr>
                <w:rFonts w:ascii="Arial" w:hAnsi="Arial"/>
                <w:b w:val="0"/>
                <w:sz w:val="15"/>
              </w:rPr>
              <w:t>Wave 4 — Scale domains</w:t>
            </w:r>
          </w:p>
        </w:tc>
        <w:tc>
          <w:tcPr>
            <w:tcW w:type="dxa" w:w="1296"/>
            <w:vAlign w:val="center"/>
            <w:tcMar>
              <w:top w:w="70" w:type="dxa"/>
              <w:start w:w="80" w:type="dxa"/>
              <w:bottom w:w="70" w:type="dxa"/>
              <w:end w:w="80" w:type="dxa"/>
            </w:tcMar>
          </w:tcPr>
          <w:p>
            <w:pPr>
              <w:spacing w:after="0"/>
            </w:pPr>
            <w:r/>
            <w:r>
              <w:rPr>
                <w:rFonts w:ascii="Arial" w:hAnsi="Arial"/>
                <w:b w:val="0"/>
                <w:sz w:val="15"/>
              </w:rPr>
              <w:t>6–24 months</w:t>
            </w:r>
          </w:p>
        </w:tc>
        <w:tc>
          <w:tcPr>
            <w:tcW w:type="dxa" w:w="4680"/>
            <w:vAlign w:val="center"/>
            <w:tcMar>
              <w:top w:w="70" w:type="dxa"/>
              <w:start w:w="80" w:type="dxa"/>
              <w:bottom w:w="70" w:type="dxa"/>
              <w:end w:w="80" w:type="dxa"/>
            </w:tcMar>
          </w:tcPr>
          <w:p>
            <w:pPr>
              <w:spacing w:after="0"/>
            </w:pPr>
            <w:r/>
            <w:r>
              <w:rPr>
                <w:rFonts w:ascii="Arial" w:hAnsi="Arial"/>
                <w:b w:val="0"/>
                <w:sz w:val="15"/>
              </w:rPr>
              <w:t>Onboard priority domains through repeatable waves; add capabilities driven by validated demand.</w:t>
            </w:r>
          </w:p>
        </w:tc>
        <w:tc>
          <w:tcPr>
            <w:tcW w:type="dxa" w:w="2160"/>
            <w:vAlign w:val="center"/>
            <w:tcMar>
              <w:top w:w="70" w:type="dxa"/>
              <w:start w:w="80" w:type="dxa"/>
              <w:bottom w:w="70" w:type="dxa"/>
              <w:end w:w="80" w:type="dxa"/>
            </w:tcMar>
          </w:tcPr>
          <w:p>
            <w:pPr>
              <w:spacing w:after="0"/>
            </w:pPr>
            <w:r/>
            <w:r>
              <w:rPr>
                <w:rFonts w:ascii="Arial" w:hAnsi="Arial"/>
                <w:b w:val="0"/>
                <w:sz w:val="15"/>
              </w:rPr>
              <w:t>Domain adoption velocity and reuse targets.</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Wave 5 — Migrate and retire</w:t>
            </w:r>
          </w:p>
        </w:tc>
        <w:tc>
          <w:tcPr>
            <w:tcW w:type="dxa" w:w="1296"/>
            <w:vAlign w:val="center"/>
            <w:tcMar>
              <w:top w:w="70" w:type="dxa"/>
              <w:start w:w="80" w:type="dxa"/>
              <w:bottom w:w="70" w:type="dxa"/>
              <w:end w:w="80" w:type="dxa"/>
            </w:tcMar>
            <w:shd w:fill="F8F9FA"/>
          </w:tcPr>
          <w:p>
            <w:pPr>
              <w:spacing w:after="0"/>
            </w:pPr>
            <w:r/>
            <w:r>
              <w:rPr>
                <w:rFonts w:ascii="Arial" w:hAnsi="Arial"/>
                <w:b w:val="0"/>
                <w:sz w:val="15"/>
              </w:rPr>
              <w:t>12–36 months</w:t>
            </w:r>
          </w:p>
        </w:tc>
        <w:tc>
          <w:tcPr>
            <w:tcW w:type="dxa" w:w="4680"/>
            <w:vAlign w:val="center"/>
            <w:tcMar>
              <w:top w:w="70" w:type="dxa"/>
              <w:start w:w="80" w:type="dxa"/>
              <w:bottom w:w="70" w:type="dxa"/>
              <w:end w:w="80" w:type="dxa"/>
            </w:tcMar>
            <w:shd w:fill="F8F9FA"/>
          </w:tcPr>
          <w:p>
            <w:pPr>
              <w:spacing w:after="0"/>
            </w:pPr>
            <w:r/>
            <w:r>
              <w:rPr>
                <w:rFonts w:ascii="Arial" w:hAnsi="Arial"/>
                <w:b w:val="0"/>
                <w:sz w:val="15"/>
              </w:rPr>
              <w:t>Move legacy warehouses, Hadoop, ETL and BI; reconcile and decommission.</w:t>
            </w:r>
          </w:p>
        </w:tc>
        <w:tc>
          <w:tcPr>
            <w:tcW w:type="dxa" w:w="2160"/>
            <w:vAlign w:val="center"/>
            <w:tcMar>
              <w:top w:w="70" w:type="dxa"/>
              <w:start w:w="80" w:type="dxa"/>
              <w:bottom w:w="70" w:type="dxa"/>
              <w:end w:w="80" w:type="dxa"/>
            </w:tcMar>
            <w:shd w:fill="F8F9FA"/>
          </w:tcPr>
          <w:p>
            <w:pPr>
              <w:spacing w:after="0"/>
            </w:pPr>
            <w:r/>
            <w:r>
              <w:rPr>
                <w:rFonts w:ascii="Arial" w:hAnsi="Arial"/>
                <w:b w:val="0"/>
                <w:sz w:val="15"/>
              </w:rPr>
              <w:t>Contract/license exits and infrastructure shutdown.</w:t>
            </w:r>
          </w:p>
        </w:tc>
      </w:tr>
      <w:tr>
        <w:tc>
          <w:tcPr>
            <w:tcW w:type="dxa" w:w="1944"/>
            <w:vAlign w:val="center"/>
            <w:tcMar>
              <w:top w:w="70" w:type="dxa"/>
              <w:start w:w="80" w:type="dxa"/>
              <w:bottom w:w="70" w:type="dxa"/>
              <w:end w:w="80" w:type="dxa"/>
            </w:tcMar>
          </w:tcPr>
          <w:p>
            <w:pPr>
              <w:spacing w:after="0"/>
            </w:pPr>
            <w:r/>
            <w:r>
              <w:rPr>
                <w:rFonts w:ascii="Arial" w:hAnsi="Arial"/>
                <w:b w:val="0"/>
                <w:sz w:val="15"/>
              </w:rPr>
              <w:t>Wave 6 — Optimize and innovate</w:t>
            </w:r>
          </w:p>
        </w:tc>
        <w:tc>
          <w:tcPr>
            <w:tcW w:type="dxa" w:w="1296"/>
            <w:vAlign w:val="center"/>
            <w:tcMar>
              <w:top w:w="70" w:type="dxa"/>
              <w:start w:w="80" w:type="dxa"/>
              <w:bottom w:w="70" w:type="dxa"/>
              <w:end w:w="80" w:type="dxa"/>
            </w:tcMar>
          </w:tcPr>
          <w:p>
            <w:pPr>
              <w:spacing w:after="0"/>
            </w:pPr>
            <w:r/>
            <w:r>
              <w:rPr>
                <w:rFonts w:ascii="Arial" w:hAnsi="Arial"/>
                <w:b w:val="0"/>
                <w:sz w:val="15"/>
              </w:rPr>
              <w:t>Continuous</w:t>
            </w:r>
          </w:p>
        </w:tc>
        <w:tc>
          <w:tcPr>
            <w:tcW w:type="dxa" w:w="4680"/>
            <w:vAlign w:val="center"/>
            <w:tcMar>
              <w:top w:w="70" w:type="dxa"/>
              <w:start w:w="80" w:type="dxa"/>
              <w:bottom w:w="70" w:type="dxa"/>
              <w:end w:w="80" w:type="dxa"/>
            </w:tcMar>
          </w:tcPr>
          <w:p>
            <w:pPr>
              <w:spacing w:after="0"/>
            </w:pPr>
            <w:r/>
            <w:r>
              <w:rPr>
                <w:rFonts w:ascii="Arial" w:hAnsi="Arial"/>
                <w:b w:val="0"/>
                <w:sz w:val="15"/>
              </w:rPr>
              <w:t>Tune cost/performance, automate governance, expand AI/agents and improve product experience.</w:t>
            </w:r>
          </w:p>
        </w:tc>
        <w:tc>
          <w:tcPr>
            <w:tcW w:type="dxa" w:w="2160"/>
            <w:vAlign w:val="center"/>
            <w:tcMar>
              <w:top w:w="70" w:type="dxa"/>
              <w:start w:w="80" w:type="dxa"/>
              <w:bottom w:w="70" w:type="dxa"/>
              <w:end w:w="80" w:type="dxa"/>
            </w:tcMar>
          </w:tcPr>
          <w:p>
            <w:pPr>
              <w:spacing w:after="0"/>
            </w:pPr>
            <w:r/>
            <w:r>
              <w:rPr>
                <w:rFonts w:ascii="Arial" w:hAnsi="Arial"/>
                <w:b w:val="0"/>
                <w:sz w:val="15"/>
              </w:rPr>
              <w:t>Quarterly value, risk and maturity improvement.</w:t>
            </w:r>
          </w:p>
        </w:tc>
      </w:tr>
    </w:tbl>
    <w:p>
      <w:pPr>
        <w:spacing w:after="20"/>
      </w:pPr>
    </w:p>
    <w:p>
      <w:pPr>
        <w:pStyle w:val="Heading2"/>
      </w:pPr>
      <w:r>
        <w:t>6.6 Coexistence and Transition Architecture</w:t>
      </w:r>
    </w:p>
    <w:p>
      <w:pPr>
        <w:pStyle w:val="ListBullet"/>
        <w:spacing w:after="40"/>
      </w:pPr>
      <w:r>
        <w:t>Maintain an authoritative-source register during coexistence; avoid two systems both being treated as the system of record.</w:t>
      </w:r>
    </w:p>
    <w:p>
      <w:pPr>
        <w:pStyle w:val="ListBullet"/>
        <w:spacing w:after="40"/>
      </w:pPr>
      <w:r>
        <w:t>Use controlled replication and reconciliation rather than unmanaged extracts.</w:t>
      </w:r>
    </w:p>
    <w:p>
      <w:pPr>
        <w:pStyle w:val="ListBullet"/>
        <w:spacing w:after="40"/>
      </w:pPr>
      <w:r>
        <w:t>Freeze nonessential legacy enhancements after a migration wave is committed.</w:t>
      </w:r>
    </w:p>
    <w:p>
      <w:pPr>
        <w:pStyle w:val="ListBullet"/>
        <w:spacing w:after="40"/>
      </w:pPr>
      <w:r>
        <w:t>Publish consumer migration dates and provide compatibility views only for a defined deprecation period.</w:t>
      </w:r>
    </w:p>
    <w:p>
      <w:pPr>
        <w:pStyle w:val="ListBullet"/>
        <w:spacing w:after="40"/>
      </w:pPr>
      <w:r>
        <w:t>Measure duplicate run cost and operational risk as explicit transformation debt.</w:t>
      </w:r>
    </w:p>
    <w:p>
      <w:pPr>
        <w:pStyle w:val="ListBullet"/>
        <w:spacing w:after="40"/>
      </w:pPr>
      <w:r>
        <w:t>Decommission only after retention, audit, legal hold, recovery and consumer obligations are confirmed.</w:t>
      </w:r>
    </w:p>
    <w:p>
      <w:pPr>
        <w:pStyle w:val="Heading2"/>
      </w:pPr>
      <w:r>
        <w:t>6.7 Skills and Operating-model Transition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Audience</w:t>
            </w:r>
          </w:p>
        </w:tc>
        <w:tc>
          <w:tcPr>
            <w:tcW w:type="dxa" w:w="2880"/>
            <w:vAlign w:val="center"/>
            <w:tcMar>
              <w:top w:w="70" w:type="dxa"/>
              <w:start w:w="80" w:type="dxa"/>
              <w:bottom w:w="70" w:type="dxa"/>
              <w:end w:w="80" w:type="dxa"/>
            </w:tcMar>
            <w:shd w:fill="1A73E8"/>
          </w:tcPr>
          <w:p>
            <w:pPr>
              <w:spacing w:after="0"/>
            </w:pPr>
            <w:r/>
            <w:r>
              <w:rPr>
                <w:rFonts w:ascii="Arial" w:hAnsi="Arial"/>
                <w:b/>
                <w:color w:val="FFFFFF"/>
                <w:sz w:val="16"/>
              </w:rPr>
              <w:t>Required capability</w:t>
            </w:r>
          </w:p>
        </w:tc>
        <w:tc>
          <w:tcPr>
            <w:tcW w:type="dxa" w:w="3456"/>
            <w:vAlign w:val="center"/>
            <w:tcMar>
              <w:top w:w="70" w:type="dxa"/>
              <w:start w:w="80" w:type="dxa"/>
              <w:bottom w:w="70" w:type="dxa"/>
              <w:end w:w="80" w:type="dxa"/>
            </w:tcMar>
            <w:shd w:fill="1A73E8"/>
          </w:tcPr>
          <w:p>
            <w:pPr>
              <w:spacing w:after="0"/>
            </w:pPr>
            <w:r/>
            <w:r>
              <w:rPr>
                <w:rFonts w:ascii="Arial" w:hAnsi="Arial"/>
                <w:b/>
                <w:color w:val="FFFFFF"/>
                <w:sz w:val="16"/>
              </w:rPr>
              <w:t>Enablement mechanism</w:t>
            </w:r>
          </w:p>
        </w:tc>
        <w:tc>
          <w:tcPr>
            <w:tcW w:type="dxa" w:w="2160"/>
            <w:vAlign w:val="center"/>
            <w:tcMar>
              <w:top w:w="70" w:type="dxa"/>
              <w:start w:w="80" w:type="dxa"/>
              <w:bottom w:w="70" w:type="dxa"/>
              <w:end w:w="80" w:type="dxa"/>
            </w:tcMar>
            <w:shd w:fill="1A73E8"/>
          </w:tcPr>
          <w:p>
            <w:pPr>
              <w:spacing w:after="0"/>
            </w:pPr>
            <w:r/>
            <w:r>
              <w:rPr>
                <w:rFonts w:ascii="Arial" w:hAnsi="Arial"/>
                <w:b/>
                <w:color w:val="FFFFFF"/>
                <w:sz w:val="16"/>
              </w:rPr>
              <w:t>Proficiency evidence</w:t>
            </w:r>
          </w:p>
        </w:tc>
      </w:tr>
      <w:tr>
        <w:tc>
          <w:tcPr>
            <w:tcW w:type="dxa" w:w="1584"/>
            <w:vAlign w:val="center"/>
            <w:tcMar>
              <w:top w:w="70" w:type="dxa"/>
              <w:start w:w="80" w:type="dxa"/>
              <w:bottom w:w="70" w:type="dxa"/>
              <w:end w:w="80" w:type="dxa"/>
            </w:tcMar>
          </w:tcPr>
          <w:p>
            <w:pPr>
              <w:spacing w:after="0"/>
            </w:pPr>
            <w:r/>
            <w:r>
              <w:rPr>
                <w:rFonts w:ascii="Arial" w:hAnsi="Arial"/>
                <w:b w:val="0"/>
                <w:sz w:val="14"/>
              </w:rPr>
              <w:t>Platform engineers</w:t>
            </w:r>
          </w:p>
        </w:tc>
        <w:tc>
          <w:tcPr>
            <w:tcW w:type="dxa" w:w="2880"/>
            <w:vAlign w:val="center"/>
            <w:tcMar>
              <w:top w:w="70" w:type="dxa"/>
              <w:start w:w="80" w:type="dxa"/>
              <w:bottom w:w="70" w:type="dxa"/>
              <w:end w:w="80" w:type="dxa"/>
            </w:tcMar>
          </w:tcPr>
          <w:p>
            <w:pPr>
              <w:spacing w:after="0"/>
            </w:pPr>
            <w:r/>
            <w:r>
              <w:rPr>
                <w:rFonts w:ascii="Arial" w:hAnsi="Arial"/>
                <w:b w:val="0"/>
                <w:sz w:val="14"/>
              </w:rPr>
              <w:t>Terraform, networking, IAM, KMS, service perimeters and platform APIs.</w:t>
            </w:r>
          </w:p>
        </w:tc>
        <w:tc>
          <w:tcPr>
            <w:tcW w:type="dxa" w:w="3456"/>
            <w:vAlign w:val="center"/>
            <w:tcMar>
              <w:top w:w="70" w:type="dxa"/>
              <w:start w:w="80" w:type="dxa"/>
              <w:bottom w:w="70" w:type="dxa"/>
              <w:end w:w="80" w:type="dxa"/>
            </w:tcMar>
          </w:tcPr>
          <w:p>
            <w:pPr>
              <w:spacing w:after="0"/>
            </w:pPr>
            <w:r/>
            <w:r>
              <w:rPr>
                <w:rFonts w:ascii="Arial" w:hAnsi="Arial"/>
                <w:b w:val="0"/>
                <w:sz w:val="14"/>
              </w:rPr>
              <w:t>Hands-on labs, paired delivery and module ownership.</w:t>
            </w:r>
          </w:p>
        </w:tc>
        <w:tc>
          <w:tcPr>
            <w:tcW w:type="dxa" w:w="2160"/>
            <w:vAlign w:val="center"/>
            <w:tcMar>
              <w:top w:w="70" w:type="dxa"/>
              <w:start w:w="80" w:type="dxa"/>
              <w:bottom w:w="70" w:type="dxa"/>
              <w:end w:w="80" w:type="dxa"/>
            </w:tcMar>
          </w:tcPr>
          <w:p>
            <w:pPr>
              <w:spacing w:after="0"/>
            </w:pPr>
            <w:r/>
            <w:r>
              <w:rPr>
                <w:rFonts w:ascii="Arial" w:hAnsi="Arial"/>
                <w:b w:val="0"/>
                <w:sz w:val="14"/>
              </w:rPr>
              <w:t>Can deploy and troubleshoot a governed project pattern.</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Data engineers</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Beam/Dataflow, BigQuery, Dataform, orchestration, quality and contracts.</w:t>
            </w:r>
          </w:p>
        </w:tc>
        <w:tc>
          <w:tcPr>
            <w:tcW w:type="dxa" w:w="3456"/>
            <w:vAlign w:val="center"/>
            <w:tcMar>
              <w:top w:w="70" w:type="dxa"/>
              <w:start w:w="80" w:type="dxa"/>
              <w:bottom w:w="70" w:type="dxa"/>
              <w:end w:w="80" w:type="dxa"/>
            </w:tcMar>
            <w:shd w:fill="F8F9FA"/>
          </w:tcPr>
          <w:p>
            <w:pPr>
              <w:spacing w:after="0"/>
            </w:pPr>
            <w:r/>
            <w:r>
              <w:rPr>
                <w:rFonts w:ascii="Arial" w:hAnsi="Arial"/>
                <w:b w:val="0"/>
                <w:sz w:val="14"/>
              </w:rPr>
              <w:t>Reference implementations and code reviews.</w:t>
            </w:r>
          </w:p>
        </w:tc>
        <w:tc>
          <w:tcPr>
            <w:tcW w:type="dxa" w:w="2160"/>
            <w:vAlign w:val="center"/>
            <w:tcMar>
              <w:top w:w="70" w:type="dxa"/>
              <w:start w:w="80" w:type="dxa"/>
              <w:bottom w:w="70" w:type="dxa"/>
              <w:end w:w="80" w:type="dxa"/>
            </w:tcMar>
            <w:shd w:fill="F8F9FA"/>
          </w:tcPr>
          <w:p>
            <w:pPr>
              <w:spacing w:after="0"/>
            </w:pPr>
            <w:r/>
            <w:r>
              <w:rPr>
                <w:rFonts w:ascii="Arial" w:hAnsi="Arial"/>
                <w:b w:val="0"/>
                <w:sz w:val="14"/>
              </w:rPr>
              <w:t>Delivers a compliant pipeline using golden templates.</w:t>
            </w:r>
          </w:p>
        </w:tc>
      </w:tr>
      <w:tr>
        <w:tc>
          <w:tcPr>
            <w:tcW w:type="dxa" w:w="1584"/>
            <w:vAlign w:val="center"/>
            <w:tcMar>
              <w:top w:w="70" w:type="dxa"/>
              <w:start w:w="80" w:type="dxa"/>
              <w:bottom w:w="70" w:type="dxa"/>
              <w:end w:w="80" w:type="dxa"/>
            </w:tcMar>
          </w:tcPr>
          <w:p>
            <w:pPr>
              <w:spacing w:after="0"/>
            </w:pPr>
            <w:r/>
            <w:r>
              <w:rPr>
                <w:rFonts w:ascii="Arial" w:hAnsi="Arial"/>
                <w:b w:val="0"/>
                <w:sz w:val="14"/>
              </w:rPr>
              <w:t>Domain product teams</w:t>
            </w:r>
          </w:p>
        </w:tc>
        <w:tc>
          <w:tcPr>
            <w:tcW w:type="dxa" w:w="2880"/>
            <w:vAlign w:val="center"/>
            <w:tcMar>
              <w:top w:w="70" w:type="dxa"/>
              <w:start w:w="80" w:type="dxa"/>
              <w:bottom w:w="70" w:type="dxa"/>
              <w:end w:w="80" w:type="dxa"/>
            </w:tcMar>
          </w:tcPr>
          <w:p>
            <w:pPr>
              <w:spacing w:after="0"/>
            </w:pPr>
            <w:r/>
            <w:r>
              <w:rPr>
                <w:rFonts w:ascii="Arial" w:hAnsi="Arial"/>
                <w:b w:val="0"/>
                <w:sz w:val="14"/>
              </w:rPr>
              <w:t>Product ownership, SLOs, metadata, quality and consumer management.</w:t>
            </w:r>
          </w:p>
        </w:tc>
        <w:tc>
          <w:tcPr>
            <w:tcW w:type="dxa" w:w="3456"/>
            <w:vAlign w:val="center"/>
            <w:tcMar>
              <w:top w:w="70" w:type="dxa"/>
              <w:start w:w="80" w:type="dxa"/>
              <w:bottom w:w="70" w:type="dxa"/>
              <w:end w:w="80" w:type="dxa"/>
            </w:tcMar>
          </w:tcPr>
          <w:p>
            <w:pPr>
              <w:spacing w:after="0"/>
            </w:pPr>
            <w:r/>
            <w:r>
              <w:rPr>
                <w:rFonts w:ascii="Arial" w:hAnsi="Arial"/>
                <w:b w:val="0"/>
                <w:sz w:val="14"/>
              </w:rPr>
              <w:t>Product coaching and domain playbook.</w:t>
            </w:r>
          </w:p>
        </w:tc>
        <w:tc>
          <w:tcPr>
            <w:tcW w:type="dxa" w:w="2160"/>
            <w:vAlign w:val="center"/>
            <w:tcMar>
              <w:top w:w="70" w:type="dxa"/>
              <w:start w:w="80" w:type="dxa"/>
              <w:bottom w:w="70" w:type="dxa"/>
              <w:end w:w="80" w:type="dxa"/>
            </w:tcMar>
          </w:tcPr>
          <w:p>
            <w:pPr>
              <w:spacing w:after="0"/>
            </w:pPr>
            <w:r/>
            <w:r>
              <w:rPr>
                <w:rFonts w:ascii="Arial" w:hAnsi="Arial"/>
                <w:b w:val="0"/>
                <w:sz w:val="14"/>
              </w:rPr>
              <w:t>Publishes and operates a certified product.</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Security and risk</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Cloud control model, evidence, service behavior and threat analysis.</w:t>
            </w:r>
          </w:p>
        </w:tc>
        <w:tc>
          <w:tcPr>
            <w:tcW w:type="dxa" w:w="3456"/>
            <w:vAlign w:val="center"/>
            <w:tcMar>
              <w:top w:w="70" w:type="dxa"/>
              <w:start w:w="80" w:type="dxa"/>
              <w:bottom w:w="70" w:type="dxa"/>
              <w:end w:w="80" w:type="dxa"/>
            </w:tcMar>
            <w:shd w:fill="F8F9FA"/>
          </w:tcPr>
          <w:p>
            <w:pPr>
              <w:spacing w:after="0"/>
            </w:pPr>
            <w:r/>
            <w:r>
              <w:rPr>
                <w:rFonts w:ascii="Arial" w:hAnsi="Arial"/>
                <w:b w:val="0"/>
                <w:sz w:val="14"/>
              </w:rPr>
              <w:t>Control workshops and assurance exercises.</w:t>
            </w:r>
          </w:p>
        </w:tc>
        <w:tc>
          <w:tcPr>
            <w:tcW w:type="dxa" w:w="2160"/>
            <w:vAlign w:val="center"/>
            <w:tcMar>
              <w:top w:w="70" w:type="dxa"/>
              <w:start w:w="80" w:type="dxa"/>
              <w:bottom w:w="70" w:type="dxa"/>
              <w:end w:w="80" w:type="dxa"/>
            </w:tcMar>
            <w:shd w:fill="F8F9FA"/>
          </w:tcPr>
          <w:p>
            <w:pPr>
              <w:spacing w:after="0"/>
            </w:pPr>
            <w:r/>
            <w:r>
              <w:rPr>
                <w:rFonts w:ascii="Arial" w:hAnsi="Arial"/>
                <w:b w:val="0"/>
                <w:sz w:val="14"/>
              </w:rPr>
              <w:t>Approves workload based on automated evidence.</w:t>
            </w:r>
          </w:p>
        </w:tc>
      </w:tr>
      <w:tr>
        <w:tc>
          <w:tcPr>
            <w:tcW w:type="dxa" w:w="1584"/>
            <w:vAlign w:val="center"/>
            <w:tcMar>
              <w:top w:w="70" w:type="dxa"/>
              <w:start w:w="80" w:type="dxa"/>
              <w:bottom w:w="70" w:type="dxa"/>
              <w:end w:w="80" w:type="dxa"/>
            </w:tcMar>
          </w:tcPr>
          <w:p>
            <w:pPr>
              <w:spacing w:after="0"/>
            </w:pPr>
            <w:r/>
            <w:r>
              <w:rPr>
                <w:rFonts w:ascii="Arial" w:hAnsi="Arial"/>
                <w:b w:val="0"/>
                <w:sz w:val="14"/>
              </w:rPr>
              <w:t>SRE/operations</w:t>
            </w:r>
          </w:p>
        </w:tc>
        <w:tc>
          <w:tcPr>
            <w:tcW w:type="dxa" w:w="2880"/>
            <w:vAlign w:val="center"/>
            <w:tcMar>
              <w:top w:w="70" w:type="dxa"/>
              <w:start w:w="80" w:type="dxa"/>
              <w:bottom w:w="70" w:type="dxa"/>
              <w:end w:w="80" w:type="dxa"/>
            </w:tcMar>
          </w:tcPr>
          <w:p>
            <w:pPr>
              <w:spacing w:after="0"/>
            </w:pPr>
            <w:r/>
            <w:r>
              <w:rPr>
                <w:rFonts w:ascii="Arial" w:hAnsi="Arial"/>
                <w:b w:val="0"/>
                <w:sz w:val="14"/>
              </w:rPr>
              <w:t>Cloud telemetry, incident, capacity, error budgets and recovery.</w:t>
            </w:r>
          </w:p>
        </w:tc>
        <w:tc>
          <w:tcPr>
            <w:tcW w:type="dxa" w:w="3456"/>
            <w:vAlign w:val="center"/>
            <w:tcMar>
              <w:top w:w="70" w:type="dxa"/>
              <w:start w:w="80" w:type="dxa"/>
              <w:bottom w:w="70" w:type="dxa"/>
              <w:end w:w="80" w:type="dxa"/>
            </w:tcMar>
          </w:tcPr>
          <w:p>
            <w:pPr>
              <w:spacing w:after="0"/>
            </w:pPr>
            <w:r/>
            <w:r>
              <w:rPr>
                <w:rFonts w:ascii="Arial" w:hAnsi="Arial"/>
                <w:b w:val="0"/>
                <w:sz w:val="14"/>
              </w:rPr>
              <w:t>Game days and production-readiness reviews.</w:t>
            </w:r>
          </w:p>
        </w:tc>
        <w:tc>
          <w:tcPr>
            <w:tcW w:type="dxa" w:w="2160"/>
            <w:vAlign w:val="center"/>
            <w:tcMar>
              <w:top w:w="70" w:type="dxa"/>
              <w:start w:w="80" w:type="dxa"/>
              <w:bottom w:w="70" w:type="dxa"/>
              <w:end w:w="80" w:type="dxa"/>
            </w:tcMar>
          </w:tcPr>
          <w:p>
            <w:pPr>
              <w:spacing w:after="0"/>
            </w:pPr>
            <w:r/>
            <w:r>
              <w:rPr>
                <w:rFonts w:ascii="Arial" w:hAnsi="Arial"/>
                <w:b w:val="0"/>
                <w:sz w:val="14"/>
              </w:rPr>
              <w:t>Runs incident and restore exercises.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FinOps and finance</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Cloud allocation, reservations, unit economics and forecasting.</w:t>
            </w:r>
          </w:p>
        </w:tc>
        <w:tc>
          <w:tcPr>
            <w:tcW w:type="dxa" w:w="3456"/>
            <w:vAlign w:val="center"/>
            <w:tcMar>
              <w:top w:w="70" w:type="dxa"/>
              <w:start w:w="80" w:type="dxa"/>
              <w:bottom w:w="70" w:type="dxa"/>
              <w:end w:w="80" w:type="dxa"/>
            </w:tcMar>
            <w:shd w:fill="F8F9FA"/>
          </w:tcPr>
          <w:p>
            <w:pPr>
              <w:spacing w:after="0"/>
            </w:pPr>
            <w:r/>
            <w:r>
              <w:rPr>
                <w:rFonts w:ascii="Arial" w:hAnsi="Arial"/>
                <w:b w:val="0"/>
                <w:sz w:val="14"/>
              </w:rPr>
              <w:t>Dashboard workshops and monthly review.</w:t>
            </w:r>
          </w:p>
        </w:tc>
        <w:tc>
          <w:tcPr>
            <w:tcW w:type="dxa" w:w="2160"/>
            <w:vAlign w:val="center"/>
            <w:tcMar>
              <w:top w:w="70" w:type="dxa"/>
              <w:start w:w="80" w:type="dxa"/>
              <w:bottom w:w="70" w:type="dxa"/>
              <w:end w:w="80" w:type="dxa"/>
            </w:tcMar>
            <w:shd w:fill="F8F9FA"/>
          </w:tcPr>
          <w:p>
            <w:pPr>
              <w:spacing w:after="0"/>
            </w:pPr>
            <w:r/>
            <w:r>
              <w:rPr>
                <w:rFonts w:ascii="Arial" w:hAnsi="Arial"/>
                <w:b w:val="0"/>
                <w:sz w:val="14"/>
              </w:rPr>
              <w:t>Explains spend variance and action plan.</w:t>
            </w:r>
          </w:p>
        </w:tc>
      </w:tr>
      <w:tr>
        <w:tc>
          <w:tcPr>
            <w:tcW w:type="dxa" w:w="1584"/>
            <w:vAlign w:val="center"/>
            <w:tcMar>
              <w:top w:w="70" w:type="dxa"/>
              <w:start w:w="80" w:type="dxa"/>
              <w:bottom w:w="70" w:type="dxa"/>
              <w:end w:w="80" w:type="dxa"/>
            </w:tcMar>
          </w:tcPr>
          <w:p>
            <w:pPr>
              <w:spacing w:after="0"/>
            </w:pPr>
            <w:r/>
            <w:r>
              <w:rPr>
                <w:rFonts w:ascii="Arial" w:hAnsi="Arial"/>
                <w:b w:val="0"/>
                <w:sz w:val="14"/>
              </w:rPr>
              <w:t>Executives</w:t>
            </w:r>
          </w:p>
        </w:tc>
        <w:tc>
          <w:tcPr>
            <w:tcW w:type="dxa" w:w="2880"/>
            <w:vAlign w:val="center"/>
            <w:tcMar>
              <w:top w:w="70" w:type="dxa"/>
              <w:start w:w="80" w:type="dxa"/>
              <w:bottom w:w="70" w:type="dxa"/>
              <w:end w:w="80" w:type="dxa"/>
            </w:tcMar>
          </w:tcPr>
          <w:p>
            <w:pPr>
              <w:spacing w:after="0"/>
            </w:pPr>
            <w:r/>
            <w:r>
              <w:rPr>
                <w:rFonts w:ascii="Arial" w:hAnsi="Arial"/>
                <w:b w:val="0"/>
                <w:sz w:val="14"/>
              </w:rPr>
              <w:t>Decision rights, product funding and transformation outcomes.</w:t>
            </w:r>
          </w:p>
        </w:tc>
        <w:tc>
          <w:tcPr>
            <w:tcW w:type="dxa" w:w="3456"/>
            <w:vAlign w:val="center"/>
            <w:tcMar>
              <w:top w:w="70" w:type="dxa"/>
              <w:start w:w="80" w:type="dxa"/>
              <w:bottom w:w="70" w:type="dxa"/>
              <w:end w:w="80" w:type="dxa"/>
            </w:tcMar>
          </w:tcPr>
          <w:p>
            <w:pPr>
              <w:spacing w:after="0"/>
            </w:pPr>
            <w:r/>
            <w:r>
              <w:rPr>
                <w:rFonts w:ascii="Arial" w:hAnsi="Arial"/>
                <w:b w:val="0"/>
                <w:sz w:val="14"/>
              </w:rPr>
              <w:t>Quarterly steering reviews.</w:t>
            </w:r>
          </w:p>
        </w:tc>
        <w:tc>
          <w:tcPr>
            <w:tcW w:type="dxa" w:w="2160"/>
            <w:vAlign w:val="center"/>
            <w:tcMar>
              <w:top w:w="70" w:type="dxa"/>
              <w:start w:w="80" w:type="dxa"/>
              <w:bottom w:w="70" w:type="dxa"/>
              <w:end w:w="80" w:type="dxa"/>
            </w:tcMar>
          </w:tcPr>
          <w:p>
            <w:pPr>
              <w:spacing w:after="0"/>
            </w:pPr>
            <w:r/>
            <w:r>
              <w:rPr>
                <w:rFonts w:ascii="Arial" w:hAnsi="Arial"/>
                <w:b w:val="0"/>
                <w:sz w:val="14"/>
              </w:rPr>
              <w:t>Resolves cross-domain ownership and funding issues.</w:t>
            </w:r>
          </w:p>
        </w:tc>
      </w:tr>
    </w:tbl>
    <w:p>
      <w:pPr>
        <w:spacing w:after="20"/>
      </w:pPr>
    </w:p>
    <w:p>
      <w:pPr>
        <w:pStyle w:val="Heading2"/>
      </w:pPr>
      <w:r>
        <w:t>6.8 Funding and Product Management</w:t>
      </w:r>
    </w:p>
    <w:p>
      <w:r>
        <w:t>Foundational capabilities should be funded as an enterprise platform product with a multi-quarter roadmap. Domain-specific products are funded by the business outcomes they support. Shared costs remain transparent; showback precedes chargeback until allocation rules are stable and avoid discouraging adoption through premature internal pricing.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tcMar>
              <w:top w:w="70" w:type="dxa"/>
              <w:start w:w="80" w:type="dxa"/>
              <w:bottom w:w="70" w:type="dxa"/>
              <w:end w:w="80" w:type="dxa"/>
            </w:tcMar>
            <w:shd w:fill="1A73E8"/>
          </w:tcPr>
          <w:p>
            <w:pPr>
              <w:spacing w:after="0"/>
            </w:pPr>
            <w:r/>
            <w:r>
              <w:rPr>
                <w:rFonts w:ascii="Arial" w:hAnsi="Arial"/>
                <w:b/>
                <w:color w:val="FFFFFF"/>
                <w:sz w:val="16"/>
              </w:rPr>
              <w:t>Funding object</w:t>
            </w:r>
          </w:p>
        </w:tc>
        <w:tc>
          <w:tcPr>
            <w:tcW w:type="dxa" w:w="3384"/>
            <w:vAlign w:val="center"/>
            <w:tcMar>
              <w:top w:w="70" w:type="dxa"/>
              <w:start w:w="80" w:type="dxa"/>
              <w:bottom w:w="70" w:type="dxa"/>
              <w:end w:w="80" w:type="dxa"/>
            </w:tcMar>
            <w:shd w:fill="1A73E8"/>
          </w:tcPr>
          <w:p>
            <w:pPr>
              <w:spacing w:after="0"/>
            </w:pPr>
            <w:r/>
            <w:r>
              <w:rPr>
                <w:rFonts w:ascii="Arial" w:hAnsi="Arial"/>
                <w:b/>
                <w:color w:val="FFFFFF"/>
                <w:sz w:val="16"/>
              </w:rPr>
              <w:t>Funding approach</w:t>
            </w:r>
          </w:p>
        </w:tc>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Decision cadence</w:t>
            </w:r>
          </w:p>
        </w:tc>
        <w:tc>
          <w:tcPr>
            <w:tcW w:type="dxa" w:w="2736"/>
            <w:vAlign w:val="center"/>
            <w:tcMar>
              <w:top w:w="70" w:type="dxa"/>
              <w:start w:w="80" w:type="dxa"/>
              <w:bottom w:w="70" w:type="dxa"/>
              <w:end w:w="80" w:type="dxa"/>
            </w:tcMar>
            <w:shd w:fill="1A73E8"/>
          </w:tcPr>
          <w:p>
            <w:pPr>
              <w:spacing w:after="0"/>
            </w:pPr>
            <w:r/>
            <w:r>
              <w:rPr>
                <w:rFonts w:ascii="Arial" w:hAnsi="Arial"/>
                <w:b/>
                <w:color w:val="FFFFFF"/>
                <w:sz w:val="16"/>
              </w:rPr>
              <w:t>Key metric</w:t>
            </w:r>
          </w:p>
        </w:tc>
      </w:tr>
      <w:tr>
        <w:tc>
          <w:tcPr>
            <w:tcW w:type="dxa" w:w="1872"/>
            <w:vAlign w:val="center"/>
            <w:tcMar>
              <w:top w:w="70" w:type="dxa"/>
              <w:start w:w="80" w:type="dxa"/>
              <w:bottom w:w="70" w:type="dxa"/>
              <w:end w:w="80" w:type="dxa"/>
            </w:tcMar>
          </w:tcPr>
          <w:p>
            <w:pPr>
              <w:spacing w:after="0"/>
            </w:pPr>
            <w:r/>
            <w:r>
              <w:rPr>
                <w:rFonts w:ascii="Arial" w:hAnsi="Arial"/>
                <w:b w:val="0"/>
                <w:sz w:val="15"/>
              </w:rPr>
              <w:t>Enterprise foundation</w:t>
            </w:r>
          </w:p>
        </w:tc>
        <w:tc>
          <w:tcPr>
            <w:tcW w:type="dxa" w:w="3384"/>
            <w:vAlign w:val="center"/>
            <w:tcMar>
              <w:top w:w="70" w:type="dxa"/>
              <w:start w:w="80" w:type="dxa"/>
              <w:bottom w:w="70" w:type="dxa"/>
              <w:end w:w="80" w:type="dxa"/>
            </w:tcMar>
          </w:tcPr>
          <w:p>
            <w:pPr>
              <w:spacing w:after="0"/>
            </w:pPr>
            <w:r/>
            <w:r>
              <w:rPr>
                <w:rFonts w:ascii="Arial" w:hAnsi="Arial"/>
                <w:b w:val="0"/>
                <w:sz w:val="15"/>
              </w:rPr>
              <w:t>Central strategic investment</w:t>
            </w:r>
          </w:p>
        </w:tc>
        <w:tc>
          <w:tcPr>
            <w:tcW w:type="dxa" w:w="2088"/>
            <w:vAlign w:val="center"/>
            <w:tcMar>
              <w:top w:w="70" w:type="dxa"/>
              <w:start w:w="80" w:type="dxa"/>
              <w:bottom w:w="70" w:type="dxa"/>
              <w:end w:w="80" w:type="dxa"/>
            </w:tcMar>
          </w:tcPr>
          <w:p>
            <w:pPr>
              <w:spacing w:after="0"/>
            </w:pPr>
            <w:r/>
            <w:r>
              <w:rPr>
                <w:rFonts w:ascii="Arial" w:hAnsi="Arial"/>
                <w:b w:val="0"/>
                <w:sz w:val="15"/>
              </w:rPr>
              <w:t>Annual funding with quarterly reprioritization</w:t>
            </w:r>
          </w:p>
        </w:tc>
        <w:tc>
          <w:tcPr>
            <w:tcW w:type="dxa" w:w="2736"/>
            <w:vAlign w:val="center"/>
            <w:tcMar>
              <w:top w:w="70" w:type="dxa"/>
              <w:start w:w="80" w:type="dxa"/>
              <w:bottom w:w="70" w:type="dxa"/>
              <w:end w:w="80" w:type="dxa"/>
            </w:tcMar>
          </w:tcPr>
          <w:p>
            <w:pPr>
              <w:spacing w:after="0"/>
            </w:pPr>
            <w:r/>
            <w:r>
              <w:rPr>
                <w:rFonts w:ascii="Arial" w:hAnsi="Arial"/>
                <w:b w:val="0"/>
                <w:sz w:val="15"/>
              </w:rPr>
              <w:t>Control coverage and platform availability</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5"/>
              </w:rPr>
              <w:t>Platform capabilities</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Product-based capacity and roadmap funding</w:t>
            </w:r>
          </w:p>
        </w:tc>
        <w:tc>
          <w:tcPr>
            <w:tcW w:type="dxa" w:w="2088"/>
            <w:vAlign w:val="center"/>
            <w:tcMar>
              <w:top w:w="70" w:type="dxa"/>
              <w:start w:w="80" w:type="dxa"/>
              <w:bottom w:w="70" w:type="dxa"/>
              <w:end w:w="80" w:type="dxa"/>
            </w:tcMar>
            <w:shd w:fill="F8F9FA"/>
          </w:tcPr>
          <w:p>
            <w:pPr>
              <w:spacing w:after="0"/>
            </w:pPr>
            <w:r/>
            <w:r>
              <w:rPr>
                <w:rFonts w:ascii="Arial" w:hAnsi="Arial"/>
                <w:b w:val="0"/>
                <w:sz w:val="15"/>
              </w:rPr>
              <w:t>Quarterly</w:t>
            </w:r>
          </w:p>
        </w:tc>
        <w:tc>
          <w:tcPr>
            <w:tcW w:type="dxa" w:w="2736"/>
            <w:vAlign w:val="center"/>
            <w:tcMar>
              <w:top w:w="70" w:type="dxa"/>
              <w:start w:w="80" w:type="dxa"/>
              <w:bottom w:w="70" w:type="dxa"/>
              <w:end w:w="80" w:type="dxa"/>
            </w:tcMar>
            <w:shd w:fill="F8F9FA"/>
          </w:tcPr>
          <w:p>
            <w:pPr>
              <w:spacing w:after="0"/>
            </w:pPr>
            <w:r/>
            <w:r>
              <w:rPr>
                <w:rFonts w:ascii="Arial" w:hAnsi="Arial"/>
                <w:b w:val="0"/>
                <w:sz w:val="15"/>
              </w:rPr>
              <w:t>Adoption, lead time, reliability and cost per onboarded product</w:t>
            </w:r>
          </w:p>
        </w:tc>
      </w:tr>
      <w:tr>
        <w:tc>
          <w:tcPr>
            <w:tcW w:type="dxa" w:w="1872"/>
            <w:vAlign w:val="center"/>
            <w:tcMar>
              <w:top w:w="70" w:type="dxa"/>
              <w:start w:w="80" w:type="dxa"/>
              <w:bottom w:w="70" w:type="dxa"/>
              <w:end w:w="80" w:type="dxa"/>
            </w:tcMar>
          </w:tcPr>
          <w:p>
            <w:pPr>
              <w:spacing w:after="0"/>
            </w:pPr>
            <w:r/>
            <w:r>
              <w:rPr>
                <w:rFonts w:ascii="Arial" w:hAnsi="Arial"/>
                <w:b w:val="0"/>
                <w:sz w:val="15"/>
              </w:rPr>
              <w:t>Domain data products</w:t>
            </w:r>
          </w:p>
        </w:tc>
        <w:tc>
          <w:tcPr>
            <w:tcW w:type="dxa" w:w="3384"/>
            <w:vAlign w:val="center"/>
            <w:tcMar>
              <w:top w:w="70" w:type="dxa"/>
              <w:start w:w="80" w:type="dxa"/>
              <w:bottom w:w="70" w:type="dxa"/>
              <w:end w:w="80" w:type="dxa"/>
            </w:tcMar>
          </w:tcPr>
          <w:p>
            <w:pPr>
              <w:spacing w:after="0"/>
            </w:pPr>
            <w:r/>
            <w:r>
              <w:rPr>
                <w:rFonts w:ascii="Arial" w:hAnsi="Arial"/>
                <w:b w:val="0"/>
                <w:sz w:val="15"/>
              </w:rPr>
              <w:t>Business-value funding</w:t>
            </w:r>
          </w:p>
        </w:tc>
        <w:tc>
          <w:tcPr>
            <w:tcW w:type="dxa" w:w="2088"/>
            <w:vAlign w:val="center"/>
            <w:tcMar>
              <w:top w:w="70" w:type="dxa"/>
              <w:start w:w="80" w:type="dxa"/>
              <w:bottom w:w="70" w:type="dxa"/>
              <w:end w:w="80" w:type="dxa"/>
            </w:tcMar>
          </w:tcPr>
          <w:p>
            <w:pPr>
              <w:spacing w:after="0"/>
            </w:pPr>
            <w:r/>
            <w:r>
              <w:rPr>
                <w:rFonts w:ascii="Arial" w:hAnsi="Arial"/>
                <w:b w:val="0"/>
                <w:sz w:val="15"/>
              </w:rPr>
              <w:t>Quarterly product review</w:t>
            </w:r>
          </w:p>
        </w:tc>
        <w:tc>
          <w:tcPr>
            <w:tcW w:type="dxa" w:w="2736"/>
            <w:vAlign w:val="center"/>
            <w:tcMar>
              <w:top w:w="70" w:type="dxa"/>
              <w:start w:w="80" w:type="dxa"/>
              <w:bottom w:w="70" w:type="dxa"/>
              <w:end w:w="80" w:type="dxa"/>
            </w:tcMar>
          </w:tcPr>
          <w:p>
            <w:pPr>
              <w:spacing w:after="0"/>
            </w:pPr>
            <w:r/>
            <w:r>
              <w:rPr>
                <w:rFonts w:ascii="Arial" w:hAnsi="Arial"/>
                <w:b w:val="0"/>
                <w:sz w:val="15"/>
              </w:rPr>
              <w:t>Outcome, SLO, quality, adoption and unit cost</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5"/>
              </w:rPr>
              <w:t>Migration waves</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Program funding tied to retirement benefits</w:t>
            </w:r>
          </w:p>
        </w:tc>
        <w:tc>
          <w:tcPr>
            <w:tcW w:type="dxa" w:w="2088"/>
            <w:vAlign w:val="center"/>
            <w:tcMar>
              <w:top w:w="70" w:type="dxa"/>
              <w:start w:w="80" w:type="dxa"/>
              <w:bottom w:w="70" w:type="dxa"/>
              <w:end w:w="80" w:type="dxa"/>
            </w:tcMar>
            <w:shd w:fill="F8F9FA"/>
          </w:tcPr>
          <w:p>
            <w:pPr>
              <w:spacing w:after="0"/>
            </w:pPr>
            <w:r/>
            <w:r>
              <w:rPr>
                <w:rFonts w:ascii="Arial" w:hAnsi="Arial"/>
                <w:b w:val="0"/>
                <w:sz w:val="15"/>
              </w:rPr>
              <w:t>Wave gate</w:t>
            </w:r>
          </w:p>
        </w:tc>
        <w:tc>
          <w:tcPr>
            <w:tcW w:type="dxa" w:w="2736"/>
            <w:vAlign w:val="center"/>
            <w:tcMar>
              <w:top w:w="70" w:type="dxa"/>
              <w:start w:w="80" w:type="dxa"/>
              <w:bottom w:w="70" w:type="dxa"/>
              <w:end w:w="80" w:type="dxa"/>
            </w:tcMar>
            <w:shd w:fill="F8F9FA"/>
          </w:tcPr>
          <w:p>
            <w:pPr>
              <w:spacing w:after="0"/>
            </w:pPr>
            <w:r/>
            <w:r>
              <w:rPr>
                <w:rFonts w:ascii="Arial" w:hAnsi="Arial"/>
                <w:b w:val="0"/>
                <w:sz w:val="15"/>
              </w:rPr>
              <w:t>Reconciliation, cutover and cost avoided</w:t>
            </w:r>
          </w:p>
        </w:tc>
      </w:tr>
      <w:tr>
        <w:tc>
          <w:tcPr>
            <w:tcW w:type="dxa" w:w="1872"/>
            <w:vAlign w:val="center"/>
            <w:tcMar>
              <w:top w:w="70" w:type="dxa"/>
              <w:start w:w="80" w:type="dxa"/>
              <w:bottom w:w="70" w:type="dxa"/>
              <w:end w:w="80" w:type="dxa"/>
            </w:tcMar>
          </w:tcPr>
          <w:p>
            <w:pPr>
              <w:spacing w:after="0"/>
            </w:pPr>
            <w:r/>
            <w:r>
              <w:rPr>
                <w:rFonts w:ascii="Arial" w:hAnsi="Arial"/>
                <w:b w:val="0"/>
                <w:sz w:val="15"/>
              </w:rPr>
              <w:t>Innovation/AI experiments</w:t>
            </w:r>
          </w:p>
        </w:tc>
        <w:tc>
          <w:tcPr>
            <w:tcW w:type="dxa" w:w="3384"/>
            <w:vAlign w:val="center"/>
            <w:tcMar>
              <w:top w:w="70" w:type="dxa"/>
              <w:start w:w="80" w:type="dxa"/>
              <w:bottom w:w="70" w:type="dxa"/>
              <w:end w:w="80" w:type="dxa"/>
            </w:tcMar>
          </w:tcPr>
          <w:p>
            <w:pPr>
              <w:spacing w:after="0"/>
            </w:pPr>
            <w:r/>
            <w:r>
              <w:rPr>
                <w:rFonts w:ascii="Arial" w:hAnsi="Arial"/>
                <w:b w:val="0"/>
                <w:sz w:val="15"/>
              </w:rPr>
              <w:t>Time-bound portfolio funding</w:t>
            </w:r>
          </w:p>
        </w:tc>
        <w:tc>
          <w:tcPr>
            <w:tcW w:type="dxa" w:w="2088"/>
            <w:vAlign w:val="center"/>
            <w:tcMar>
              <w:top w:w="70" w:type="dxa"/>
              <w:start w:w="80" w:type="dxa"/>
              <w:bottom w:w="70" w:type="dxa"/>
              <w:end w:w="80" w:type="dxa"/>
            </w:tcMar>
          </w:tcPr>
          <w:p>
            <w:pPr>
              <w:spacing w:after="0"/>
            </w:pPr>
            <w:r/>
            <w:r>
              <w:rPr>
                <w:rFonts w:ascii="Arial" w:hAnsi="Arial"/>
                <w:b w:val="0"/>
                <w:sz w:val="15"/>
              </w:rPr>
              <w:t>Stage gate</w:t>
            </w:r>
          </w:p>
        </w:tc>
        <w:tc>
          <w:tcPr>
            <w:tcW w:type="dxa" w:w="2736"/>
            <w:vAlign w:val="center"/>
            <w:tcMar>
              <w:top w:w="70" w:type="dxa"/>
              <w:start w:w="80" w:type="dxa"/>
              <w:bottom w:w="70" w:type="dxa"/>
              <w:end w:w="80" w:type="dxa"/>
            </w:tcMar>
          </w:tcPr>
          <w:p>
            <w:pPr>
              <w:spacing w:after="0"/>
            </w:pPr>
            <w:r/>
            <w:r>
              <w:rPr>
                <w:rFonts w:ascii="Arial" w:hAnsi="Arial"/>
                <w:b w:val="0"/>
                <w:sz w:val="15"/>
              </w:rPr>
              <w:t>Evaluation result and path to production or closure</w:t>
            </w:r>
          </w:p>
        </w:tc>
      </w:tr>
    </w:tbl>
    <w:p>
      <w:pPr>
        <w:spacing w:after="20"/>
      </w:pPr>
    </w:p>
    <w:p>
      <w:pPr>
        <w:pStyle w:val="Heading2"/>
      </w:pPr>
      <w:r>
        <w:t>6.9 Adoption Risks and Controls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Risk</w:t>
            </w:r>
          </w:p>
        </w:tc>
        <w:tc>
          <w:tcPr>
            <w:tcW w:type="dxa" w:w="2520"/>
            <w:vAlign w:val="center"/>
            <w:tcMar>
              <w:top w:w="70" w:type="dxa"/>
              <w:start w:w="80" w:type="dxa"/>
              <w:bottom w:w="70" w:type="dxa"/>
              <w:end w:w="80" w:type="dxa"/>
            </w:tcMar>
            <w:shd w:fill="1A73E8"/>
          </w:tcPr>
          <w:p>
            <w:pPr>
              <w:spacing w:after="0"/>
            </w:pPr>
            <w:r/>
            <w:r>
              <w:rPr>
                <w:rFonts w:ascii="Arial" w:hAnsi="Arial"/>
                <w:b/>
                <w:color w:val="FFFFFF"/>
                <w:sz w:val="16"/>
              </w:rPr>
              <w:t>Early indicator</w:t>
            </w:r>
          </w:p>
        </w:tc>
        <w:tc>
          <w:tcPr>
            <w:tcW w:type="dxa" w:w="3312"/>
            <w:vAlign w:val="center"/>
            <w:tcMar>
              <w:top w:w="70" w:type="dxa"/>
              <w:start w:w="80" w:type="dxa"/>
              <w:bottom w:w="70" w:type="dxa"/>
              <w:end w:w="80" w:type="dxa"/>
            </w:tcMar>
            <w:shd w:fill="1A73E8"/>
          </w:tcPr>
          <w:p>
            <w:pPr>
              <w:spacing w:after="0"/>
            </w:pPr>
            <w:r/>
            <w:r>
              <w:rPr>
                <w:rFonts w:ascii="Arial" w:hAnsi="Arial"/>
                <w:b/>
                <w:color w:val="FFFFFF"/>
                <w:sz w:val="16"/>
              </w:rPr>
              <w:t>Preventive control</w:t>
            </w:r>
          </w:p>
        </w:tc>
        <w:tc>
          <w:tcPr>
            <w:tcW w:type="dxa" w:w="2304"/>
            <w:vAlign w:val="center"/>
            <w:tcMar>
              <w:top w:w="70" w:type="dxa"/>
              <w:start w:w="80" w:type="dxa"/>
              <w:bottom w:w="70" w:type="dxa"/>
              <w:end w:w="80" w:type="dxa"/>
            </w:tcMar>
            <w:shd w:fill="1A73E8"/>
          </w:tcPr>
          <w:p>
            <w:pPr>
              <w:spacing w:after="0"/>
            </w:pPr>
            <w:r/>
            <w:r>
              <w:rPr>
                <w:rFonts w:ascii="Arial" w:hAnsi="Arial"/>
                <w:b/>
                <w:color w:val="FFFFFF"/>
                <w:sz w:val="16"/>
              </w:rPr>
              <w:t>Corrective action</w:t>
            </w:r>
          </w:p>
        </w:tc>
      </w:tr>
      <w:tr>
        <w:tc>
          <w:tcPr>
            <w:tcW w:type="dxa" w:w="1944"/>
            <w:vAlign w:val="center"/>
            <w:tcMar>
              <w:top w:w="70" w:type="dxa"/>
              <w:start w:w="80" w:type="dxa"/>
              <w:bottom w:w="70" w:type="dxa"/>
              <w:end w:w="80" w:type="dxa"/>
            </w:tcMar>
          </w:tcPr>
          <w:p>
            <w:pPr>
              <w:spacing w:after="0"/>
            </w:pPr>
            <w:r/>
            <w:r>
              <w:rPr>
                <w:rFonts w:ascii="Arial" w:hAnsi="Arial"/>
                <w:b w:val="0"/>
                <w:sz w:val="14"/>
              </w:rPr>
              <w:t>Foundation over-engineering</w:t>
            </w:r>
          </w:p>
        </w:tc>
        <w:tc>
          <w:tcPr>
            <w:tcW w:type="dxa" w:w="2520"/>
            <w:vAlign w:val="center"/>
            <w:tcMar>
              <w:top w:w="70" w:type="dxa"/>
              <w:start w:w="80" w:type="dxa"/>
              <w:bottom w:w="70" w:type="dxa"/>
              <w:end w:w="80" w:type="dxa"/>
            </w:tcMar>
          </w:tcPr>
          <w:p>
            <w:pPr>
              <w:spacing w:after="0"/>
            </w:pPr>
            <w:r/>
            <w:r>
              <w:rPr>
                <w:rFonts w:ascii="Arial" w:hAnsi="Arial"/>
                <w:b w:val="0"/>
                <w:sz w:val="14"/>
              </w:rPr>
              <w:t>Long design period without a production consumer.</w:t>
            </w:r>
          </w:p>
        </w:tc>
        <w:tc>
          <w:tcPr>
            <w:tcW w:type="dxa" w:w="3312"/>
            <w:vAlign w:val="center"/>
            <w:tcMar>
              <w:top w:w="70" w:type="dxa"/>
              <w:start w:w="80" w:type="dxa"/>
              <w:bottom w:w="70" w:type="dxa"/>
              <w:end w:w="80" w:type="dxa"/>
            </w:tcMar>
          </w:tcPr>
          <w:p>
            <w:pPr>
              <w:spacing w:after="0"/>
            </w:pPr>
            <w:r/>
            <w:r>
              <w:rPr>
                <w:rFonts w:ascii="Arial" w:hAnsi="Arial"/>
                <w:b w:val="0"/>
                <w:sz w:val="14"/>
              </w:rPr>
              <w:t>Anchor scope to first-domain needs and non-negotiable controls.</w:t>
            </w:r>
          </w:p>
        </w:tc>
        <w:tc>
          <w:tcPr>
            <w:tcW w:type="dxa" w:w="2304"/>
            <w:vAlign w:val="center"/>
            <w:tcMar>
              <w:top w:w="70" w:type="dxa"/>
              <w:start w:w="80" w:type="dxa"/>
              <w:bottom w:w="70" w:type="dxa"/>
              <w:end w:w="80" w:type="dxa"/>
            </w:tcMar>
          </w:tcPr>
          <w:p>
            <w:pPr>
              <w:spacing w:after="0"/>
            </w:pPr>
            <w:r/>
            <w:r>
              <w:rPr>
                <w:rFonts w:ascii="Arial" w:hAnsi="Arial"/>
                <w:b w:val="0"/>
                <w:sz w:val="14"/>
              </w:rPr>
              <w:t>Time-box decisions and defer optional services.</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4"/>
              </w:rPr>
              <w:t>Migration without retirement</w:t>
            </w:r>
          </w:p>
        </w:tc>
        <w:tc>
          <w:tcPr>
            <w:tcW w:type="dxa" w:w="2520"/>
            <w:vAlign w:val="center"/>
            <w:tcMar>
              <w:top w:w="70" w:type="dxa"/>
              <w:start w:w="80" w:type="dxa"/>
              <w:bottom w:w="70" w:type="dxa"/>
              <w:end w:w="80" w:type="dxa"/>
            </w:tcMar>
            <w:shd w:fill="F8F9FA"/>
          </w:tcPr>
          <w:p>
            <w:pPr>
              <w:spacing w:after="0"/>
            </w:pPr>
            <w:r/>
            <w:r>
              <w:rPr>
                <w:rFonts w:ascii="Arial" w:hAnsi="Arial"/>
                <w:b w:val="0"/>
                <w:sz w:val="14"/>
              </w:rPr>
              <w:t>Cloud and legacy costs both rise.</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Fund decommissioning and define exit criteria per wave.</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Escalate unresolved consumer dependencies.</w:t>
            </w:r>
          </w:p>
        </w:tc>
      </w:tr>
      <w:tr>
        <w:tc>
          <w:tcPr>
            <w:tcW w:type="dxa" w:w="1944"/>
            <w:vAlign w:val="center"/>
            <w:tcMar>
              <w:top w:w="70" w:type="dxa"/>
              <w:start w:w="80" w:type="dxa"/>
              <w:bottom w:w="70" w:type="dxa"/>
              <w:end w:w="80" w:type="dxa"/>
            </w:tcMar>
          </w:tcPr>
          <w:p>
            <w:pPr>
              <w:spacing w:after="0"/>
            </w:pPr>
            <w:r/>
            <w:r>
              <w:rPr>
                <w:rFonts w:ascii="Arial" w:hAnsi="Arial"/>
                <w:b w:val="0"/>
                <w:sz w:val="14"/>
              </w:rPr>
              <w:t>Central team bottleneck</w:t>
            </w:r>
          </w:p>
        </w:tc>
        <w:tc>
          <w:tcPr>
            <w:tcW w:type="dxa" w:w="2520"/>
            <w:vAlign w:val="center"/>
            <w:tcMar>
              <w:top w:w="70" w:type="dxa"/>
              <w:start w:w="80" w:type="dxa"/>
              <w:bottom w:w="70" w:type="dxa"/>
              <w:end w:w="80" w:type="dxa"/>
            </w:tcMar>
          </w:tcPr>
          <w:p>
            <w:pPr>
              <w:spacing w:after="0"/>
            </w:pPr>
            <w:r/>
            <w:r>
              <w:rPr>
                <w:rFonts w:ascii="Arial" w:hAnsi="Arial"/>
                <w:b w:val="0"/>
                <w:sz w:val="14"/>
              </w:rPr>
              <w:t>Domain backlog grows and local workarounds appear.</w:t>
            </w:r>
          </w:p>
        </w:tc>
        <w:tc>
          <w:tcPr>
            <w:tcW w:type="dxa" w:w="3312"/>
            <w:vAlign w:val="center"/>
            <w:tcMar>
              <w:top w:w="70" w:type="dxa"/>
              <w:start w:w="80" w:type="dxa"/>
              <w:bottom w:w="70" w:type="dxa"/>
              <w:end w:w="80" w:type="dxa"/>
            </w:tcMar>
          </w:tcPr>
          <w:p>
            <w:pPr>
              <w:spacing w:after="0"/>
            </w:pPr>
            <w:r/>
            <w:r>
              <w:rPr>
                <w:rFonts w:ascii="Arial" w:hAnsi="Arial"/>
                <w:b w:val="0"/>
                <w:sz w:val="14"/>
              </w:rPr>
              <w:t>Self-service modules and delegated ownership.</w:t>
            </w:r>
          </w:p>
        </w:tc>
        <w:tc>
          <w:tcPr>
            <w:tcW w:type="dxa" w:w="2304"/>
            <w:vAlign w:val="center"/>
            <w:tcMar>
              <w:top w:w="70" w:type="dxa"/>
              <w:start w:w="80" w:type="dxa"/>
              <w:bottom w:w="70" w:type="dxa"/>
              <w:end w:w="80" w:type="dxa"/>
            </w:tcMar>
          </w:tcPr>
          <w:p>
            <w:pPr>
              <w:spacing w:after="0"/>
            </w:pPr>
            <w:r/>
            <w:r>
              <w:rPr>
                <w:rFonts w:ascii="Arial" w:hAnsi="Arial"/>
                <w:b w:val="0"/>
                <w:sz w:val="14"/>
              </w:rPr>
              <w:t>Increase platform capacity and simplify approval paths.</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4"/>
              </w:rPr>
              <w:t>Uncontrolled decentralization</w:t>
            </w:r>
          </w:p>
        </w:tc>
        <w:tc>
          <w:tcPr>
            <w:tcW w:type="dxa" w:w="2520"/>
            <w:vAlign w:val="center"/>
            <w:tcMar>
              <w:top w:w="70" w:type="dxa"/>
              <w:start w:w="80" w:type="dxa"/>
              <w:bottom w:w="70" w:type="dxa"/>
              <w:end w:w="80" w:type="dxa"/>
            </w:tcMar>
            <w:shd w:fill="F8F9FA"/>
          </w:tcPr>
          <w:p>
            <w:pPr>
              <w:spacing w:after="0"/>
            </w:pPr>
            <w:r/>
            <w:r>
              <w:rPr>
                <w:rFonts w:ascii="Arial" w:hAnsi="Arial"/>
                <w:b w:val="0"/>
                <w:sz w:val="14"/>
              </w:rPr>
              <w:t>Inconsistent projects, identities and services.</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Project factory, policy-as-code and conformance reporting.</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Contain, remediate and time-bound exceptions.</w:t>
            </w:r>
          </w:p>
        </w:tc>
      </w:tr>
      <w:tr>
        <w:tc>
          <w:tcPr>
            <w:tcW w:type="dxa" w:w="1944"/>
            <w:vAlign w:val="center"/>
            <w:tcMar>
              <w:top w:w="70" w:type="dxa"/>
              <w:start w:w="80" w:type="dxa"/>
              <w:bottom w:w="70" w:type="dxa"/>
              <w:end w:w="80" w:type="dxa"/>
            </w:tcMar>
          </w:tcPr>
          <w:p>
            <w:pPr>
              <w:spacing w:after="0"/>
            </w:pPr>
            <w:r/>
            <w:r>
              <w:rPr>
                <w:rFonts w:ascii="Arial" w:hAnsi="Arial"/>
                <w:b w:val="0"/>
                <w:sz w:val="14"/>
              </w:rPr>
              <w:t>AI experimentation bypasses governance</w:t>
            </w:r>
          </w:p>
        </w:tc>
        <w:tc>
          <w:tcPr>
            <w:tcW w:type="dxa" w:w="2520"/>
            <w:vAlign w:val="center"/>
            <w:tcMar>
              <w:top w:w="70" w:type="dxa"/>
              <w:start w:w="80" w:type="dxa"/>
              <w:bottom w:w="70" w:type="dxa"/>
              <w:end w:w="80" w:type="dxa"/>
            </w:tcMar>
          </w:tcPr>
          <w:p>
            <w:pPr>
              <w:spacing w:after="0"/>
            </w:pPr>
            <w:r/>
            <w:r>
              <w:rPr>
                <w:rFonts w:ascii="Arial" w:hAnsi="Arial"/>
                <w:b w:val="0"/>
                <w:sz w:val="14"/>
              </w:rPr>
              <w:t>Sensitive data appears in unmanaged notebooks or prompts.</w:t>
            </w:r>
          </w:p>
        </w:tc>
        <w:tc>
          <w:tcPr>
            <w:tcW w:type="dxa" w:w="3312"/>
            <w:vAlign w:val="center"/>
            <w:tcMar>
              <w:top w:w="70" w:type="dxa"/>
              <w:start w:w="80" w:type="dxa"/>
              <w:bottom w:w="70" w:type="dxa"/>
              <w:end w:w="80" w:type="dxa"/>
            </w:tcMar>
          </w:tcPr>
          <w:p>
            <w:pPr>
              <w:spacing w:after="0"/>
            </w:pPr>
            <w:r/>
            <w:r>
              <w:rPr>
                <w:rFonts w:ascii="Arial" w:hAnsi="Arial"/>
                <w:b w:val="0"/>
                <w:sz w:val="14"/>
              </w:rPr>
              <w:t>Approved AI sandboxes and governed data interfaces.</w:t>
            </w:r>
          </w:p>
        </w:tc>
        <w:tc>
          <w:tcPr>
            <w:tcW w:type="dxa" w:w="2304"/>
            <w:vAlign w:val="center"/>
            <w:tcMar>
              <w:top w:w="70" w:type="dxa"/>
              <w:start w:w="80" w:type="dxa"/>
              <w:bottom w:w="70" w:type="dxa"/>
              <w:end w:w="80" w:type="dxa"/>
            </w:tcMar>
          </w:tcPr>
          <w:p>
            <w:pPr>
              <w:spacing w:after="0"/>
            </w:pPr>
            <w:r/>
            <w:r>
              <w:rPr>
                <w:rFonts w:ascii="Arial" w:hAnsi="Arial"/>
                <w:b w:val="0"/>
                <w:sz w:val="14"/>
              </w:rPr>
              <w:t>Suspend access, investigate and strengthen controls.</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4"/>
              </w:rPr>
              <w:t>Skills lag behind delivery</w:t>
            </w:r>
          </w:p>
        </w:tc>
        <w:tc>
          <w:tcPr>
            <w:tcW w:type="dxa" w:w="2520"/>
            <w:vAlign w:val="center"/>
            <w:tcMar>
              <w:top w:w="70" w:type="dxa"/>
              <w:start w:w="80" w:type="dxa"/>
              <w:bottom w:w="70" w:type="dxa"/>
              <w:end w:w="80" w:type="dxa"/>
            </w:tcMar>
            <w:shd w:fill="F8F9FA"/>
          </w:tcPr>
          <w:p>
            <w:pPr>
              <w:spacing w:after="0"/>
            </w:pPr>
            <w:r/>
            <w:r>
              <w:rPr>
                <w:rFonts w:ascii="Arial" w:hAnsi="Arial"/>
                <w:b w:val="0"/>
                <w:sz w:val="14"/>
              </w:rPr>
              <w:t>High defect rate and consultant dependence.</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Role-based enablement and paired engineering.</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Reduce wave concurrency and invest in internal ownership.</w:t>
            </w:r>
          </w:p>
        </w:tc>
      </w:tr>
    </w:tbl>
    <w:p>
      <w:pPr>
        <w:spacing w:after="20"/>
      </w:pPr>
    </w:p>
    <w:p>
      <w:pPr>
        <w:pStyle w:val="Heading2"/>
      </w:pPr>
      <w:r>
        <w:t>6.10 Adoption Success Measures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024"/>
            <w:vAlign w:val="center"/>
            <w:tcMar>
              <w:top w:w="70" w:type="dxa"/>
              <w:start w:w="80" w:type="dxa"/>
              <w:bottom w:w="70" w:type="dxa"/>
              <w:end w:w="80" w:type="dxa"/>
            </w:tcMar>
            <w:shd w:fill="1A73E8"/>
          </w:tcPr>
          <w:p>
            <w:pPr>
              <w:spacing w:after="0"/>
            </w:pPr>
            <w:r/>
            <w:r>
              <w:rPr>
                <w:rFonts w:ascii="Arial" w:hAnsi="Arial"/>
                <w:b/>
                <w:color w:val="FFFFFF"/>
                <w:sz w:val="16"/>
              </w:rPr>
              <w:t>Dimension</w:t>
            </w:r>
          </w:p>
        </w:tc>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Year 1 target</w:t>
            </w:r>
          </w:p>
        </w:tc>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Year 2 target</w:t>
            </w:r>
          </w:p>
        </w:tc>
        <w:tc>
          <w:tcPr>
            <w:tcW w:type="dxa" w:w="3168"/>
            <w:vAlign w:val="center"/>
            <w:tcMar>
              <w:top w:w="70" w:type="dxa"/>
              <w:start w:w="80" w:type="dxa"/>
              <w:bottom w:w="70" w:type="dxa"/>
              <w:end w:w="80" w:type="dxa"/>
            </w:tcMar>
            <w:shd w:fill="1A73E8"/>
          </w:tcPr>
          <w:p>
            <w:pPr>
              <w:spacing w:after="0"/>
            </w:pPr>
            <w:r/>
            <w:r>
              <w:rPr>
                <w:rFonts w:ascii="Arial" w:hAnsi="Arial"/>
                <w:b/>
                <w:color w:val="FFFFFF"/>
                <w:sz w:val="16"/>
              </w:rPr>
              <w:t>Measurement</w:t>
            </w:r>
          </w:p>
        </w:tc>
      </w:tr>
      <w:tr>
        <w:tc>
          <w:tcPr>
            <w:tcW w:type="dxa" w:w="3024"/>
            <w:vAlign w:val="center"/>
            <w:tcMar>
              <w:top w:w="70" w:type="dxa"/>
              <w:start w:w="80" w:type="dxa"/>
              <w:bottom w:w="70" w:type="dxa"/>
              <w:end w:w="80" w:type="dxa"/>
            </w:tcMar>
          </w:tcPr>
          <w:p>
            <w:pPr>
              <w:spacing w:after="0"/>
            </w:pPr>
            <w:r/>
            <w:r>
              <w:rPr>
                <w:rFonts w:ascii="Arial" w:hAnsi="Arial"/>
                <w:b w:val="0"/>
                <w:sz w:val="15"/>
              </w:rPr>
              <w:t>Time to provision governed domain environment</w:t>
            </w:r>
          </w:p>
        </w:tc>
        <w:tc>
          <w:tcPr>
            <w:tcW w:type="dxa" w:w="1944"/>
            <w:vAlign w:val="center"/>
            <w:tcMar>
              <w:top w:w="70" w:type="dxa"/>
              <w:start w:w="80" w:type="dxa"/>
              <w:bottom w:w="70" w:type="dxa"/>
              <w:end w:w="80" w:type="dxa"/>
            </w:tcMar>
          </w:tcPr>
          <w:p>
            <w:pPr>
              <w:spacing w:after="0"/>
            </w:pPr>
            <w:r/>
            <w:r>
              <w:rPr>
                <w:rFonts w:ascii="Arial" w:hAnsi="Arial"/>
                <w:b w:val="0"/>
                <w:sz w:val="15"/>
              </w:rPr>
              <w:t>≤10 working days</w:t>
            </w:r>
          </w:p>
        </w:tc>
        <w:tc>
          <w:tcPr>
            <w:tcW w:type="dxa" w:w="1944"/>
            <w:vAlign w:val="center"/>
            <w:tcMar>
              <w:top w:w="70" w:type="dxa"/>
              <w:start w:w="80" w:type="dxa"/>
              <w:bottom w:w="70" w:type="dxa"/>
              <w:end w:w="80" w:type="dxa"/>
            </w:tcMar>
          </w:tcPr>
          <w:p>
            <w:pPr>
              <w:spacing w:after="0"/>
            </w:pPr>
            <w:r/>
            <w:r>
              <w:rPr>
                <w:rFonts w:ascii="Arial" w:hAnsi="Arial"/>
                <w:b w:val="0"/>
                <w:sz w:val="15"/>
              </w:rPr>
              <w:t>≤2 working days</w:t>
            </w:r>
          </w:p>
        </w:tc>
        <w:tc>
          <w:tcPr>
            <w:tcW w:type="dxa" w:w="3168"/>
            <w:vAlign w:val="center"/>
            <w:tcMar>
              <w:top w:w="70" w:type="dxa"/>
              <w:start w:w="80" w:type="dxa"/>
              <w:bottom w:w="70" w:type="dxa"/>
              <w:end w:w="80" w:type="dxa"/>
            </w:tcMar>
          </w:tcPr>
          <w:p>
            <w:pPr>
              <w:spacing w:after="0"/>
            </w:pPr>
            <w:r/>
            <w:r>
              <w:rPr>
                <w:rFonts w:ascii="Arial" w:hAnsi="Arial"/>
                <w:b w:val="0"/>
                <w:sz w:val="15"/>
              </w:rPr>
              <w:t>Project-factory telemetry</w:t>
            </w:r>
          </w:p>
        </w:tc>
      </w:tr>
      <w:tr>
        <w:tc>
          <w:tcPr>
            <w:tcW w:type="dxa" w:w="3024"/>
            <w:vAlign w:val="center"/>
            <w:tcMar>
              <w:top w:w="70" w:type="dxa"/>
              <w:start w:w="80" w:type="dxa"/>
              <w:bottom w:w="70" w:type="dxa"/>
              <w:end w:w="80" w:type="dxa"/>
            </w:tcMar>
            <w:shd w:fill="F8F9FA"/>
          </w:tcPr>
          <w:p>
            <w:pPr>
              <w:spacing w:after="0"/>
            </w:pPr>
            <w:r/>
            <w:r>
              <w:rPr>
                <w:rFonts w:ascii="Arial" w:hAnsi="Arial"/>
                <w:b w:val="0"/>
                <w:sz w:val="15"/>
              </w:rPr>
              <w:t>Standard source onboarding</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≤20 working days</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≤10 working days</w:t>
            </w:r>
          </w:p>
        </w:tc>
        <w:tc>
          <w:tcPr>
            <w:tcW w:type="dxa" w:w="3168"/>
            <w:vAlign w:val="center"/>
            <w:tcMar>
              <w:top w:w="70" w:type="dxa"/>
              <w:start w:w="80" w:type="dxa"/>
              <w:bottom w:w="70" w:type="dxa"/>
              <w:end w:w="80" w:type="dxa"/>
            </w:tcMar>
            <w:shd w:fill="F8F9FA"/>
          </w:tcPr>
          <w:p>
            <w:pPr>
              <w:spacing w:after="0"/>
            </w:pPr>
            <w:r/>
            <w:r>
              <w:rPr>
                <w:rFonts w:ascii="Arial" w:hAnsi="Arial"/>
                <w:b w:val="0"/>
                <w:sz w:val="15"/>
              </w:rPr>
              <w:t>Pipeline delivery metrics</w:t>
            </w:r>
          </w:p>
        </w:tc>
      </w:tr>
      <w:tr>
        <w:tc>
          <w:tcPr>
            <w:tcW w:type="dxa" w:w="3024"/>
            <w:vAlign w:val="center"/>
            <w:tcMar>
              <w:top w:w="70" w:type="dxa"/>
              <w:start w:w="80" w:type="dxa"/>
              <w:bottom w:w="70" w:type="dxa"/>
              <w:end w:w="80" w:type="dxa"/>
            </w:tcMar>
          </w:tcPr>
          <w:p>
            <w:pPr>
              <w:spacing w:after="0"/>
            </w:pPr>
            <w:r/>
            <w:r>
              <w:rPr>
                <w:rFonts w:ascii="Arial" w:hAnsi="Arial"/>
                <w:b w:val="0"/>
                <w:sz w:val="15"/>
              </w:rPr>
              <w:t>Golden-template adoption</w:t>
            </w:r>
          </w:p>
        </w:tc>
        <w:tc>
          <w:tcPr>
            <w:tcW w:type="dxa" w:w="1944"/>
            <w:vAlign w:val="center"/>
            <w:tcMar>
              <w:top w:w="70" w:type="dxa"/>
              <w:start w:w="80" w:type="dxa"/>
              <w:bottom w:w="70" w:type="dxa"/>
              <w:end w:w="80" w:type="dxa"/>
            </w:tcMar>
          </w:tcPr>
          <w:p>
            <w:pPr>
              <w:spacing w:after="0"/>
            </w:pPr>
            <w:r/>
            <w:r>
              <w:rPr>
                <w:rFonts w:ascii="Arial" w:hAnsi="Arial"/>
                <w:b w:val="0"/>
                <w:sz w:val="15"/>
              </w:rPr>
              <w:t>≥70%</w:t>
            </w:r>
          </w:p>
        </w:tc>
        <w:tc>
          <w:tcPr>
            <w:tcW w:type="dxa" w:w="1944"/>
            <w:vAlign w:val="center"/>
            <w:tcMar>
              <w:top w:w="70" w:type="dxa"/>
              <w:start w:w="80" w:type="dxa"/>
              <w:bottom w:w="70" w:type="dxa"/>
              <w:end w:w="80" w:type="dxa"/>
            </w:tcMar>
          </w:tcPr>
          <w:p>
            <w:pPr>
              <w:spacing w:after="0"/>
            </w:pPr>
            <w:r/>
            <w:r>
              <w:rPr>
                <w:rFonts w:ascii="Arial" w:hAnsi="Arial"/>
                <w:b w:val="0"/>
                <w:sz w:val="15"/>
              </w:rPr>
              <w:t>≥90%</w:t>
            </w:r>
          </w:p>
        </w:tc>
        <w:tc>
          <w:tcPr>
            <w:tcW w:type="dxa" w:w="3168"/>
            <w:vAlign w:val="center"/>
            <w:tcMar>
              <w:top w:w="70" w:type="dxa"/>
              <w:start w:w="80" w:type="dxa"/>
              <w:bottom w:w="70" w:type="dxa"/>
              <w:end w:w="80" w:type="dxa"/>
            </w:tcMar>
          </w:tcPr>
          <w:p>
            <w:pPr>
              <w:spacing w:after="0"/>
            </w:pPr>
            <w:r/>
            <w:r>
              <w:rPr>
                <w:rFonts w:ascii="Arial" w:hAnsi="Arial"/>
                <w:b w:val="0"/>
                <w:sz w:val="15"/>
              </w:rPr>
              <w:t>Repository and deployment metadata</w:t>
            </w:r>
          </w:p>
        </w:tc>
      </w:tr>
      <w:tr>
        <w:tc>
          <w:tcPr>
            <w:tcW w:type="dxa" w:w="3024"/>
            <w:vAlign w:val="center"/>
            <w:tcMar>
              <w:top w:w="70" w:type="dxa"/>
              <w:start w:w="80" w:type="dxa"/>
              <w:bottom w:w="70" w:type="dxa"/>
              <w:end w:w="80" w:type="dxa"/>
            </w:tcMar>
            <w:shd w:fill="F8F9FA"/>
          </w:tcPr>
          <w:p>
            <w:pPr>
              <w:spacing w:after="0"/>
            </w:pPr>
            <w:r/>
            <w:r>
              <w:rPr>
                <w:rFonts w:ascii="Arial" w:hAnsi="Arial"/>
                <w:b w:val="0"/>
                <w:sz w:val="15"/>
              </w:rPr>
              <w:t>Certified data products</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10–20</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50+</w:t>
            </w:r>
          </w:p>
        </w:tc>
        <w:tc>
          <w:tcPr>
            <w:tcW w:type="dxa" w:w="3168"/>
            <w:vAlign w:val="center"/>
            <w:tcMar>
              <w:top w:w="70" w:type="dxa"/>
              <w:start w:w="80" w:type="dxa"/>
              <w:bottom w:w="70" w:type="dxa"/>
              <w:end w:w="80" w:type="dxa"/>
            </w:tcMar>
            <w:shd w:fill="F8F9FA"/>
          </w:tcPr>
          <w:p>
            <w:pPr>
              <w:spacing w:after="0"/>
            </w:pPr>
            <w:r/>
            <w:r>
              <w:rPr>
                <w:rFonts w:ascii="Arial" w:hAnsi="Arial"/>
                <w:b w:val="0"/>
                <w:sz w:val="15"/>
              </w:rPr>
              <w:t>Catalog lifecycle state</w:t>
            </w:r>
          </w:p>
        </w:tc>
      </w:tr>
      <w:tr>
        <w:tc>
          <w:tcPr>
            <w:tcW w:type="dxa" w:w="3024"/>
            <w:vAlign w:val="center"/>
            <w:tcMar>
              <w:top w:w="70" w:type="dxa"/>
              <w:start w:w="80" w:type="dxa"/>
              <w:bottom w:w="70" w:type="dxa"/>
              <w:end w:w="80" w:type="dxa"/>
            </w:tcMar>
          </w:tcPr>
          <w:p>
            <w:pPr>
              <w:spacing w:after="0"/>
            </w:pPr>
            <w:r/>
            <w:r>
              <w:rPr>
                <w:rFonts w:ascii="Arial" w:hAnsi="Arial"/>
                <w:b w:val="0"/>
                <w:sz w:val="15"/>
              </w:rPr>
              <w:t>Platform SLO attainment</w:t>
            </w:r>
          </w:p>
        </w:tc>
        <w:tc>
          <w:tcPr>
            <w:tcW w:type="dxa" w:w="1944"/>
            <w:vAlign w:val="center"/>
            <w:tcMar>
              <w:top w:w="70" w:type="dxa"/>
              <w:start w:w="80" w:type="dxa"/>
              <w:bottom w:w="70" w:type="dxa"/>
              <w:end w:w="80" w:type="dxa"/>
            </w:tcMar>
          </w:tcPr>
          <w:p>
            <w:pPr>
              <w:spacing w:after="0"/>
            </w:pPr>
            <w:r/>
            <w:r>
              <w:rPr>
                <w:rFonts w:ascii="Arial" w:hAnsi="Arial"/>
                <w:b w:val="0"/>
                <w:sz w:val="15"/>
              </w:rPr>
              <w:t>≥99.9% Tier 1</w:t>
            </w:r>
          </w:p>
        </w:tc>
        <w:tc>
          <w:tcPr>
            <w:tcW w:type="dxa" w:w="1944"/>
            <w:vAlign w:val="center"/>
            <w:tcMar>
              <w:top w:w="70" w:type="dxa"/>
              <w:start w:w="80" w:type="dxa"/>
              <w:bottom w:w="70" w:type="dxa"/>
              <w:end w:w="80" w:type="dxa"/>
            </w:tcMar>
          </w:tcPr>
          <w:p>
            <w:pPr>
              <w:spacing w:after="0"/>
            </w:pPr>
            <w:r/>
            <w:r>
              <w:rPr>
                <w:rFonts w:ascii="Arial" w:hAnsi="Arial"/>
                <w:b w:val="0"/>
                <w:sz w:val="15"/>
              </w:rPr>
              <w:t>Sustained; Tier 0 where approved</w:t>
            </w:r>
          </w:p>
        </w:tc>
        <w:tc>
          <w:tcPr>
            <w:tcW w:type="dxa" w:w="3168"/>
            <w:vAlign w:val="center"/>
            <w:tcMar>
              <w:top w:w="70" w:type="dxa"/>
              <w:start w:w="80" w:type="dxa"/>
              <w:bottom w:w="70" w:type="dxa"/>
              <w:end w:w="80" w:type="dxa"/>
            </w:tcMar>
          </w:tcPr>
          <w:p>
            <w:pPr>
              <w:spacing w:after="0"/>
            </w:pPr>
            <w:r/>
            <w:r>
              <w:rPr>
                <w:rFonts w:ascii="Arial" w:hAnsi="Arial"/>
                <w:b w:val="0"/>
                <w:sz w:val="15"/>
              </w:rPr>
              <w:t>SLO dashboard</w:t>
            </w:r>
          </w:p>
        </w:tc>
      </w:tr>
      <w:tr>
        <w:tc>
          <w:tcPr>
            <w:tcW w:type="dxa" w:w="3024"/>
            <w:vAlign w:val="center"/>
            <w:tcMar>
              <w:top w:w="70" w:type="dxa"/>
              <w:start w:w="80" w:type="dxa"/>
              <w:bottom w:w="70" w:type="dxa"/>
              <w:end w:w="80" w:type="dxa"/>
            </w:tcMar>
            <w:shd w:fill="F8F9FA"/>
          </w:tcPr>
          <w:p>
            <w:pPr>
              <w:spacing w:after="0"/>
            </w:pPr>
            <w:r/>
            <w:r>
              <w:rPr>
                <w:rFonts w:ascii="Arial" w:hAnsi="Arial"/>
                <w:b w:val="0"/>
                <w:sz w:val="15"/>
              </w:rPr>
              <w:t>Spend allocation</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≥90%</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≥95%</w:t>
            </w:r>
          </w:p>
        </w:tc>
        <w:tc>
          <w:tcPr>
            <w:tcW w:type="dxa" w:w="3168"/>
            <w:vAlign w:val="center"/>
            <w:tcMar>
              <w:top w:w="70" w:type="dxa"/>
              <w:start w:w="80" w:type="dxa"/>
              <w:bottom w:w="70" w:type="dxa"/>
              <w:end w:w="80" w:type="dxa"/>
            </w:tcMar>
            <w:shd w:fill="F8F9FA"/>
          </w:tcPr>
          <w:p>
            <w:pPr>
              <w:spacing w:after="0"/>
            </w:pPr>
            <w:r/>
            <w:r>
              <w:rPr>
                <w:rFonts w:ascii="Arial" w:hAnsi="Arial"/>
                <w:b w:val="0"/>
                <w:sz w:val="15"/>
              </w:rPr>
              <w:t>Billing export and metadata</w:t>
            </w:r>
          </w:p>
        </w:tc>
      </w:tr>
      <w:tr>
        <w:tc>
          <w:tcPr>
            <w:tcW w:type="dxa" w:w="3024"/>
            <w:vAlign w:val="center"/>
            <w:tcMar>
              <w:top w:w="70" w:type="dxa"/>
              <w:start w:w="80" w:type="dxa"/>
              <w:bottom w:w="70" w:type="dxa"/>
              <w:end w:w="80" w:type="dxa"/>
            </w:tcMar>
          </w:tcPr>
          <w:p>
            <w:pPr>
              <w:spacing w:after="0"/>
            </w:pPr>
            <w:r/>
            <w:r>
              <w:rPr>
                <w:rFonts w:ascii="Arial" w:hAnsi="Arial"/>
                <w:b w:val="0"/>
                <w:sz w:val="15"/>
              </w:rPr>
              <w:t>Legacy workloads retired</w:t>
            </w:r>
          </w:p>
        </w:tc>
        <w:tc>
          <w:tcPr>
            <w:tcW w:type="dxa" w:w="1944"/>
            <w:vAlign w:val="center"/>
            <w:tcMar>
              <w:top w:w="70" w:type="dxa"/>
              <w:start w:w="80" w:type="dxa"/>
              <w:bottom w:w="70" w:type="dxa"/>
              <w:end w:w="80" w:type="dxa"/>
            </w:tcMar>
          </w:tcPr>
          <w:p>
            <w:pPr>
              <w:spacing w:after="0"/>
            </w:pPr>
            <w:r/>
            <w:r>
              <w:rPr>
                <w:rFonts w:ascii="Arial" w:hAnsi="Arial"/>
                <w:b w:val="0"/>
                <w:sz w:val="15"/>
              </w:rPr>
              <w:t>Wave-specific</w:t>
            </w:r>
          </w:p>
        </w:tc>
        <w:tc>
          <w:tcPr>
            <w:tcW w:type="dxa" w:w="1944"/>
            <w:vAlign w:val="center"/>
            <w:tcMar>
              <w:top w:w="70" w:type="dxa"/>
              <w:start w:w="80" w:type="dxa"/>
              <w:bottom w:w="70" w:type="dxa"/>
              <w:end w:w="80" w:type="dxa"/>
            </w:tcMar>
          </w:tcPr>
          <w:p>
            <w:pPr>
              <w:spacing w:after="0"/>
            </w:pPr>
            <w:r/>
            <w:r>
              <w:rPr>
                <w:rFonts w:ascii="Arial" w:hAnsi="Arial"/>
                <w:b w:val="0"/>
                <w:sz w:val="15"/>
              </w:rPr>
              <w:t>Portfolio majority</w:t>
            </w:r>
          </w:p>
        </w:tc>
        <w:tc>
          <w:tcPr>
            <w:tcW w:type="dxa" w:w="3168"/>
            <w:vAlign w:val="center"/>
            <w:tcMar>
              <w:top w:w="70" w:type="dxa"/>
              <w:start w:w="80" w:type="dxa"/>
              <w:bottom w:w="70" w:type="dxa"/>
              <w:end w:w="80" w:type="dxa"/>
            </w:tcMar>
          </w:tcPr>
          <w:p>
            <w:pPr>
              <w:spacing w:after="0"/>
            </w:pPr>
            <w:r/>
            <w:r>
              <w:rPr>
                <w:rFonts w:ascii="Arial" w:hAnsi="Arial"/>
                <w:b w:val="0"/>
                <w:sz w:val="15"/>
              </w:rPr>
              <w:t>Application portfolio record</w:t>
            </w:r>
          </w:p>
        </w:tc>
      </w:tr>
      <w:tr>
        <w:tc>
          <w:tcPr>
            <w:tcW w:type="dxa" w:w="3024"/>
            <w:vAlign w:val="center"/>
            <w:tcMar>
              <w:top w:w="70" w:type="dxa"/>
              <w:start w:w="80" w:type="dxa"/>
              <w:bottom w:w="70" w:type="dxa"/>
              <w:end w:w="80" w:type="dxa"/>
            </w:tcMar>
            <w:shd w:fill="F8F9FA"/>
          </w:tcPr>
          <w:p>
            <w:pPr>
              <w:spacing w:after="0"/>
            </w:pPr>
            <w:r/>
            <w:r>
              <w:rPr>
                <w:rFonts w:ascii="Arial" w:hAnsi="Arial"/>
                <w:b w:val="0"/>
                <w:sz w:val="15"/>
              </w:rPr>
              <w:t>Recovery exercises passed</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All Tier 0/1 pilot services</w:t>
            </w:r>
          </w:p>
        </w:tc>
        <w:tc>
          <w:tcPr>
            <w:tcW w:type="dxa" w:w="1944"/>
            <w:vAlign w:val="center"/>
            <w:tcMar>
              <w:top w:w="70" w:type="dxa"/>
              <w:start w:w="80" w:type="dxa"/>
              <w:bottom w:w="70" w:type="dxa"/>
              <w:end w:w="80" w:type="dxa"/>
            </w:tcMar>
            <w:shd w:fill="F8F9FA"/>
          </w:tcPr>
          <w:p>
            <w:pPr>
              <w:spacing w:after="0"/>
            </w:pPr>
            <w:r/>
            <w:r>
              <w:rPr>
                <w:rFonts w:ascii="Arial" w:hAnsi="Arial"/>
                <w:b w:val="0"/>
                <w:sz w:val="15"/>
              </w:rPr>
              <w:t>All Tier 0/1 services</w:t>
            </w:r>
          </w:p>
        </w:tc>
        <w:tc>
          <w:tcPr>
            <w:tcW w:type="dxa" w:w="3168"/>
            <w:vAlign w:val="center"/>
            <w:tcMar>
              <w:top w:w="70" w:type="dxa"/>
              <w:start w:w="80" w:type="dxa"/>
              <w:bottom w:w="70" w:type="dxa"/>
              <w:end w:w="80" w:type="dxa"/>
            </w:tcMar>
            <w:shd w:fill="F8F9FA"/>
          </w:tcPr>
          <w:p>
            <w:pPr>
              <w:spacing w:after="0"/>
            </w:pPr>
            <w:r/>
            <w:r>
              <w:rPr>
                <w:rFonts w:ascii="Arial" w:hAnsi="Arial"/>
                <w:b w:val="0"/>
                <w:sz w:val="15"/>
              </w:rPr>
              <w:t>DR evidence repository</w:t>
            </w:r>
          </w:p>
        </w:tc>
      </w:tr>
    </w:tbl>
    <w:p>
      <w:pPr>
        <w:spacing w:after="20"/>
      </w:pPr>
    </w:p>
    <w:p>
      <w:r>
        <w:br w:type="page"/>
      </w:r>
    </w:p>
    <w:p>
      <w:pPr>
        <w:pStyle w:val="Heading1"/>
      </w:pPr>
      <w:r>
        <w:t>7. Enterprise Reference Architecture</w:t>
      </w:r>
    </w:p>
    <w:p>
      <w:pPr>
        <w:pStyle w:val="Lead"/>
      </w:pPr>
      <w:r>
        <w:t>The reference architecture defines the reusable target state for enterprise data, analytics and AI workloads. It separates business capabilities from logical planes and physical deployment so teams can adopt consistent controls without forcing every workload into an identical implementation.</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Conceptual, logical and physical views; Responsibility boundaries; Primary data flows; Strategic service profiles.</w:t>
            </w:r>
          </w:p>
        </w:tc>
      </w:tr>
    </w:tbl>
    <w:p>
      <w:pPr>
        <w:spacing w:after="20"/>
      </w:pPr>
    </w:p>
    <w:p>
      <w:pPr>
        <w:pStyle w:val="Heading2"/>
      </w:pPr>
      <w:r>
        <w:t>7.1 Conceptual Reference Architecture</w:t>
      </w:r>
    </w:p>
    <w:p>
      <w:r>
        <w:t>The conceptual view organizes the platform around producers, integration, durable data, processing, governance, consumption and operations. Security, reliability, metadata and FinOps are cross-cutting control planes rather than independent afterthoughts.</w:t>
      </w:r>
    </w:p>
    <w:p>
      <w:pPr>
        <w:jc w:val="center"/>
      </w:pPr>
      <w:r>
        <w:drawing>
          <wp:inline xmlns:a="http://schemas.openxmlformats.org/drawingml/2006/main" xmlns:pic="http://schemas.openxmlformats.org/drawingml/2006/picture">
            <wp:extent cx="6217920" cy="3118099"/>
            <wp:docPr id="2" name="Picture 2"/>
            <wp:cNvGraphicFramePr>
              <a:graphicFrameLocks noChangeAspect="1"/>
            </wp:cNvGraphicFramePr>
            <a:graphic>
              <a:graphicData uri="http://schemas.openxmlformats.org/drawingml/2006/picture">
                <pic:pic>
                  <pic:nvPicPr>
                    <pic:cNvPr id="0" name="01_enterprise_conceptual.png"/>
                    <pic:cNvPicPr/>
                  </pic:nvPicPr>
                  <pic:blipFill>
                    <a:blip r:embed="rId11"/>
                    <a:stretch>
                      <a:fillRect/>
                    </a:stretch>
                  </pic:blipFill>
                  <pic:spPr>
                    <a:xfrm>
                      <a:off x="0" y="0"/>
                      <a:ext cx="6217920" cy="3118099"/>
                    </a:xfrm>
                    <a:prstGeom prst="rect"/>
                  </pic:spPr>
                </pic:pic>
              </a:graphicData>
            </a:graphic>
          </wp:inline>
        </w:drawing>
      </w:r>
    </w:p>
    <w:p>
      <w:pPr>
        <w:spacing w:after="160"/>
        <w:jc w:val="center"/>
      </w:pPr>
      <w:r>
        <w:rPr>
          <w:b/>
          <w:color w:val="5F6368"/>
          <w:sz w:val="17"/>
        </w:rPr>
        <w:t>Figure 7-1. Enterprise conceptual architecture showing producers, platform planes, consumers and cross-cutting control functions.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Conceptual capability</w:t>
            </w:r>
          </w:p>
        </w:tc>
        <w:tc>
          <w:tcPr>
            <w:tcW w:type="dxa" w:w="5328"/>
            <w:vAlign w:val="center"/>
            <w:tcMar>
              <w:top w:w="70" w:type="dxa"/>
              <w:start w:w="80" w:type="dxa"/>
              <w:bottom w:w="70" w:type="dxa"/>
              <w:end w:w="80" w:type="dxa"/>
            </w:tcMar>
            <w:shd w:fill="1A73E8"/>
          </w:tcPr>
          <w:p>
            <w:pPr>
              <w:spacing w:after="0"/>
            </w:pPr>
            <w:r/>
            <w:r>
              <w:rPr>
                <w:rFonts w:ascii="Arial" w:hAnsi="Arial"/>
                <w:b/>
                <w:color w:val="FFFFFF"/>
                <w:sz w:val="16"/>
              </w:rPr>
              <w:t>Responsibilities</w:t>
            </w:r>
          </w:p>
        </w:tc>
        <w:tc>
          <w:tcPr>
            <w:tcW w:type="dxa" w:w="2808"/>
            <w:vAlign w:val="center"/>
            <w:tcMar>
              <w:top w:w="70" w:type="dxa"/>
              <w:start w:w="80" w:type="dxa"/>
              <w:bottom w:w="70" w:type="dxa"/>
              <w:end w:w="80" w:type="dxa"/>
            </w:tcMar>
            <w:shd w:fill="1A73E8"/>
          </w:tcPr>
          <w:p>
            <w:pPr>
              <w:spacing w:after="0"/>
            </w:pPr>
            <w:r/>
            <w:r>
              <w:rPr>
                <w:rFonts w:ascii="Arial" w:hAnsi="Arial"/>
                <w:b/>
                <w:color w:val="FFFFFF"/>
                <w:sz w:val="16"/>
              </w:rPr>
              <w:t>Primary outcomes</w:t>
            </w:r>
          </w:p>
        </w:tc>
      </w:tr>
      <w:tr>
        <w:tc>
          <w:tcPr>
            <w:tcW w:type="dxa" w:w="1944"/>
            <w:vAlign w:val="center"/>
            <w:tcMar>
              <w:top w:w="70" w:type="dxa"/>
              <w:start w:w="80" w:type="dxa"/>
              <w:bottom w:w="70" w:type="dxa"/>
              <w:end w:w="80" w:type="dxa"/>
            </w:tcMar>
          </w:tcPr>
          <w:p>
            <w:pPr>
              <w:spacing w:after="0"/>
            </w:pPr>
            <w:r/>
            <w:r>
              <w:rPr>
                <w:rFonts w:ascii="Arial" w:hAnsi="Arial"/>
                <w:b w:val="0"/>
                <w:sz w:val="15"/>
              </w:rPr>
              <w:t>Data producers</w:t>
            </w:r>
          </w:p>
        </w:tc>
        <w:tc>
          <w:tcPr>
            <w:tcW w:type="dxa" w:w="5328"/>
            <w:vAlign w:val="center"/>
            <w:tcMar>
              <w:top w:w="70" w:type="dxa"/>
              <w:start w:w="80" w:type="dxa"/>
              <w:bottom w:w="70" w:type="dxa"/>
              <w:end w:w="80" w:type="dxa"/>
            </w:tcMar>
          </w:tcPr>
          <w:p>
            <w:pPr>
              <w:spacing w:after="0"/>
            </w:pPr>
            <w:r/>
            <w:r>
              <w:rPr>
                <w:rFonts w:ascii="Arial" w:hAnsi="Arial"/>
                <w:b w:val="0"/>
                <w:sz w:val="15"/>
              </w:rPr>
              <w:t>Operational systems, SaaS, files, partners, events, documents and cross-cloud sources.</w:t>
            </w:r>
          </w:p>
        </w:tc>
        <w:tc>
          <w:tcPr>
            <w:tcW w:type="dxa" w:w="2808"/>
            <w:vAlign w:val="center"/>
            <w:tcMar>
              <w:top w:w="70" w:type="dxa"/>
              <w:start w:w="80" w:type="dxa"/>
              <w:bottom w:w="70" w:type="dxa"/>
              <w:end w:w="80" w:type="dxa"/>
            </w:tcMar>
          </w:tcPr>
          <w:p>
            <w:pPr>
              <w:spacing w:after="0"/>
            </w:pPr>
            <w:r/>
            <w:r>
              <w:rPr>
                <w:rFonts w:ascii="Arial" w:hAnsi="Arial"/>
                <w:b w:val="0"/>
                <w:sz w:val="15"/>
              </w:rPr>
              <w:t>Authoritative source ownership and controlled interfaces.</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Integration plane</w:t>
            </w:r>
          </w:p>
        </w:tc>
        <w:tc>
          <w:tcPr>
            <w:tcW w:type="dxa" w:w="5328"/>
            <w:vAlign w:val="center"/>
            <w:tcMar>
              <w:top w:w="70" w:type="dxa"/>
              <w:start w:w="80" w:type="dxa"/>
              <w:bottom w:w="70" w:type="dxa"/>
              <w:end w:w="80" w:type="dxa"/>
            </w:tcMar>
            <w:shd w:fill="F8F9FA"/>
          </w:tcPr>
          <w:p>
            <w:pPr>
              <w:spacing w:after="0"/>
            </w:pPr>
            <w:r/>
            <w:r>
              <w:rPr>
                <w:rFonts w:ascii="Arial" w:hAnsi="Arial"/>
                <w:b w:val="0"/>
                <w:sz w:val="15"/>
              </w:rPr>
              <w:t>Batch transfer, CDC, events, APIs, validation, quarantine and reconciliation.</w:t>
            </w:r>
          </w:p>
        </w:tc>
        <w:tc>
          <w:tcPr>
            <w:tcW w:type="dxa" w:w="2808"/>
            <w:vAlign w:val="center"/>
            <w:tcMar>
              <w:top w:w="70" w:type="dxa"/>
              <w:start w:w="80" w:type="dxa"/>
              <w:bottom w:w="70" w:type="dxa"/>
              <w:end w:w="80" w:type="dxa"/>
            </w:tcMar>
            <w:shd w:fill="F8F9FA"/>
          </w:tcPr>
          <w:p>
            <w:pPr>
              <w:spacing w:after="0"/>
            </w:pPr>
            <w:r/>
            <w:r>
              <w:rPr>
                <w:rFonts w:ascii="Arial" w:hAnsi="Arial"/>
                <w:b w:val="0"/>
                <w:sz w:val="15"/>
              </w:rPr>
              <w:t>Reliable and traceable movement into the platform.</w:t>
            </w:r>
          </w:p>
        </w:tc>
      </w:tr>
      <w:tr>
        <w:tc>
          <w:tcPr>
            <w:tcW w:type="dxa" w:w="1944"/>
            <w:vAlign w:val="center"/>
            <w:tcMar>
              <w:top w:w="70" w:type="dxa"/>
              <w:start w:w="80" w:type="dxa"/>
              <w:bottom w:w="70" w:type="dxa"/>
              <w:end w:w="80" w:type="dxa"/>
            </w:tcMar>
          </w:tcPr>
          <w:p>
            <w:pPr>
              <w:spacing w:after="0"/>
            </w:pPr>
            <w:r/>
            <w:r>
              <w:rPr>
                <w:rFonts w:ascii="Arial" w:hAnsi="Arial"/>
                <w:b w:val="0"/>
                <w:sz w:val="15"/>
              </w:rPr>
              <w:t>Data foundation</w:t>
            </w:r>
          </w:p>
        </w:tc>
        <w:tc>
          <w:tcPr>
            <w:tcW w:type="dxa" w:w="5328"/>
            <w:vAlign w:val="center"/>
            <w:tcMar>
              <w:top w:w="70" w:type="dxa"/>
              <w:start w:w="80" w:type="dxa"/>
              <w:bottom w:w="70" w:type="dxa"/>
              <w:end w:w="80" w:type="dxa"/>
            </w:tcMar>
          </w:tcPr>
          <w:p>
            <w:pPr>
              <w:spacing w:after="0"/>
            </w:pPr>
            <w:r/>
            <w:r>
              <w:rPr>
                <w:rFonts w:ascii="Arial" w:hAnsi="Arial"/>
                <w:b w:val="0"/>
                <w:sz w:val="15"/>
              </w:rPr>
              <w:t>Immutable raw history, standardized data, curated products, semantic assets and archive.</w:t>
            </w:r>
          </w:p>
        </w:tc>
        <w:tc>
          <w:tcPr>
            <w:tcW w:type="dxa" w:w="2808"/>
            <w:vAlign w:val="center"/>
            <w:tcMar>
              <w:top w:w="70" w:type="dxa"/>
              <w:start w:w="80" w:type="dxa"/>
              <w:bottom w:w="70" w:type="dxa"/>
              <w:end w:w="80" w:type="dxa"/>
            </w:tcMar>
          </w:tcPr>
          <w:p>
            <w:pPr>
              <w:spacing w:after="0"/>
            </w:pPr>
            <w:r/>
            <w:r>
              <w:rPr>
                <w:rFonts w:ascii="Arial" w:hAnsi="Arial"/>
                <w:b w:val="0"/>
                <w:sz w:val="15"/>
              </w:rPr>
              <w:t>Durable, governed and reusable enterprise information.</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Processing plane</w:t>
            </w:r>
          </w:p>
        </w:tc>
        <w:tc>
          <w:tcPr>
            <w:tcW w:type="dxa" w:w="5328"/>
            <w:vAlign w:val="center"/>
            <w:tcMar>
              <w:top w:w="70" w:type="dxa"/>
              <w:start w:w="80" w:type="dxa"/>
              <w:bottom w:w="70" w:type="dxa"/>
              <w:end w:w="80" w:type="dxa"/>
            </w:tcMar>
            <w:shd w:fill="F8F9FA"/>
          </w:tcPr>
          <w:p>
            <w:pPr>
              <w:spacing w:after="0"/>
            </w:pPr>
            <w:r/>
            <w:r>
              <w:rPr>
                <w:rFonts w:ascii="Arial" w:hAnsi="Arial"/>
                <w:b w:val="0"/>
                <w:sz w:val="15"/>
              </w:rPr>
              <w:t>SQL, batch, streaming, Spark, orchestration and metadata-driven execution.</w:t>
            </w:r>
          </w:p>
        </w:tc>
        <w:tc>
          <w:tcPr>
            <w:tcW w:type="dxa" w:w="2808"/>
            <w:vAlign w:val="center"/>
            <w:tcMar>
              <w:top w:w="70" w:type="dxa"/>
              <w:start w:w="80" w:type="dxa"/>
              <w:bottom w:w="70" w:type="dxa"/>
              <w:end w:w="80" w:type="dxa"/>
            </w:tcMar>
            <w:shd w:fill="F8F9FA"/>
          </w:tcPr>
          <w:p>
            <w:pPr>
              <w:spacing w:after="0"/>
            </w:pPr>
            <w:r/>
            <w:r>
              <w:rPr>
                <w:rFonts w:ascii="Arial" w:hAnsi="Arial"/>
                <w:b w:val="0"/>
                <w:sz w:val="15"/>
              </w:rPr>
              <w:t>Scalable transformation with repeatability and failure recovery.</w:t>
            </w:r>
          </w:p>
        </w:tc>
      </w:tr>
      <w:tr>
        <w:tc>
          <w:tcPr>
            <w:tcW w:type="dxa" w:w="1944"/>
            <w:vAlign w:val="center"/>
            <w:tcMar>
              <w:top w:w="70" w:type="dxa"/>
              <w:start w:w="80" w:type="dxa"/>
              <w:bottom w:w="70" w:type="dxa"/>
              <w:end w:w="80" w:type="dxa"/>
            </w:tcMar>
          </w:tcPr>
          <w:p>
            <w:pPr>
              <w:spacing w:after="0"/>
            </w:pPr>
            <w:r/>
            <w:r>
              <w:rPr>
                <w:rFonts w:ascii="Arial" w:hAnsi="Arial"/>
                <w:b w:val="0"/>
                <w:sz w:val="15"/>
              </w:rPr>
              <w:t>Governance plane</w:t>
            </w:r>
          </w:p>
        </w:tc>
        <w:tc>
          <w:tcPr>
            <w:tcW w:type="dxa" w:w="5328"/>
            <w:vAlign w:val="center"/>
            <w:tcMar>
              <w:top w:w="70" w:type="dxa"/>
              <w:start w:w="80" w:type="dxa"/>
              <w:bottom w:w="70" w:type="dxa"/>
              <w:end w:w="80" w:type="dxa"/>
            </w:tcMar>
          </w:tcPr>
          <w:p>
            <w:pPr>
              <w:spacing w:after="0"/>
            </w:pPr>
            <w:r/>
            <w:r>
              <w:rPr>
                <w:rFonts w:ascii="Arial" w:hAnsi="Arial"/>
                <w:b w:val="0"/>
                <w:sz w:val="15"/>
              </w:rPr>
              <w:t>Catalog, glossary, lineage, quality, contracts, classification and certification.</w:t>
            </w:r>
          </w:p>
        </w:tc>
        <w:tc>
          <w:tcPr>
            <w:tcW w:type="dxa" w:w="2808"/>
            <w:vAlign w:val="center"/>
            <w:tcMar>
              <w:top w:w="70" w:type="dxa"/>
              <w:start w:w="80" w:type="dxa"/>
              <w:bottom w:w="70" w:type="dxa"/>
              <w:end w:w="80" w:type="dxa"/>
            </w:tcMar>
          </w:tcPr>
          <w:p>
            <w:pPr>
              <w:spacing w:after="0"/>
            </w:pPr>
            <w:r/>
            <w:r>
              <w:rPr>
                <w:rFonts w:ascii="Arial" w:hAnsi="Arial"/>
                <w:b w:val="0"/>
                <w:sz w:val="15"/>
              </w:rPr>
              <w:t>Discoverable and trusted data products.</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Consumption plane</w:t>
            </w:r>
          </w:p>
        </w:tc>
        <w:tc>
          <w:tcPr>
            <w:tcW w:type="dxa" w:w="5328"/>
            <w:vAlign w:val="center"/>
            <w:tcMar>
              <w:top w:w="70" w:type="dxa"/>
              <w:start w:w="80" w:type="dxa"/>
              <w:bottom w:w="70" w:type="dxa"/>
              <w:end w:w="80" w:type="dxa"/>
            </w:tcMar>
            <w:shd w:fill="F8F9FA"/>
          </w:tcPr>
          <w:p>
            <w:pPr>
              <w:spacing w:after="0"/>
            </w:pPr>
            <w:r/>
            <w:r>
              <w:rPr>
                <w:rFonts w:ascii="Arial" w:hAnsi="Arial"/>
                <w:b w:val="0"/>
                <w:sz w:val="15"/>
              </w:rPr>
              <w:t>BI, SQL, APIs, sharing, operational applications, data science and AI.</w:t>
            </w:r>
          </w:p>
        </w:tc>
        <w:tc>
          <w:tcPr>
            <w:tcW w:type="dxa" w:w="2808"/>
            <w:vAlign w:val="center"/>
            <w:tcMar>
              <w:top w:w="70" w:type="dxa"/>
              <w:start w:w="80" w:type="dxa"/>
              <w:bottom w:w="70" w:type="dxa"/>
              <w:end w:w="80" w:type="dxa"/>
            </w:tcMar>
            <w:shd w:fill="F8F9FA"/>
          </w:tcPr>
          <w:p>
            <w:pPr>
              <w:spacing w:after="0"/>
            </w:pPr>
            <w:r/>
            <w:r>
              <w:rPr>
                <w:rFonts w:ascii="Arial" w:hAnsi="Arial"/>
                <w:b w:val="0"/>
                <w:sz w:val="15"/>
              </w:rPr>
              <w:t>Controlled access to fit-for-purpose interfaces.</w:t>
            </w:r>
          </w:p>
        </w:tc>
      </w:tr>
      <w:tr>
        <w:tc>
          <w:tcPr>
            <w:tcW w:type="dxa" w:w="1944"/>
            <w:vAlign w:val="center"/>
            <w:tcMar>
              <w:top w:w="70" w:type="dxa"/>
              <w:start w:w="80" w:type="dxa"/>
              <w:bottom w:w="70" w:type="dxa"/>
              <w:end w:w="80" w:type="dxa"/>
            </w:tcMar>
          </w:tcPr>
          <w:p>
            <w:pPr>
              <w:spacing w:after="0"/>
            </w:pPr>
            <w:r/>
            <w:r>
              <w:rPr>
                <w:rFonts w:ascii="Arial" w:hAnsi="Arial"/>
                <w:b w:val="0"/>
                <w:sz w:val="15"/>
              </w:rPr>
              <w:t>Platform control plane</w:t>
            </w:r>
          </w:p>
        </w:tc>
        <w:tc>
          <w:tcPr>
            <w:tcW w:type="dxa" w:w="5328"/>
            <w:vAlign w:val="center"/>
            <w:tcMar>
              <w:top w:w="70" w:type="dxa"/>
              <w:start w:w="80" w:type="dxa"/>
              <w:bottom w:w="70" w:type="dxa"/>
              <w:end w:w="80" w:type="dxa"/>
            </w:tcMar>
          </w:tcPr>
          <w:p>
            <w:pPr>
              <w:spacing w:after="0"/>
            </w:pPr>
            <w:r/>
            <w:r>
              <w:rPr>
                <w:rFonts w:ascii="Arial" w:hAnsi="Arial"/>
                <w:b w:val="0"/>
                <w:sz w:val="15"/>
              </w:rPr>
              <w:t>Identity, network, encryption, policy, CI/CD, observability, SRE and FinOps.</w:t>
            </w:r>
          </w:p>
        </w:tc>
        <w:tc>
          <w:tcPr>
            <w:tcW w:type="dxa" w:w="2808"/>
            <w:vAlign w:val="center"/>
            <w:tcMar>
              <w:top w:w="70" w:type="dxa"/>
              <w:start w:w="80" w:type="dxa"/>
              <w:bottom w:w="70" w:type="dxa"/>
              <w:end w:w="80" w:type="dxa"/>
            </w:tcMar>
          </w:tcPr>
          <w:p>
            <w:pPr>
              <w:spacing w:after="0"/>
            </w:pPr>
            <w:r/>
            <w:r>
              <w:rPr>
                <w:rFonts w:ascii="Arial" w:hAnsi="Arial"/>
                <w:b w:val="0"/>
                <w:sz w:val="15"/>
              </w:rPr>
              <w:t>Consistent security, operations and economics.</w:t>
            </w:r>
          </w:p>
        </w:tc>
      </w:tr>
    </w:tbl>
    <w:p>
      <w:pPr>
        <w:spacing w:after="20"/>
      </w:pPr>
    </w:p>
    <w:p>
      <w:pPr>
        <w:pStyle w:val="Heading2"/>
      </w:pPr>
      <w:r>
        <w:t>7.2 Logical Reference Architecture</w:t>
      </w:r>
    </w:p>
    <w:p>
      <w:r>
        <w:t>The logical view establishes separation between the data plane that carries business information and the control planes that configure, protect, observe and govern it. This separation supports federated domain ownership while preserving enterprise assurance.</w:t>
      </w:r>
    </w:p>
    <w:p>
      <w:pPr>
        <w:jc w:val="center"/>
      </w:pPr>
      <w:r>
        <w:drawing>
          <wp:inline xmlns:a="http://schemas.openxmlformats.org/drawingml/2006/main" xmlns:pic="http://schemas.openxmlformats.org/drawingml/2006/picture">
            <wp:extent cx="6309360" cy="1601690"/>
            <wp:docPr id="3" name="Picture 3"/>
            <wp:cNvGraphicFramePr>
              <a:graphicFrameLocks noChangeAspect="1"/>
            </wp:cNvGraphicFramePr>
            <a:graphic>
              <a:graphicData uri="http://schemas.openxmlformats.org/drawingml/2006/picture">
                <pic:pic>
                  <pic:nvPicPr>
                    <pic:cNvPr id="0" name="02_logical_reference_architecture.png"/>
                    <pic:cNvPicPr/>
                  </pic:nvPicPr>
                  <pic:blipFill>
                    <a:blip r:embed="rId12"/>
                    <a:stretch>
                      <a:fillRect/>
                    </a:stretch>
                  </pic:blipFill>
                  <pic:spPr>
                    <a:xfrm>
                      <a:off x="0" y="0"/>
                      <a:ext cx="6309360" cy="1601690"/>
                    </a:xfrm>
                    <a:prstGeom prst="rect"/>
                  </pic:spPr>
                </pic:pic>
              </a:graphicData>
            </a:graphic>
          </wp:inline>
        </w:drawing>
      </w:r>
    </w:p>
    <w:p>
      <w:pPr>
        <w:spacing w:after="160"/>
        <w:jc w:val="center"/>
      </w:pPr>
      <w:r>
        <w:rPr>
          <w:b/>
          <w:color w:val="5F6368"/>
          <w:sz w:val="17"/>
        </w:rPr>
        <w:t>Figure 7-2. Logical reference architecture with ingestion, data, processing, governance, security, delivery and operations planes.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Plane</w:t>
            </w:r>
          </w:p>
        </w:tc>
        <w:tc>
          <w:tcPr>
            <w:tcW w:type="dxa" w:w="4968"/>
            <w:vAlign w:val="center"/>
            <w:tcMar>
              <w:top w:w="70" w:type="dxa"/>
              <w:start w:w="80" w:type="dxa"/>
              <w:bottom w:w="70" w:type="dxa"/>
              <w:end w:w="80" w:type="dxa"/>
            </w:tcMar>
            <w:shd w:fill="1A73E8"/>
          </w:tcPr>
          <w:p>
            <w:pPr>
              <w:spacing w:after="0"/>
            </w:pPr>
            <w:r/>
            <w:r>
              <w:rPr>
                <w:rFonts w:ascii="Arial" w:hAnsi="Arial"/>
                <w:b/>
                <w:color w:val="FFFFFF"/>
                <w:sz w:val="16"/>
              </w:rPr>
              <w:t>Responsibility</w:t>
            </w:r>
          </w:p>
        </w:tc>
        <w:tc>
          <w:tcPr>
            <w:tcW w:type="dxa" w:w="3528"/>
            <w:vAlign w:val="center"/>
            <w:tcMar>
              <w:top w:w="70" w:type="dxa"/>
              <w:start w:w="80" w:type="dxa"/>
              <w:bottom w:w="70" w:type="dxa"/>
              <w:end w:w="80" w:type="dxa"/>
            </w:tcMar>
            <w:shd w:fill="1A73E8"/>
          </w:tcPr>
          <w:p>
            <w:pPr>
              <w:spacing w:after="0"/>
            </w:pPr>
            <w:r/>
            <w:r>
              <w:rPr>
                <w:rFonts w:ascii="Arial" w:hAnsi="Arial"/>
                <w:b/>
                <w:color w:val="FFFFFF"/>
                <w:sz w:val="16"/>
              </w:rPr>
              <w:t>Representative services</w:t>
            </w:r>
          </w:p>
        </w:tc>
      </w:tr>
      <w:tr>
        <w:tc>
          <w:tcPr>
            <w:tcW w:type="dxa" w:w="1584"/>
            <w:vAlign w:val="center"/>
            <w:tcMar>
              <w:top w:w="70" w:type="dxa"/>
              <w:start w:w="80" w:type="dxa"/>
              <w:bottom w:w="70" w:type="dxa"/>
              <w:end w:w="80" w:type="dxa"/>
            </w:tcMar>
          </w:tcPr>
          <w:p>
            <w:pPr>
              <w:spacing w:after="0"/>
            </w:pPr>
            <w:r/>
            <w:r>
              <w:rPr>
                <w:rFonts w:ascii="Arial" w:hAnsi="Arial"/>
                <w:b w:val="0"/>
                <w:sz w:val="14"/>
              </w:rPr>
              <w:t>Ingestion plane</w:t>
            </w:r>
          </w:p>
        </w:tc>
        <w:tc>
          <w:tcPr>
            <w:tcW w:type="dxa" w:w="4968"/>
            <w:vAlign w:val="center"/>
            <w:tcMar>
              <w:top w:w="70" w:type="dxa"/>
              <w:start w:w="80" w:type="dxa"/>
              <w:bottom w:w="70" w:type="dxa"/>
              <w:end w:w="80" w:type="dxa"/>
            </w:tcMar>
          </w:tcPr>
          <w:p>
            <w:pPr>
              <w:spacing w:after="0"/>
            </w:pPr>
            <w:r/>
            <w:r>
              <w:rPr>
                <w:rFonts w:ascii="Arial" w:hAnsi="Arial"/>
                <w:b w:val="0"/>
                <w:sz w:val="14"/>
              </w:rPr>
              <w:t>Accepts files, database changes, messages, APIs and bulk transfers; validates envelope and schema; records source, batch and event identity.</w:t>
            </w:r>
          </w:p>
        </w:tc>
        <w:tc>
          <w:tcPr>
            <w:tcW w:type="dxa" w:w="3528"/>
            <w:vAlign w:val="center"/>
            <w:tcMar>
              <w:top w:w="70" w:type="dxa"/>
              <w:start w:w="80" w:type="dxa"/>
              <w:bottom w:w="70" w:type="dxa"/>
              <w:end w:w="80" w:type="dxa"/>
            </w:tcMar>
          </w:tcPr>
          <w:p>
            <w:pPr>
              <w:spacing w:after="0"/>
            </w:pPr>
            <w:r/>
            <w:r>
              <w:rPr>
                <w:rFonts w:ascii="Arial" w:hAnsi="Arial"/>
                <w:b w:val="0"/>
                <w:sz w:val="14"/>
              </w:rPr>
              <w:t>Storage Transfer Service, Datastream, Pub/Sub, Dataflow, Cloud Run, approved connectors.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Data plane</w:t>
            </w:r>
          </w:p>
        </w:tc>
        <w:tc>
          <w:tcPr>
            <w:tcW w:type="dxa" w:w="4968"/>
            <w:vAlign w:val="center"/>
            <w:tcMar>
              <w:top w:w="70" w:type="dxa"/>
              <w:start w:w="80" w:type="dxa"/>
              <w:bottom w:w="70" w:type="dxa"/>
              <w:end w:w="80" w:type="dxa"/>
            </w:tcMar>
            <w:shd w:fill="F8F9FA"/>
          </w:tcPr>
          <w:p>
            <w:pPr>
              <w:spacing w:after="0"/>
            </w:pPr>
            <w:r/>
            <w:r>
              <w:rPr>
                <w:rFonts w:ascii="Arial" w:hAnsi="Arial"/>
                <w:b w:val="0"/>
                <w:sz w:val="14"/>
              </w:rPr>
              <w:t>Stores immutable source history, standardized entities, curated products, semantic models, feature/document assets and archives.</w:t>
            </w:r>
          </w:p>
        </w:tc>
        <w:tc>
          <w:tcPr>
            <w:tcW w:type="dxa" w:w="3528"/>
            <w:vAlign w:val="center"/>
            <w:tcMar>
              <w:top w:w="70" w:type="dxa"/>
              <w:start w:w="80" w:type="dxa"/>
              <w:bottom w:w="70" w:type="dxa"/>
              <w:end w:w="80" w:type="dxa"/>
            </w:tcMar>
            <w:shd w:fill="F8F9FA"/>
          </w:tcPr>
          <w:p>
            <w:pPr>
              <w:spacing w:after="0"/>
            </w:pPr>
            <w:r/>
            <w:r>
              <w:rPr>
                <w:rFonts w:ascii="Arial" w:hAnsi="Arial"/>
                <w:b w:val="0"/>
                <w:sz w:val="14"/>
              </w:rPr>
              <w:t>Cloud Storage, BigQuery, BigLake; specialized stores only when justified.</w:t>
            </w:r>
          </w:p>
        </w:tc>
      </w:tr>
      <w:tr>
        <w:tc>
          <w:tcPr>
            <w:tcW w:type="dxa" w:w="1584"/>
            <w:vAlign w:val="center"/>
            <w:tcMar>
              <w:top w:w="70" w:type="dxa"/>
              <w:start w:w="80" w:type="dxa"/>
              <w:bottom w:w="70" w:type="dxa"/>
              <w:end w:w="80" w:type="dxa"/>
            </w:tcMar>
          </w:tcPr>
          <w:p>
            <w:pPr>
              <w:spacing w:after="0"/>
            </w:pPr>
            <w:r/>
            <w:r>
              <w:rPr>
                <w:rFonts w:ascii="Arial" w:hAnsi="Arial"/>
                <w:b w:val="0"/>
                <w:sz w:val="14"/>
              </w:rPr>
              <w:t>Processing plane</w:t>
            </w:r>
          </w:p>
        </w:tc>
        <w:tc>
          <w:tcPr>
            <w:tcW w:type="dxa" w:w="4968"/>
            <w:vAlign w:val="center"/>
            <w:tcMar>
              <w:top w:w="70" w:type="dxa"/>
              <w:start w:w="80" w:type="dxa"/>
              <w:bottom w:w="70" w:type="dxa"/>
              <w:end w:w="80" w:type="dxa"/>
            </w:tcMar>
          </w:tcPr>
          <w:p>
            <w:pPr>
              <w:spacing w:after="0"/>
            </w:pPr>
            <w:r/>
            <w:r>
              <w:rPr>
                <w:rFonts w:ascii="Arial" w:hAnsi="Arial"/>
                <w:b w:val="0"/>
                <w:sz w:val="14"/>
              </w:rPr>
              <w:t>Executes deterministic transformations, stream processing, SQL models, Spark jobs, orchestration and quality rules.</w:t>
            </w:r>
          </w:p>
        </w:tc>
        <w:tc>
          <w:tcPr>
            <w:tcW w:type="dxa" w:w="3528"/>
            <w:vAlign w:val="center"/>
            <w:tcMar>
              <w:top w:w="70" w:type="dxa"/>
              <w:start w:w="80" w:type="dxa"/>
              <w:bottom w:w="70" w:type="dxa"/>
              <w:end w:w="80" w:type="dxa"/>
            </w:tcMar>
          </w:tcPr>
          <w:p>
            <w:pPr>
              <w:spacing w:after="0"/>
            </w:pPr>
            <w:r/>
            <w:r>
              <w:rPr>
                <w:rFonts w:ascii="Arial" w:hAnsi="Arial"/>
                <w:b w:val="0"/>
                <w:sz w:val="14"/>
              </w:rPr>
              <w:t>Dataflow, BigQuery SQL, Dataform, Serverless for Apache Spark, Managed Service for Apache Airflow, Workflows.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Governance plane</w:t>
            </w:r>
          </w:p>
        </w:tc>
        <w:tc>
          <w:tcPr>
            <w:tcW w:type="dxa" w:w="4968"/>
            <w:vAlign w:val="center"/>
            <w:tcMar>
              <w:top w:w="70" w:type="dxa"/>
              <w:start w:w="80" w:type="dxa"/>
              <w:bottom w:w="70" w:type="dxa"/>
              <w:end w:w="80" w:type="dxa"/>
            </w:tcMar>
            <w:shd w:fill="F8F9FA"/>
          </w:tcPr>
          <w:p>
            <w:pPr>
              <w:spacing w:after="0"/>
            </w:pPr>
            <w:r/>
            <w:r>
              <w:rPr>
                <w:rFonts w:ascii="Arial" w:hAnsi="Arial"/>
                <w:b w:val="0"/>
                <w:sz w:val="14"/>
              </w:rPr>
              <w:t>Registers assets, ownership, contracts, classification, glossary, lineage, quality and lifecycle state.</w:t>
            </w:r>
          </w:p>
        </w:tc>
        <w:tc>
          <w:tcPr>
            <w:tcW w:type="dxa" w:w="3528"/>
            <w:vAlign w:val="center"/>
            <w:tcMar>
              <w:top w:w="70" w:type="dxa"/>
              <w:start w:w="80" w:type="dxa"/>
              <w:bottom w:w="70" w:type="dxa"/>
              <w:end w:w="80" w:type="dxa"/>
            </w:tcMar>
            <w:shd w:fill="F8F9FA"/>
          </w:tcPr>
          <w:p>
            <w:pPr>
              <w:spacing w:after="0"/>
            </w:pPr>
            <w:r/>
            <w:r>
              <w:rPr>
                <w:rFonts w:ascii="Arial" w:hAnsi="Arial"/>
                <w:b w:val="0"/>
                <w:sz w:val="14"/>
              </w:rPr>
              <w:t>Knowledge Catalog, Sensitive Data Protection, BigQuery governance features and product metadata.</w:t>
            </w:r>
          </w:p>
        </w:tc>
      </w:tr>
      <w:tr>
        <w:tc>
          <w:tcPr>
            <w:tcW w:type="dxa" w:w="1584"/>
            <w:vAlign w:val="center"/>
            <w:tcMar>
              <w:top w:w="70" w:type="dxa"/>
              <w:start w:w="80" w:type="dxa"/>
              <w:bottom w:w="70" w:type="dxa"/>
              <w:end w:w="80" w:type="dxa"/>
            </w:tcMar>
          </w:tcPr>
          <w:p>
            <w:pPr>
              <w:spacing w:after="0"/>
            </w:pPr>
            <w:r/>
            <w:r>
              <w:rPr>
                <w:rFonts w:ascii="Arial" w:hAnsi="Arial"/>
                <w:b w:val="0"/>
                <w:sz w:val="14"/>
              </w:rPr>
              <w:t>Security plane</w:t>
            </w:r>
          </w:p>
        </w:tc>
        <w:tc>
          <w:tcPr>
            <w:tcW w:type="dxa" w:w="4968"/>
            <w:vAlign w:val="center"/>
            <w:tcMar>
              <w:top w:w="70" w:type="dxa"/>
              <w:start w:w="80" w:type="dxa"/>
              <w:bottom w:w="70" w:type="dxa"/>
              <w:end w:w="80" w:type="dxa"/>
            </w:tcMar>
          </w:tcPr>
          <w:p>
            <w:pPr>
              <w:spacing w:after="0"/>
            </w:pPr>
            <w:r/>
            <w:r>
              <w:rPr>
                <w:rFonts w:ascii="Arial" w:hAnsi="Arial"/>
                <w:b w:val="0"/>
                <w:sz w:val="14"/>
              </w:rPr>
              <w:t>Controls human/workload identity, network paths, service perimeters, keys, secrets and audit.</w:t>
            </w:r>
          </w:p>
        </w:tc>
        <w:tc>
          <w:tcPr>
            <w:tcW w:type="dxa" w:w="3528"/>
            <w:vAlign w:val="center"/>
            <w:tcMar>
              <w:top w:w="70" w:type="dxa"/>
              <w:start w:w="80" w:type="dxa"/>
              <w:bottom w:w="70" w:type="dxa"/>
              <w:end w:w="80" w:type="dxa"/>
            </w:tcMar>
          </w:tcPr>
          <w:p>
            <w:pPr>
              <w:spacing w:after="0"/>
            </w:pPr>
            <w:r/>
            <w:r>
              <w:rPr>
                <w:rFonts w:ascii="Arial" w:hAnsi="Arial"/>
                <w:b w:val="0"/>
                <w:sz w:val="14"/>
              </w:rPr>
              <w:t>Cloud IAM, Workforce/Workload Identity Federation, Shared VPC, PSC, VPC SC, Cloud KMS, Secret Manager, SCC.</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Delivery plane</w:t>
            </w:r>
          </w:p>
        </w:tc>
        <w:tc>
          <w:tcPr>
            <w:tcW w:type="dxa" w:w="4968"/>
            <w:vAlign w:val="center"/>
            <w:tcMar>
              <w:top w:w="70" w:type="dxa"/>
              <w:start w:w="80" w:type="dxa"/>
              <w:bottom w:w="70" w:type="dxa"/>
              <w:end w:w="80" w:type="dxa"/>
            </w:tcMar>
            <w:shd w:fill="F8F9FA"/>
          </w:tcPr>
          <w:p>
            <w:pPr>
              <w:spacing w:after="0"/>
            </w:pPr>
            <w:r/>
            <w:r>
              <w:rPr>
                <w:rFonts w:ascii="Arial" w:hAnsi="Arial"/>
                <w:b w:val="0"/>
                <w:sz w:val="14"/>
              </w:rPr>
              <w:t>Presents semantic, SQL, shared, API and AI-ready interfaces to approved consumers.</w:t>
            </w:r>
          </w:p>
        </w:tc>
        <w:tc>
          <w:tcPr>
            <w:tcW w:type="dxa" w:w="3528"/>
            <w:vAlign w:val="center"/>
            <w:tcMar>
              <w:top w:w="70" w:type="dxa"/>
              <w:start w:w="80" w:type="dxa"/>
              <w:bottom w:w="70" w:type="dxa"/>
              <w:end w:w="80" w:type="dxa"/>
            </w:tcMar>
            <w:shd w:fill="F8F9FA"/>
          </w:tcPr>
          <w:p>
            <w:pPr>
              <w:spacing w:after="0"/>
            </w:pPr>
            <w:r/>
            <w:r>
              <w:rPr>
                <w:rFonts w:ascii="Arial" w:hAnsi="Arial"/>
                <w:b w:val="0"/>
                <w:sz w:val="14"/>
              </w:rPr>
              <w:t>Looker, BigQuery, BigQuery sharing, Cloud Run/API management, Vertex AI.</w:t>
            </w:r>
          </w:p>
        </w:tc>
      </w:tr>
      <w:tr>
        <w:tc>
          <w:tcPr>
            <w:tcW w:type="dxa" w:w="1584"/>
            <w:vAlign w:val="center"/>
            <w:tcMar>
              <w:top w:w="70" w:type="dxa"/>
              <w:start w:w="80" w:type="dxa"/>
              <w:bottom w:w="70" w:type="dxa"/>
              <w:end w:w="80" w:type="dxa"/>
            </w:tcMar>
          </w:tcPr>
          <w:p>
            <w:pPr>
              <w:spacing w:after="0"/>
            </w:pPr>
            <w:r/>
            <w:r>
              <w:rPr>
                <w:rFonts w:ascii="Arial" w:hAnsi="Arial"/>
                <w:b w:val="0"/>
                <w:sz w:val="14"/>
              </w:rPr>
              <w:t>Operations plane</w:t>
            </w:r>
          </w:p>
        </w:tc>
        <w:tc>
          <w:tcPr>
            <w:tcW w:type="dxa" w:w="4968"/>
            <w:vAlign w:val="center"/>
            <w:tcMar>
              <w:top w:w="70" w:type="dxa"/>
              <w:start w:w="80" w:type="dxa"/>
              <w:bottom w:w="70" w:type="dxa"/>
              <w:end w:w="80" w:type="dxa"/>
            </w:tcMar>
          </w:tcPr>
          <w:p>
            <w:pPr>
              <w:spacing w:after="0"/>
            </w:pPr>
            <w:r/>
            <w:r>
              <w:rPr>
                <w:rFonts w:ascii="Arial" w:hAnsi="Arial"/>
                <w:b w:val="0"/>
                <w:sz w:val="14"/>
              </w:rPr>
              <w:t>Measures technical and product health, controls delivery, allocates cost and recovers services.</w:t>
            </w:r>
          </w:p>
        </w:tc>
        <w:tc>
          <w:tcPr>
            <w:tcW w:type="dxa" w:w="3528"/>
            <w:vAlign w:val="center"/>
            <w:tcMar>
              <w:top w:w="70" w:type="dxa"/>
              <w:start w:w="80" w:type="dxa"/>
              <w:bottom w:w="70" w:type="dxa"/>
              <w:end w:w="80" w:type="dxa"/>
            </w:tcMar>
          </w:tcPr>
          <w:p>
            <w:pPr>
              <w:spacing w:after="0"/>
            </w:pPr>
            <w:r/>
            <w:r>
              <w:rPr>
                <w:rFonts w:ascii="Arial" w:hAnsi="Arial"/>
                <w:b w:val="0"/>
                <w:sz w:val="14"/>
              </w:rPr>
              <w:t>Cloud Monitoring, Cloud Logging, Terraform, Cloud Build/GitHub Actions, billing export, SRE processes.</w:t>
            </w:r>
          </w:p>
        </w:tc>
      </w:tr>
    </w:tbl>
    <w:p>
      <w:pPr>
        <w:spacing w:after="20"/>
      </w:pPr>
    </w:p>
    <w:p>
      <w:pPr>
        <w:pStyle w:val="Heading2"/>
      </w:pPr>
      <w:r>
        <w:t>7.3 Physical Global Topology</w:t>
      </w:r>
    </w:p>
    <w:p>
      <w:r>
        <w:t>The physical topology uses globally consistent foundations with regional data-residency zones. A region pair is selected per legal and business geography after validating service availability, inter-region behavior, recovery objectives and transfer restrictions. The diagram is a pattern, not a claim that every service automatically provides cross-region failover.</w:t>
      </w:r>
    </w:p>
    <w:p>
      <w:pPr>
        <w:jc w:val="center"/>
      </w:pPr>
      <w:r>
        <w:drawing>
          <wp:inline xmlns:a="http://schemas.openxmlformats.org/drawingml/2006/main" xmlns:pic="http://schemas.openxmlformats.org/drawingml/2006/picture">
            <wp:extent cx="6309360" cy="4619618"/>
            <wp:docPr id="4" name="Picture 4"/>
            <wp:cNvGraphicFramePr>
              <a:graphicFrameLocks noChangeAspect="1"/>
            </wp:cNvGraphicFramePr>
            <a:graphic>
              <a:graphicData uri="http://schemas.openxmlformats.org/drawingml/2006/picture">
                <pic:pic>
                  <pic:nvPicPr>
                    <pic:cNvPr id="0" name="03_global_physical_topology.png"/>
                    <pic:cNvPicPr/>
                  </pic:nvPicPr>
                  <pic:blipFill>
                    <a:blip r:embed="rId13"/>
                    <a:stretch>
                      <a:fillRect/>
                    </a:stretch>
                  </pic:blipFill>
                  <pic:spPr>
                    <a:xfrm>
                      <a:off x="0" y="0"/>
                      <a:ext cx="6309360" cy="4619618"/>
                    </a:xfrm>
                    <a:prstGeom prst="rect"/>
                  </pic:spPr>
                </pic:pic>
              </a:graphicData>
            </a:graphic>
          </wp:inline>
        </w:drawing>
      </w:r>
    </w:p>
    <w:p>
      <w:pPr>
        <w:spacing w:after="160"/>
        <w:jc w:val="center"/>
      </w:pPr>
      <w:r>
        <w:rPr>
          <w:b/>
          <w:color w:val="5F6368"/>
          <w:sz w:val="17"/>
        </w:rPr>
        <w:t>Figure 7-3. Global topology with enterprise foundation, regional data zones and controlled inter-region exchange.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Layer</w:t>
            </w:r>
          </w:p>
        </w:tc>
        <w:tc>
          <w:tcPr>
            <w:tcW w:type="dxa" w:w="5400"/>
            <w:vAlign w:val="center"/>
            <w:tcMar>
              <w:top w:w="70" w:type="dxa"/>
              <w:start w:w="80" w:type="dxa"/>
              <w:bottom w:w="70" w:type="dxa"/>
              <w:end w:w="80" w:type="dxa"/>
            </w:tcMar>
            <w:shd w:fill="1A73E8"/>
          </w:tcPr>
          <w:p>
            <w:pPr>
              <w:spacing w:after="0"/>
            </w:pPr>
            <w:r/>
            <w:r>
              <w:rPr>
                <w:rFonts w:ascii="Arial" w:hAnsi="Arial"/>
                <w:b/>
                <w:color w:val="FFFFFF"/>
                <w:sz w:val="16"/>
              </w:rPr>
              <w:t>Physical design</w:t>
            </w:r>
          </w:p>
        </w:tc>
        <w:tc>
          <w:tcPr>
            <w:tcW w:type="dxa" w:w="2736"/>
            <w:vAlign w:val="center"/>
            <w:tcMar>
              <w:top w:w="70" w:type="dxa"/>
              <w:start w:w="80" w:type="dxa"/>
              <w:bottom w:w="70" w:type="dxa"/>
              <w:end w:w="80" w:type="dxa"/>
            </w:tcMar>
            <w:shd w:fill="1A73E8"/>
          </w:tcPr>
          <w:p>
            <w:pPr>
              <w:spacing w:after="0"/>
            </w:pPr>
            <w:r/>
            <w:r>
              <w:rPr>
                <w:rFonts w:ascii="Arial" w:hAnsi="Arial"/>
                <w:b/>
                <w:color w:val="FFFFFF"/>
                <w:sz w:val="16"/>
              </w:rPr>
              <w:t>Key control</w:t>
            </w:r>
          </w:p>
        </w:tc>
      </w:tr>
      <w:tr>
        <w:tc>
          <w:tcPr>
            <w:tcW w:type="dxa" w:w="1944"/>
            <w:vAlign w:val="center"/>
            <w:tcMar>
              <w:top w:w="70" w:type="dxa"/>
              <w:start w:w="80" w:type="dxa"/>
              <w:bottom w:w="70" w:type="dxa"/>
              <w:end w:w="80" w:type="dxa"/>
            </w:tcMar>
          </w:tcPr>
          <w:p>
            <w:pPr>
              <w:spacing w:after="0"/>
            </w:pPr>
            <w:r/>
            <w:r>
              <w:rPr>
                <w:rFonts w:ascii="Arial" w:hAnsi="Arial"/>
                <w:b w:val="0"/>
                <w:sz w:val="15"/>
              </w:rPr>
              <w:t>Enterprise organization</w:t>
            </w:r>
          </w:p>
        </w:tc>
        <w:tc>
          <w:tcPr>
            <w:tcW w:type="dxa" w:w="5400"/>
            <w:vAlign w:val="center"/>
            <w:tcMar>
              <w:top w:w="70" w:type="dxa"/>
              <w:start w:w="80" w:type="dxa"/>
              <w:bottom w:w="70" w:type="dxa"/>
              <w:end w:w="80" w:type="dxa"/>
            </w:tcMar>
          </w:tcPr>
          <w:p>
            <w:pPr>
              <w:spacing w:after="0"/>
            </w:pPr>
            <w:r/>
            <w:r>
              <w:rPr>
                <w:rFonts w:ascii="Arial" w:hAnsi="Arial"/>
                <w:b w:val="0"/>
                <w:sz w:val="15"/>
              </w:rPr>
              <w:t>Central organization, policy hierarchy, security and shared-services folders.</w:t>
            </w:r>
          </w:p>
        </w:tc>
        <w:tc>
          <w:tcPr>
            <w:tcW w:type="dxa" w:w="2736"/>
            <w:vAlign w:val="center"/>
            <w:tcMar>
              <w:top w:w="70" w:type="dxa"/>
              <w:start w:w="80" w:type="dxa"/>
              <w:bottom w:w="70" w:type="dxa"/>
              <w:end w:w="80" w:type="dxa"/>
            </w:tcMar>
          </w:tcPr>
          <w:p>
            <w:pPr>
              <w:spacing w:after="0"/>
            </w:pPr>
            <w:r/>
            <w:r>
              <w:rPr>
                <w:rFonts w:ascii="Arial" w:hAnsi="Arial"/>
                <w:b w:val="0"/>
                <w:sz w:val="15"/>
              </w:rPr>
              <w:t>Organization policy, billing, central log sinks and delegated administration.</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Global shared services</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Identity federation, source control, artifact repositories, policy pipelines, catalog standards and enterprise monitoring.</w:t>
            </w:r>
          </w:p>
        </w:tc>
        <w:tc>
          <w:tcPr>
            <w:tcW w:type="dxa" w:w="2736"/>
            <w:vAlign w:val="center"/>
            <w:tcMar>
              <w:top w:w="70" w:type="dxa"/>
              <w:start w:w="80" w:type="dxa"/>
              <w:bottom w:w="70" w:type="dxa"/>
              <w:end w:w="80" w:type="dxa"/>
            </w:tcMar>
            <w:shd w:fill="F8F9FA"/>
          </w:tcPr>
          <w:p>
            <w:pPr>
              <w:spacing w:after="0"/>
            </w:pPr>
            <w:r/>
            <w:r>
              <w:rPr>
                <w:rFonts w:ascii="Arial" w:hAnsi="Arial"/>
                <w:b w:val="0"/>
                <w:sz w:val="15"/>
              </w:rPr>
              <w:t>Global control consistency with restricted administrative access.</w:t>
            </w:r>
          </w:p>
        </w:tc>
      </w:tr>
      <w:tr>
        <w:tc>
          <w:tcPr>
            <w:tcW w:type="dxa" w:w="1944"/>
            <w:vAlign w:val="center"/>
            <w:tcMar>
              <w:top w:w="70" w:type="dxa"/>
              <w:start w:w="80" w:type="dxa"/>
              <w:bottom w:w="70" w:type="dxa"/>
              <w:end w:w="80" w:type="dxa"/>
            </w:tcMar>
          </w:tcPr>
          <w:p>
            <w:pPr>
              <w:spacing w:after="0"/>
            </w:pPr>
            <w:r/>
            <w:r>
              <w:rPr>
                <w:rFonts w:ascii="Arial" w:hAnsi="Arial"/>
                <w:b w:val="0"/>
                <w:sz w:val="15"/>
              </w:rPr>
              <w:t>Regional platform zone</w:t>
            </w:r>
          </w:p>
        </w:tc>
        <w:tc>
          <w:tcPr>
            <w:tcW w:type="dxa" w:w="5400"/>
            <w:vAlign w:val="center"/>
            <w:tcMar>
              <w:top w:w="70" w:type="dxa"/>
              <w:start w:w="80" w:type="dxa"/>
              <w:bottom w:w="70" w:type="dxa"/>
              <w:end w:w="80" w:type="dxa"/>
            </w:tcMar>
          </w:tcPr>
          <w:p>
            <w:pPr>
              <w:spacing w:after="0"/>
            </w:pPr>
            <w:r/>
            <w:r>
              <w:rPr>
                <w:rFonts w:ascii="Arial" w:hAnsi="Arial"/>
                <w:b w:val="0"/>
                <w:sz w:val="15"/>
              </w:rPr>
              <w:t>Shared VPC host, regional subnets, KMS keys, service projects, perimeter and egress controls.</w:t>
            </w:r>
          </w:p>
        </w:tc>
        <w:tc>
          <w:tcPr>
            <w:tcW w:type="dxa" w:w="2736"/>
            <w:vAlign w:val="center"/>
            <w:tcMar>
              <w:top w:w="70" w:type="dxa"/>
              <w:start w:w="80" w:type="dxa"/>
              <w:bottom w:w="70" w:type="dxa"/>
              <w:end w:w="80" w:type="dxa"/>
            </w:tcMar>
          </w:tcPr>
          <w:p>
            <w:pPr>
              <w:spacing w:after="0"/>
            </w:pPr>
            <w:r/>
            <w:r>
              <w:rPr>
                <w:rFonts w:ascii="Arial" w:hAnsi="Arial"/>
                <w:b w:val="0"/>
                <w:sz w:val="15"/>
              </w:rPr>
              <w:t>Residency-aligned project placement and private service access.</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Domain production projects</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Separate projects/datasets for data products, ingestion and processing according to scale and classification.</w:t>
            </w:r>
          </w:p>
        </w:tc>
        <w:tc>
          <w:tcPr>
            <w:tcW w:type="dxa" w:w="2736"/>
            <w:vAlign w:val="center"/>
            <w:tcMar>
              <w:top w:w="70" w:type="dxa"/>
              <w:start w:w="80" w:type="dxa"/>
              <w:bottom w:w="70" w:type="dxa"/>
              <w:end w:w="80" w:type="dxa"/>
            </w:tcMar>
            <w:shd w:fill="F8F9FA"/>
          </w:tcPr>
          <w:p>
            <w:pPr>
              <w:spacing w:after="0"/>
            </w:pPr>
            <w:r/>
            <w:r>
              <w:rPr>
                <w:rFonts w:ascii="Arial" w:hAnsi="Arial"/>
                <w:b w:val="0"/>
                <w:sz w:val="15"/>
              </w:rPr>
              <w:t>Least privilege, product ownership, quotas and cost allocation.</w:t>
            </w:r>
          </w:p>
        </w:tc>
      </w:tr>
      <w:tr>
        <w:tc>
          <w:tcPr>
            <w:tcW w:type="dxa" w:w="1944"/>
            <w:vAlign w:val="center"/>
            <w:tcMar>
              <w:top w:w="70" w:type="dxa"/>
              <w:start w:w="80" w:type="dxa"/>
              <w:bottom w:w="70" w:type="dxa"/>
              <w:end w:w="80" w:type="dxa"/>
            </w:tcMar>
          </w:tcPr>
          <w:p>
            <w:pPr>
              <w:spacing w:after="0"/>
            </w:pPr>
            <w:r/>
            <w:r>
              <w:rPr>
                <w:rFonts w:ascii="Arial" w:hAnsi="Arial"/>
                <w:b w:val="0"/>
                <w:sz w:val="15"/>
              </w:rPr>
              <w:t>Non-production</w:t>
            </w:r>
          </w:p>
        </w:tc>
        <w:tc>
          <w:tcPr>
            <w:tcW w:type="dxa" w:w="5400"/>
            <w:vAlign w:val="center"/>
            <w:tcMar>
              <w:top w:w="70" w:type="dxa"/>
              <w:start w:w="80" w:type="dxa"/>
              <w:bottom w:w="70" w:type="dxa"/>
              <w:end w:w="80" w:type="dxa"/>
            </w:tcMar>
          </w:tcPr>
          <w:p>
            <w:pPr>
              <w:spacing w:after="0"/>
            </w:pPr>
            <w:r/>
            <w:r>
              <w:rPr>
                <w:rFonts w:ascii="Arial" w:hAnsi="Arial"/>
                <w:b w:val="0"/>
                <w:sz w:val="15"/>
              </w:rPr>
              <w:t>Separate folders/projects, synthetic or masked data and lower quotas.</w:t>
            </w:r>
          </w:p>
        </w:tc>
        <w:tc>
          <w:tcPr>
            <w:tcW w:type="dxa" w:w="2736"/>
            <w:vAlign w:val="center"/>
            <w:tcMar>
              <w:top w:w="70" w:type="dxa"/>
              <w:start w:w="80" w:type="dxa"/>
              <w:bottom w:w="70" w:type="dxa"/>
              <w:end w:w="80" w:type="dxa"/>
            </w:tcMar>
          </w:tcPr>
          <w:p>
            <w:pPr>
              <w:spacing w:after="0"/>
            </w:pPr>
            <w:r/>
            <w:r>
              <w:rPr>
                <w:rFonts w:ascii="Arial" w:hAnsi="Arial"/>
                <w:b w:val="0"/>
                <w:sz w:val="15"/>
              </w:rPr>
              <w:t>No uncontrolled production-sensitive data.</w:t>
            </w:r>
          </w:p>
        </w:tc>
      </w:tr>
      <w:tr>
        <w:tc>
          <w:tcPr>
            <w:tcW w:type="dxa" w:w="1944"/>
            <w:vAlign w:val="center"/>
            <w:tcMar>
              <w:top w:w="70" w:type="dxa"/>
              <w:start w:w="80" w:type="dxa"/>
              <w:bottom w:w="70" w:type="dxa"/>
              <w:end w:w="80" w:type="dxa"/>
            </w:tcMar>
            <w:shd w:fill="F8F9FA"/>
          </w:tcPr>
          <w:p>
            <w:pPr>
              <w:spacing w:after="0"/>
            </w:pPr>
            <w:r/>
            <w:r>
              <w:rPr>
                <w:rFonts w:ascii="Arial" w:hAnsi="Arial"/>
                <w:b w:val="0"/>
                <w:sz w:val="15"/>
              </w:rPr>
              <w:t>Recovery zone</w:t>
            </w:r>
          </w:p>
        </w:tc>
        <w:tc>
          <w:tcPr>
            <w:tcW w:type="dxa" w:w="5400"/>
            <w:vAlign w:val="center"/>
            <w:tcMar>
              <w:top w:w="70" w:type="dxa"/>
              <w:start w:w="80" w:type="dxa"/>
              <w:bottom w:w="70" w:type="dxa"/>
              <w:end w:w="80" w:type="dxa"/>
            </w:tcMar>
            <w:shd w:fill="F8F9FA"/>
          </w:tcPr>
          <w:p>
            <w:pPr>
              <w:spacing w:after="0"/>
            </w:pPr>
            <w:r/>
            <w:r>
              <w:rPr>
                <w:rFonts w:ascii="Arial" w:hAnsi="Arial"/>
                <w:b w:val="0"/>
                <w:sz w:val="15"/>
              </w:rPr>
              <w:t>Predefined recovery projects, configuration and data mechanisms according to tier.</w:t>
            </w:r>
          </w:p>
        </w:tc>
        <w:tc>
          <w:tcPr>
            <w:tcW w:type="dxa" w:w="2736"/>
            <w:vAlign w:val="center"/>
            <w:tcMar>
              <w:top w:w="70" w:type="dxa"/>
              <w:start w:w="80" w:type="dxa"/>
              <w:bottom w:w="70" w:type="dxa"/>
              <w:end w:w="80" w:type="dxa"/>
            </w:tcMar>
            <w:shd w:fill="F8F9FA"/>
          </w:tcPr>
          <w:p>
            <w:pPr>
              <w:spacing w:after="0"/>
            </w:pPr>
            <w:r/>
            <w:r>
              <w:rPr>
                <w:rFonts w:ascii="Arial" w:hAnsi="Arial"/>
                <w:b w:val="0"/>
                <w:sz w:val="15"/>
              </w:rPr>
              <w:t>Documented failover/failback and tested reconstruction.</w:t>
            </w:r>
          </w:p>
        </w:tc>
      </w:tr>
    </w:tbl>
    <w:p>
      <w:pPr>
        <w:spacing w:after="20"/>
      </w:pPr>
    </w:p>
    <w:p>
      <w:pPr>
        <w:pStyle w:val="Heading2"/>
      </w:pPr>
      <w:r>
        <w:t>7.4 Environment and Project Model</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vAlign w:val="center"/>
            <w:tcMar>
              <w:top w:w="70" w:type="dxa"/>
              <w:start w:w="80" w:type="dxa"/>
              <w:bottom w:w="70" w:type="dxa"/>
              <w:end w:w="80" w:type="dxa"/>
            </w:tcMar>
            <w:shd w:fill="1A73E8"/>
          </w:tcPr>
          <w:p>
            <w:pPr>
              <w:spacing w:after="0"/>
            </w:pPr>
            <w:r/>
            <w:r>
              <w:rPr>
                <w:rFonts w:ascii="Arial" w:hAnsi="Arial"/>
                <w:b/>
                <w:color w:val="FFFFFF"/>
                <w:sz w:val="16"/>
              </w:rPr>
              <w:t>Environment</w:t>
            </w:r>
          </w:p>
        </w:tc>
        <w:tc>
          <w:tcPr>
            <w:tcW w:type="dxa" w:w="2448"/>
            <w:vAlign w:val="center"/>
            <w:tcMar>
              <w:top w:w="70" w:type="dxa"/>
              <w:start w:w="80" w:type="dxa"/>
              <w:bottom w:w="70" w:type="dxa"/>
              <w:end w:w="80" w:type="dxa"/>
            </w:tcMar>
            <w:shd w:fill="1A73E8"/>
          </w:tcPr>
          <w:p>
            <w:pPr>
              <w:spacing w:after="0"/>
            </w:pPr>
            <w:r/>
            <w:r>
              <w:rPr>
                <w:rFonts w:ascii="Arial" w:hAnsi="Arial"/>
                <w:b/>
                <w:color w:val="FFFFFF"/>
                <w:sz w:val="16"/>
              </w:rPr>
              <w:t>Purpose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Permitted data</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Access</w:t>
            </w:r>
          </w:p>
        </w:tc>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Lifecycle</w:t>
            </w:r>
          </w:p>
        </w:tc>
      </w:tr>
      <w:tr>
        <w:tc>
          <w:tcPr>
            <w:tcW w:type="dxa" w:w="1440"/>
            <w:vAlign w:val="center"/>
            <w:tcMar>
              <w:top w:w="70" w:type="dxa"/>
              <w:start w:w="80" w:type="dxa"/>
              <w:bottom w:w="70" w:type="dxa"/>
              <w:end w:w="80" w:type="dxa"/>
            </w:tcMar>
          </w:tcPr>
          <w:p>
            <w:pPr>
              <w:spacing w:after="0"/>
            </w:pPr>
            <w:r/>
            <w:r>
              <w:rPr>
                <w:rFonts w:ascii="Arial" w:hAnsi="Arial"/>
                <w:b w:val="0"/>
                <w:sz w:val="14"/>
              </w:rPr>
              <w:t>Sandbox</w:t>
            </w:r>
          </w:p>
        </w:tc>
        <w:tc>
          <w:tcPr>
            <w:tcW w:type="dxa" w:w="2448"/>
            <w:vAlign w:val="center"/>
            <w:tcMar>
              <w:top w:w="70" w:type="dxa"/>
              <w:start w:w="80" w:type="dxa"/>
              <w:bottom w:w="70" w:type="dxa"/>
              <w:end w:w="80" w:type="dxa"/>
            </w:tcMar>
          </w:tcPr>
          <w:p>
            <w:pPr>
              <w:spacing w:after="0"/>
            </w:pPr>
            <w:r/>
            <w:r>
              <w:rPr>
                <w:rFonts w:ascii="Arial" w:hAnsi="Arial"/>
                <w:b w:val="0"/>
                <w:sz w:val="14"/>
              </w:rPr>
              <w:t>Time-bound experimentation and learning.</w:t>
            </w:r>
          </w:p>
        </w:tc>
        <w:tc>
          <w:tcPr>
            <w:tcW w:type="dxa" w:w="2232"/>
            <w:vAlign w:val="center"/>
            <w:tcMar>
              <w:top w:w="70" w:type="dxa"/>
              <w:start w:w="80" w:type="dxa"/>
              <w:bottom w:w="70" w:type="dxa"/>
              <w:end w:w="80" w:type="dxa"/>
            </w:tcMar>
          </w:tcPr>
          <w:p>
            <w:pPr>
              <w:spacing w:after="0"/>
            </w:pPr>
            <w:r/>
            <w:r>
              <w:rPr>
                <w:rFonts w:ascii="Arial" w:hAnsi="Arial"/>
                <w:b w:val="0"/>
                <w:sz w:val="14"/>
              </w:rPr>
              <w:t>Public, synthetic or explicitly approved masked data.</w:t>
            </w:r>
          </w:p>
        </w:tc>
        <w:tc>
          <w:tcPr>
            <w:tcW w:type="dxa" w:w="2376"/>
            <w:vAlign w:val="center"/>
            <w:tcMar>
              <w:top w:w="70" w:type="dxa"/>
              <w:start w:w="80" w:type="dxa"/>
              <w:bottom w:w="70" w:type="dxa"/>
              <w:end w:w="80" w:type="dxa"/>
            </w:tcMar>
          </w:tcPr>
          <w:p>
            <w:pPr>
              <w:spacing w:after="0"/>
            </w:pPr>
            <w:r/>
            <w:r>
              <w:rPr>
                <w:rFonts w:ascii="Arial" w:hAnsi="Arial"/>
                <w:b w:val="0"/>
                <w:sz w:val="14"/>
              </w:rPr>
              <w:t>Individual/team groups; no production service identities.</w:t>
            </w:r>
          </w:p>
        </w:tc>
        <w:tc>
          <w:tcPr>
            <w:tcW w:type="dxa" w:w="1584"/>
            <w:vAlign w:val="center"/>
            <w:tcMar>
              <w:top w:w="70" w:type="dxa"/>
              <w:start w:w="80" w:type="dxa"/>
              <w:bottom w:w="70" w:type="dxa"/>
              <w:end w:w="80" w:type="dxa"/>
            </w:tcMar>
          </w:tcPr>
          <w:p>
            <w:pPr>
              <w:spacing w:after="0"/>
            </w:pPr>
            <w:r/>
            <w:r>
              <w:rPr>
                <w:rFonts w:ascii="Arial" w:hAnsi="Arial"/>
                <w:b w:val="0"/>
                <w:sz w:val="14"/>
              </w:rPr>
              <w:t>Automatic expiry, quotas and no production dependencies.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4"/>
              </w:rPr>
              <w:t>Development</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Build and unit/integration test.</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Synthetic or minimized representative data.</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Engineering groups and CI/CD identities.</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Persistent while product is active.</w:t>
            </w:r>
          </w:p>
        </w:tc>
      </w:tr>
      <w:tr>
        <w:tc>
          <w:tcPr>
            <w:tcW w:type="dxa" w:w="1440"/>
            <w:vAlign w:val="center"/>
            <w:tcMar>
              <w:top w:w="70" w:type="dxa"/>
              <w:start w:w="80" w:type="dxa"/>
              <w:bottom w:w="70" w:type="dxa"/>
              <w:end w:w="80" w:type="dxa"/>
            </w:tcMar>
          </w:tcPr>
          <w:p>
            <w:pPr>
              <w:spacing w:after="0"/>
            </w:pPr>
            <w:r/>
            <w:r>
              <w:rPr>
                <w:rFonts w:ascii="Arial" w:hAnsi="Arial"/>
                <w:b w:val="0"/>
                <w:sz w:val="14"/>
              </w:rPr>
              <w:t>Integration/Test</w:t>
            </w:r>
          </w:p>
        </w:tc>
        <w:tc>
          <w:tcPr>
            <w:tcW w:type="dxa" w:w="2448"/>
            <w:vAlign w:val="center"/>
            <w:tcMar>
              <w:top w:w="70" w:type="dxa"/>
              <w:start w:w="80" w:type="dxa"/>
              <w:bottom w:w="70" w:type="dxa"/>
              <w:end w:w="80" w:type="dxa"/>
            </w:tcMar>
          </w:tcPr>
          <w:p>
            <w:pPr>
              <w:spacing w:after="0"/>
            </w:pPr>
            <w:r/>
            <w:r>
              <w:rPr>
                <w:rFonts w:ascii="Arial" w:hAnsi="Arial"/>
                <w:b w:val="0"/>
                <w:sz w:val="14"/>
              </w:rPr>
              <w:t>Cross-service and contract validation.</w:t>
            </w:r>
          </w:p>
        </w:tc>
        <w:tc>
          <w:tcPr>
            <w:tcW w:type="dxa" w:w="2232"/>
            <w:vAlign w:val="center"/>
            <w:tcMar>
              <w:top w:w="70" w:type="dxa"/>
              <w:start w:w="80" w:type="dxa"/>
              <w:bottom w:w="70" w:type="dxa"/>
              <w:end w:w="80" w:type="dxa"/>
            </w:tcMar>
          </w:tcPr>
          <w:p>
            <w:pPr>
              <w:spacing w:after="0"/>
            </w:pPr>
            <w:r/>
            <w:r>
              <w:rPr>
                <w:rFonts w:ascii="Arial" w:hAnsi="Arial"/>
                <w:b w:val="0"/>
                <w:sz w:val="14"/>
              </w:rPr>
              <w:t>Masked or approved controlled subsets.</w:t>
            </w:r>
          </w:p>
        </w:tc>
        <w:tc>
          <w:tcPr>
            <w:tcW w:type="dxa" w:w="2376"/>
            <w:vAlign w:val="center"/>
            <w:tcMar>
              <w:top w:w="70" w:type="dxa"/>
              <w:start w:w="80" w:type="dxa"/>
              <w:bottom w:w="70" w:type="dxa"/>
              <w:end w:w="80" w:type="dxa"/>
            </w:tcMar>
          </w:tcPr>
          <w:p>
            <w:pPr>
              <w:spacing w:after="0"/>
            </w:pPr>
            <w:r/>
            <w:r>
              <w:rPr>
                <w:rFonts w:ascii="Arial" w:hAnsi="Arial"/>
                <w:b w:val="0"/>
                <w:sz w:val="14"/>
              </w:rPr>
              <w:t>Test teams, automation and limited engineers.</w:t>
            </w:r>
          </w:p>
        </w:tc>
        <w:tc>
          <w:tcPr>
            <w:tcW w:type="dxa" w:w="1584"/>
            <w:vAlign w:val="center"/>
            <w:tcMar>
              <w:top w:w="70" w:type="dxa"/>
              <w:start w:w="80" w:type="dxa"/>
              <w:bottom w:w="70" w:type="dxa"/>
              <w:end w:w="80" w:type="dxa"/>
            </w:tcMar>
          </w:tcPr>
          <w:p>
            <w:pPr>
              <w:spacing w:after="0"/>
            </w:pPr>
            <w:r/>
            <w:r>
              <w:rPr>
                <w:rFonts w:ascii="Arial" w:hAnsi="Arial"/>
                <w:b w:val="0"/>
                <w:sz w:val="14"/>
              </w:rPr>
              <w:t>Aligned to release cycles.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4"/>
              </w:rPr>
              <w:t>Staging/Pre-production</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Production-like performance, security and operational validation.</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Masked or approved production-like data.</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Restricted engineering, SRE and release identities.</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Controlled and monitored.</w:t>
            </w:r>
          </w:p>
        </w:tc>
      </w:tr>
      <w:tr>
        <w:tc>
          <w:tcPr>
            <w:tcW w:type="dxa" w:w="1440"/>
            <w:vAlign w:val="center"/>
            <w:tcMar>
              <w:top w:w="70" w:type="dxa"/>
              <w:start w:w="80" w:type="dxa"/>
              <w:bottom w:w="70" w:type="dxa"/>
              <w:end w:w="80" w:type="dxa"/>
            </w:tcMar>
          </w:tcPr>
          <w:p>
            <w:pPr>
              <w:spacing w:after="0"/>
            </w:pPr>
            <w:r/>
            <w:r>
              <w:rPr>
                <w:rFonts w:ascii="Arial" w:hAnsi="Arial"/>
                <w:b w:val="0"/>
                <w:sz w:val="14"/>
              </w:rPr>
              <w:t>Production</w:t>
            </w:r>
          </w:p>
        </w:tc>
        <w:tc>
          <w:tcPr>
            <w:tcW w:type="dxa" w:w="2448"/>
            <w:vAlign w:val="center"/>
            <w:tcMar>
              <w:top w:w="70" w:type="dxa"/>
              <w:start w:w="80" w:type="dxa"/>
              <w:bottom w:w="70" w:type="dxa"/>
              <w:end w:w="80" w:type="dxa"/>
            </w:tcMar>
          </w:tcPr>
          <w:p>
            <w:pPr>
              <w:spacing w:after="0"/>
            </w:pPr>
            <w:r/>
            <w:r>
              <w:rPr>
                <w:rFonts w:ascii="Arial" w:hAnsi="Arial"/>
                <w:b w:val="0"/>
                <w:sz w:val="14"/>
              </w:rPr>
              <w:t>Authoritative governed services and products.</w:t>
            </w:r>
          </w:p>
        </w:tc>
        <w:tc>
          <w:tcPr>
            <w:tcW w:type="dxa" w:w="2232"/>
            <w:vAlign w:val="center"/>
            <w:tcMar>
              <w:top w:w="70" w:type="dxa"/>
              <w:start w:w="80" w:type="dxa"/>
              <w:bottom w:w="70" w:type="dxa"/>
              <w:end w:w="80" w:type="dxa"/>
            </w:tcMar>
          </w:tcPr>
          <w:p>
            <w:pPr>
              <w:spacing w:after="0"/>
            </w:pPr>
            <w:r/>
            <w:r>
              <w:rPr>
                <w:rFonts w:ascii="Arial" w:hAnsi="Arial"/>
                <w:b w:val="0"/>
                <w:sz w:val="14"/>
              </w:rPr>
              <w:t>Approved business data by classification.</w:t>
            </w:r>
          </w:p>
        </w:tc>
        <w:tc>
          <w:tcPr>
            <w:tcW w:type="dxa" w:w="2376"/>
            <w:vAlign w:val="center"/>
            <w:tcMar>
              <w:top w:w="70" w:type="dxa"/>
              <w:start w:w="80" w:type="dxa"/>
              <w:bottom w:w="70" w:type="dxa"/>
              <w:end w:w="80" w:type="dxa"/>
            </w:tcMar>
          </w:tcPr>
          <w:p>
            <w:pPr>
              <w:spacing w:after="0"/>
            </w:pPr>
            <w:r/>
            <w:r>
              <w:rPr>
                <w:rFonts w:ascii="Arial" w:hAnsi="Arial"/>
                <w:b w:val="0"/>
                <w:sz w:val="14"/>
              </w:rPr>
              <w:t>Consumer groups, production workloads and JIT administration.</w:t>
            </w:r>
          </w:p>
        </w:tc>
        <w:tc>
          <w:tcPr>
            <w:tcW w:type="dxa" w:w="1584"/>
            <w:vAlign w:val="center"/>
            <w:tcMar>
              <w:top w:w="70" w:type="dxa"/>
              <w:start w:w="80" w:type="dxa"/>
              <w:bottom w:w="70" w:type="dxa"/>
              <w:end w:w="80" w:type="dxa"/>
            </w:tcMar>
          </w:tcPr>
          <w:p>
            <w:pPr>
              <w:spacing w:after="0"/>
            </w:pPr>
            <w:r/>
            <w:r>
              <w:rPr>
                <w:rFonts w:ascii="Arial" w:hAnsi="Arial"/>
                <w:b w:val="0"/>
                <w:sz w:val="14"/>
              </w:rPr>
              <w:t>Long-lived with formal change and recovery controls.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4"/>
              </w:rPr>
              <w:t>Recovery</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Recovery of Tier 0/1 workloads.</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Replicated or restorable approved data.</w:t>
            </w:r>
          </w:p>
        </w:tc>
        <w:tc>
          <w:tcPr>
            <w:tcW w:type="dxa" w:w="2376"/>
            <w:vAlign w:val="center"/>
            <w:tcMar>
              <w:top w:w="70" w:type="dxa"/>
              <w:start w:w="80" w:type="dxa"/>
              <w:bottom w:w="70" w:type="dxa"/>
              <w:end w:w="80" w:type="dxa"/>
            </w:tcMar>
            <w:shd w:fill="F8F9FA"/>
          </w:tcPr>
          <w:p>
            <w:pPr>
              <w:spacing w:after="0"/>
            </w:pPr>
            <w:r/>
            <w:r>
              <w:rPr>
                <w:rFonts w:ascii="Arial" w:hAnsi="Arial"/>
                <w:b w:val="0"/>
                <w:sz w:val="14"/>
              </w:rPr>
              <w:t>DR automation and emergency roles.</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Warm/cold according to tier; tested regularly.</w:t>
            </w:r>
          </w:p>
        </w:tc>
      </w:tr>
    </w:tbl>
    <w:p>
      <w:pPr>
        <w:spacing w:after="20"/>
      </w:pPr>
    </w:p>
    <w:p>
      <w:pPr>
        <w:pStyle w:val="Heading2"/>
      </w:pPr>
      <w:r>
        <w:t>7.5 Primary End-to-End Data Flows</w:t>
      </w:r>
    </w:p>
    <w:p>
      <w:pPr>
        <w:pStyle w:val="Heading3"/>
      </w:pPr>
      <w:r>
        <w:t>Flow 1 — Batch files</w:t>
      </w:r>
    </w:p>
    <w:p>
      <w:r>
        <w:t>A source transfers a file and manifest through an approved private or controlled endpoint. The landing service verifies source identity, checksum, naming, malware policy and schema. Valid content is promoted to immutable raw storage; invalid content is quarantined with failure metadata. Orchestration loads or transforms data, applies quality and reconciliation, and publishes only after gates pass.</w:t>
      </w:r>
    </w:p>
    <w:p>
      <w:pPr>
        <w:pStyle w:val="ListBullet"/>
        <w:spacing w:after="40"/>
      </w:pPr>
      <w:r>
        <w:t>Required evidence: source/consumer identity, data classification, owner, timestamps, release version and control outcome.</w:t>
      </w:r>
    </w:p>
    <w:p>
      <w:pPr>
        <w:pStyle w:val="ListBullet"/>
        <w:spacing w:after="40"/>
      </w:pPr>
      <w:r>
        <w:t>Required failure behavior: retry boundary, dead-letter/quarantine path, reconciliation and runbook.</w:t>
      </w:r>
    </w:p>
    <w:p>
      <w:pPr>
        <w:pStyle w:val="ListBullet"/>
        <w:spacing w:after="40"/>
      </w:pPr>
      <w:r>
        <w:t>Required operations: SLO, dashboard, alert owner, cost allocation and recovery procedure.</w:t>
      </w:r>
    </w:p>
    <w:p>
      <w:pPr>
        <w:pStyle w:val="Heading3"/>
      </w:pPr>
      <w:r>
        <w:t>Flow 2 — Database CDC</w:t>
      </w:r>
    </w:p>
    <w:p>
      <w:r>
        <w:t>Datastream captures supported database changes using least-privilege source accounts and private connectivity where available. Change events land in an approved target and are transformed into ordered, idempotent records. Periodic full reconciliation identifies missed, duplicated or out-of-order changes. Schema changes follow a contract process.</w:t>
      </w:r>
    </w:p>
    <w:p>
      <w:pPr>
        <w:pStyle w:val="ListBullet"/>
        <w:spacing w:after="40"/>
      </w:pPr>
      <w:r>
        <w:t>Required evidence: source/consumer identity, data classification, owner, timestamps, release version and control outcome.</w:t>
      </w:r>
    </w:p>
    <w:p>
      <w:pPr>
        <w:pStyle w:val="ListBullet"/>
        <w:spacing w:after="40"/>
      </w:pPr>
      <w:r>
        <w:t>Required failure behavior: retry boundary, dead-letter/quarantine path, reconciliation and runbook.</w:t>
      </w:r>
    </w:p>
    <w:p>
      <w:pPr>
        <w:pStyle w:val="ListBullet"/>
        <w:spacing w:after="40"/>
      </w:pPr>
      <w:r>
        <w:t>Required operations: SLO, dashboard, alert owner, cost allocation and recovery procedure.</w:t>
      </w:r>
    </w:p>
    <w:p>
      <w:pPr>
        <w:pStyle w:val="Heading3"/>
      </w:pPr>
      <w:r>
        <w:t>Flow 3 — Enterprise events</w:t>
      </w:r>
    </w:p>
    <w:p>
      <w:r>
        <w:t>Producers publish versioned events to Pub/Sub. Dataflow validates, deduplicates, enriches and routes records. Invalid events move to a dead-letter path, and retained messages support replay. Event timestamps, processing timestamps and product timestamps support end-to-end freshness measurement.</w:t>
      </w:r>
    </w:p>
    <w:p>
      <w:pPr>
        <w:pStyle w:val="ListBullet"/>
        <w:spacing w:after="40"/>
      </w:pPr>
      <w:r>
        <w:t>Required evidence: source/consumer identity, data classification, owner, timestamps, release version and control outcome.</w:t>
      </w:r>
    </w:p>
    <w:p>
      <w:pPr>
        <w:pStyle w:val="ListBullet"/>
        <w:spacing w:after="40"/>
      </w:pPr>
      <w:r>
        <w:t>Required failure behavior: retry boundary, dead-letter/quarantine path, reconciliation and runbook.</w:t>
      </w:r>
    </w:p>
    <w:p>
      <w:pPr>
        <w:pStyle w:val="ListBullet"/>
        <w:spacing w:after="40"/>
      </w:pPr>
      <w:r>
        <w:t>Required operations: SLO, dashboard, alert owner, cost allocation and recovery procedure.</w:t>
      </w:r>
    </w:p>
    <w:p>
      <w:pPr>
        <w:pStyle w:val="Heading3"/>
      </w:pPr>
      <w:r>
        <w:t>Flow 4 — SQL product development</w:t>
      </w:r>
    </w:p>
    <w:p>
      <w:r>
        <w:t>Engineers define transformations and assertions in Dataform. Pull requests trigger linting, dependency checks, unit/data tests and a compiled plan. Approved releases execute through controlled service identities and publish versioned tables or views. Lineage, ownership and release metadata are registered.</w:t>
      </w:r>
    </w:p>
    <w:p>
      <w:pPr>
        <w:pStyle w:val="ListBullet"/>
        <w:spacing w:after="40"/>
      </w:pPr>
      <w:r>
        <w:t>Required evidence: source/consumer identity, data classification, owner, timestamps, release version and control outcome.</w:t>
      </w:r>
    </w:p>
    <w:p>
      <w:pPr>
        <w:pStyle w:val="ListBullet"/>
        <w:spacing w:after="40"/>
      </w:pPr>
      <w:r>
        <w:t>Required failure behavior: retry boundary, dead-letter/quarantine path, reconciliation and runbook.</w:t>
      </w:r>
    </w:p>
    <w:p>
      <w:pPr>
        <w:pStyle w:val="ListBullet"/>
        <w:spacing w:after="40"/>
      </w:pPr>
      <w:r>
        <w:t>Required operations: SLO, dashboard, alert owner, cost allocation and recovery procedure.</w:t>
      </w:r>
    </w:p>
    <w:p>
      <w:pPr>
        <w:pStyle w:val="Heading3"/>
      </w:pPr>
      <w:r>
        <w:t>Flow 5 — Governed consumption</w:t>
      </w:r>
    </w:p>
    <w:p>
      <w:r>
        <w:t>Consumers discover certified products in Knowledge Catalog and request access through the approved workflow. Authorization is granted to groups or workloads at the narrowest practical interface. Looker, BigQuery, sharing or APIs expose semantic or contractual views rather than unrestricted raw storage.</w:t>
      </w:r>
    </w:p>
    <w:p>
      <w:pPr>
        <w:pStyle w:val="ListBullet"/>
        <w:spacing w:after="40"/>
      </w:pPr>
      <w:r>
        <w:t>Required evidence: source/consumer identity, data classification, owner, timestamps, release version and control outcome.</w:t>
      </w:r>
    </w:p>
    <w:p>
      <w:pPr>
        <w:pStyle w:val="ListBullet"/>
        <w:spacing w:after="40"/>
      </w:pPr>
      <w:r>
        <w:t>Required failure behavior: retry boundary, dead-letter/quarantine path, reconciliation and runbook.</w:t>
      </w:r>
    </w:p>
    <w:p>
      <w:pPr>
        <w:pStyle w:val="ListBullet"/>
        <w:spacing w:after="40"/>
      </w:pPr>
      <w:r>
        <w:t>Required operations: SLO, dashboard, alert owner, cost allocation and recovery procedure.</w:t>
      </w:r>
    </w:p>
    <w:p>
      <w:pPr>
        <w:pStyle w:val="Heading3"/>
      </w:pPr>
      <w:r>
        <w:t>Flow 6 — AI and RAG</w:t>
      </w:r>
    </w:p>
    <w:p>
      <w:r>
        <w:t>An approved AI workload consumes certified structured, document or feature products. Ingestion and chunking preserve document identity, classification and lineage. Embeddings and vector indexes use dedicated service identities. Retrieval, generation, safety, evaluation, citations and cost are logged according to risk tier.</w:t>
      </w:r>
    </w:p>
    <w:p>
      <w:pPr>
        <w:pStyle w:val="ListBullet"/>
        <w:spacing w:after="40"/>
      </w:pPr>
      <w:r>
        <w:t>Required evidence: source/consumer identity, data classification, owner, timestamps, release version and control outcome.</w:t>
      </w:r>
    </w:p>
    <w:p>
      <w:pPr>
        <w:pStyle w:val="ListBullet"/>
        <w:spacing w:after="40"/>
      </w:pPr>
      <w:r>
        <w:t>Required failure behavior: retry boundary, dead-letter/quarantine path, reconciliation and runbook.</w:t>
      </w:r>
    </w:p>
    <w:p>
      <w:pPr>
        <w:pStyle w:val="ListBullet"/>
        <w:spacing w:after="40"/>
      </w:pPr>
      <w:r>
        <w:t>Required operations: SLO, dashboard, alert owner, cost allocation and recovery procedure.</w:t>
      </w:r>
    </w:p>
    <w:p>
      <w:pPr>
        <w:pStyle w:val="Heading2"/>
      </w:pPr>
      <w:r>
        <w:t>7.6 Central Platform and Domain Responsibility Boundary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tcMar>
              <w:top w:w="70" w:type="dxa"/>
              <w:start w:w="80" w:type="dxa"/>
              <w:bottom w:w="70" w:type="dxa"/>
              <w:end w:w="80" w:type="dxa"/>
            </w:tcMar>
            <w:shd w:fill="1A73E8"/>
          </w:tcPr>
          <w:p>
            <w:pPr>
              <w:spacing w:after="0"/>
            </w:pPr>
            <w:r/>
            <w:r>
              <w:rPr>
                <w:rFonts w:ascii="Arial" w:hAnsi="Arial"/>
                <w:b/>
                <w:color w:val="FFFFFF"/>
                <w:sz w:val="16"/>
              </w:rPr>
              <w:t>Capability</w:t>
            </w:r>
          </w:p>
        </w:tc>
        <w:tc>
          <w:tcPr>
            <w:tcW w:type="dxa" w:w="4320"/>
            <w:vAlign w:val="center"/>
            <w:tcMar>
              <w:top w:w="70" w:type="dxa"/>
              <w:start w:w="80" w:type="dxa"/>
              <w:bottom w:w="70" w:type="dxa"/>
              <w:end w:w="80" w:type="dxa"/>
            </w:tcMar>
            <w:shd w:fill="1A73E8"/>
          </w:tcPr>
          <w:p>
            <w:pPr>
              <w:spacing w:after="0"/>
            </w:pPr>
            <w:r/>
            <w:r>
              <w:rPr>
                <w:rFonts w:ascii="Arial" w:hAnsi="Arial"/>
                <w:b/>
                <w:color w:val="FFFFFF"/>
                <w:sz w:val="16"/>
              </w:rPr>
              <w:t>Central platform responsibility</w:t>
            </w:r>
          </w:p>
        </w:tc>
        <w:tc>
          <w:tcPr>
            <w:tcW w:type="dxa" w:w="4104"/>
            <w:vAlign w:val="center"/>
            <w:tcMar>
              <w:top w:w="70" w:type="dxa"/>
              <w:start w:w="80" w:type="dxa"/>
              <w:bottom w:w="70" w:type="dxa"/>
              <w:end w:w="80" w:type="dxa"/>
            </w:tcMar>
            <w:shd w:fill="1A73E8"/>
          </w:tcPr>
          <w:p>
            <w:pPr>
              <w:spacing w:after="0"/>
            </w:pPr>
            <w:r/>
            <w:r>
              <w:rPr>
                <w:rFonts w:ascii="Arial" w:hAnsi="Arial"/>
                <w:b/>
                <w:color w:val="FFFFFF"/>
                <w:sz w:val="16"/>
              </w:rPr>
              <w:t>Domain responsibility</w:t>
            </w:r>
          </w:p>
        </w:tc>
      </w:tr>
      <w:tr>
        <w:tc>
          <w:tcPr>
            <w:tcW w:type="dxa" w:w="1656"/>
            <w:vAlign w:val="center"/>
            <w:tcMar>
              <w:top w:w="70" w:type="dxa"/>
              <w:start w:w="80" w:type="dxa"/>
              <w:bottom w:w="70" w:type="dxa"/>
              <w:end w:w="80" w:type="dxa"/>
            </w:tcMar>
          </w:tcPr>
          <w:p>
            <w:pPr>
              <w:spacing w:after="0"/>
            </w:pPr>
            <w:r/>
            <w:r>
              <w:rPr>
                <w:rFonts w:ascii="Arial" w:hAnsi="Arial"/>
                <w:b w:val="0"/>
                <w:sz w:val="15"/>
              </w:rPr>
              <w:t>Projects and network</w:t>
            </w:r>
          </w:p>
        </w:tc>
        <w:tc>
          <w:tcPr>
            <w:tcW w:type="dxa" w:w="4320"/>
            <w:vAlign w:val="center"/>
            <w:tcMar>
              <w:top w:w="70" w:type="dxa"/>
              <w:start w:w="80" w:type="dxa"/>
              <w:bottom w:w="70" w:type="dxa"/>
              <w:end w:w="80" w:type="dxa"/>
            </w:tcMar>
          </w:tcPr>
          <w:p>
            <w:pPr>
              <w:spacing w:after="0"/>
            </w:pPr>
            <w:r/>
            <w:r>
              <w:rPr>
                <w:rFonts w:ascii="Arial" w:hAnsi="Arial"/>
                <w:b w:val="0"/>
                <w:sz w:val="15"/>
              </w:rPr>
              <w:t>Provide project factory, Shared VPC, private access and baseline policies.</w:t>
            </w:r>
          </w:p>
        </w:tc>
        <w:tc>
          <w:tcPr>
            <w:tcW w:type="dxa" w:w="4104"/>
            <w:vAlign w:val="center"/>
            <w:tcMar>
              <w:top w:w="70" w:type="dxa"/>
              <w:start w:w="80" w:type="dxa"/>
              <w:bottom w:w="70" w:type="dxa"/>
              <w:end w:w="80" w:type="dxa"/>
            </w:tcMar>
          </w:tcPr>
          <w:p>
            <w:pPr>
              <w:spacing w:after="0"/>
            </w:pPr>
            <w:r/>
            <w:r>
              <w:rPr>
                <w:rFonts w:ascii="Arial" w:hAnsi="Arial"/>
                <w:b w:val="0"/>
                <w:sz w:val="15"/>
              </w:rPr>
              <w:t>Select approved pattern, supply ownership and request connectivity.</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5"/>
              </w:rPr>
              <w:t>Ingestion</w:t>
            </w:r>
          </w:p>
        </w:tc>
        <w:tc>
          <w:tcPr>
            <w:tcW w:type="dxa" w:w="4320"/>
            <w:vAlign w:val="center"/>
            <w:tcMar>
              <w:top w:w="70" w:type="dxa"/>
              <w:start w:w="80" w:type="dxa"/>
              <w:bottom w:w="70" w:type="dxa"/>
              <w:end w:w="80" w:type="dxa"/>
            </w:tcMar>
            <w:shd w:fill="F8F9FA"/>
          </w:tcPr>
          <w:p>
            <w:pPr>
              <w:spacing w:after="0"/>
            </w:pPr>
            <w:r/>
            <w:r>
              <w:rPr>
                <w:rFonts w:ascii="Arial" w:hAnsi="Arial"/>
                <w:b w:val="0"/>
                <w:sz w:val="15"/>
              </w:rPr>
              <w:t>Provide connectors, templates, monitoring and failure framework.</w:t>
            </w:r>
          </w:p>
        </w:tc>
        <w:tc>
          <w:tcPr>
            <w:tcW w:type="dxa" w:w="4104"/>
            <w:vAlign w:val="center"/>
            <w:tcMar>
              <w:top w:w="70" w:type="dxa"/>
              <w:start w:w="80" w:type="dxa"/>
              <w:bottom w:w="70" w:type="dxa"/>
              <w:end w:w="80" w:type="dxa"/>
            </w:tcMar>
            <w:shd w:fill="F8F9FA"/>
          </w:tcPr>
          <w:p>
            <w:pPr>
              <w:spacing w:after="0"/>
            </w:pPr>
            <w:r/>
            <w:r>
              <w:rPr>
                <w:rFonts w:ascii="Arial" w:hAnsi="Arial"/>
                <w:b w:val="0"/>
                <w:sz w:val="15"/>
              </w:rPr>
              <w:t>Own source agreement, mapping, reconciliation and data-content issues.</w:t>
            </w:r>
          </w:p>
        </w:tc>
      </w:tr>
      <w:tr>
        <w:tc>
          <w:tcPr>
            <w:tcW w:type="dxa" w:w="1656"/>
            <w:vAlign w:val="center"/>
            <w:tcMar>
              <w:top w:w="70" w:type="dxa"/>
              <w:start w:w="80" w:type="dxa"/>
              <w:bottom w:w="70" w:type="dxa"/>
              <w:end w:w="80" w:type="dxa"/>
            </w:tcMar>
          </w:tcPr>
          <w:p>
            <w:pPr>
              <w:spacing w:after="0"/>
            </w:pPr>
            <w:r/>
            <w:r>
              <w:rPr>
                <w:rFonts w:ascii="Arial" w:hAnsi="Arial"/>
                <w:b w:val="0"/>
                <w:sz w:val="15"/>
              </w:rPr>
              <w:t>Storage and processing</w:t>
            </w:r>
          </w:p>
        </w:tc>
        <w:tc>
          <w:tcPr>
            <w:tcW w:type="dxa" w:w="4320"/>
            <w:vAlign w:val="center"/>
            <w:tcMar>
              <w:top w:w="70" w:type="dxa"/>
              <w:start w:w="80" w:type="dxa"/>
              <w:bottom w:w="70" w:type="dxa"/>
              <w:end w:w="80" w:type="dxa"/>
            </w:tcMar>
          </w:tcPr>
          <w:p>
            <w:pPr>
              <w:spacing w:after="0"/>
            </w:pPr>
            <w:r/>
            <w:r>
              <w:rPr>
                <w:rFonts w:ascii="Arial" w:hAnsi="Arial"/>
                <w:b w:val="0"/>
                <w:sz w:val="15"/>
              </w:rPr>
              <w:t>Provide zones, modules, quotas and service standards.</w:t>
            </w:r>
          </w:p>
        </w:tc>
        <w:tc>
          <w:tcPr>
            <w:tcW w:type="dxa" w:w="4104"/>
            <w:vAlign w:val="center"/>
            <w:tcMar>
              <w:top w:w="70" w:type="dxa"/>
              <w:start w:w="80" w:type="dxa"/>
              <w:bottom w:w="70" w:type="dxa"/>
              <w:end w:w="80" w:type="dxa"/>
            </w:tcMar>
          </w:tcPr>
          <w:p>
            <w:pPr>
              <w:spacing w:after="0"/>
            </w:pPr>
            <w:r/>
            <w:r>
              <w:rPr>
                <w:rFonts w:ascii="Arial" w:hAnsi="Arial"/>
                <w:b w:val="0"/>
                <w:sz w:val="15"/>
              </w:rPr>
              <w:t>Design product schema, transformations and performance within standards.</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5"/>
              </w:rPr>
              <w:t>Governance</w:t>
            </w:r>
          </w:p>
        </w:tc>
        <w:tc>
          <w:tcPr>
            <w:tcW w:type="dxa" w:w="4320"/>
            <w:vAlign w:val="center"/>
            <w:tcMar>
              <w:top w:w="70" w:type="dxa"/>
              <w:start w:w="80" w:type="dxa"/>
              <w:bottom w:w="70" w:type="dxa"/>
              <w:end w:w="80" w:type="dxa"/>
            </w:tcMar>
            <w:shd w:fill="F8F9FA"/>
          </w:tcPr>
          <w:p>
            <w:pPr>
              <w:spacing w:after="0"/>
            </w:pPr>
            <w:r/>
            <w:r>
              <w:rPr>
                <w:rFonts w:ascii="Arial" w:hAnsi="Arial"/>
                <w:b w:val="0"/>
                <w:sz w:val="15"/>
              </w:rPr>
              <w:t>Provide catalog, glossary model, classifications, workflows and conformance.</w:t>
            </w:r>
          </w:p>
        </w:tc>
        <w:tc>
          <w:tcPr>
            <w:tcW w:type="dxa" w:w="4104"/>
            <w:vAlign w:val="center"/>
            <w:tcMar>
              <w:top w:w="70" w:type="dxa"/>
              <w:start w:w="80" w:type="dxa"/>
              <w:bottom w:w="70" w:type="dxa"/>
              <w:end w:w="80" w:type="dxa"/>
            </w:tcMar>
            <w:shd w:fill="F8F9FA"/>
          </w:tcPr>
          <w:p>
            <w:pPr>
              <w:spacing w:after="0"/>
            </w:pPr>
            <w:r/>
            <w:r>
              <w:rPr>
                <w:rFonts w:ascii="Arial" w:hAnsi="Arial"/>
                <w:b w:val="0"/>
                <w:sz w:val="15"/>
              </w:rPr>
              <w:t>Maintain definitions, ownership, contracts, quality and lifecycle.</w:t>
            </w:r>
          </w:p>
        </w:tc>
      </w:tr>
      <w:tr>
        <w:tc>
          <w:tcPr>
            <w:tcW w:type="dxa" w:w="1656"/>
            <w:vAlign w:val="center"/>
            <w:tcMar>
              <w:top w:w="70" w:type="dxa"/>
              <w:start w:w="80" w:type="dxa"/>
              <w:bottom w:w="70" w:type="dxa"/>
              <w:end w:w="80" w:type="dxa"/>
            </w:tcMar>
          </w:tcPr>
          <w:p>
            <w:pPr>
              <w:spacing w:after="0"/>
            </w:pPr>
            <w:r/>
            <w:r>
              <w:rPr>
                <w:rFonts w:ascii="Arial" w:hAnsi="Arial"/>
                <w:b w:val="0"/>
                <w:sz w:val="15"/>
              </w:rPr>
              <w:t>Security</w:t>
            </w:r>
          </w:p>
        </w:tc>
        <w:tc>
          <w:tcPr>
            <w:tcW w:type="dxa" w:w="4320"/>
            <w:vAlign w:val="center"/>
            <w:tcMar>
              <w:top w:w="70" w:type="dxa"/>
              <w:start w:w="80" w:type="dxa"/>
              <w:bottom w:w="70" w:type="dxa"/>
              <w:end w:w="80" w:type="dxa"/>
            </w:tcMar>
          </w:tcPr>
          <w:p>
            <w:pPr>
              <w:spacing w:after="0"/>
            </w:pPr>
            <w:r/>
            <w:r>
              <w:rPr>
                <w:rFonts w:ascii="Arial" w:hAnsi="Arial"/>
                <w:b w:val="0"/>
                <w:sz w:val="15"/>
              </w:rPr>
              <w:t>Provide identity, KMS, perimeters, logs, guardrails and review.</w:t>
            </w:r>
          </w:p>
        </w:tc>
        <w:tc>
          <w:tcPr>
            <w:tcW w:type="dxa" w:w="4104"/>
            <w:vAlign w:val="center"/>
            <w:tcMar>
              <w:top w:w="70" w:type="dxa"/>
              <w:start w:w="80" w:type="dxa"/>
              <w:bottom w:w="70" w:type="dxa"/>
              <w:end w:w="80" w:type="dxa"/>
            </w:tcMar>
          </w:tcPr>
          <w:p>
            <w:pPr>
              <w:spacing w:after="0"/>
            </w:pPr>
            <w:r/>
            <w:r>
              <w:rPr>
                <w:rFonts w:ascii="Arial" w:hAnsi="Arial"/>
                <w:b w:val="0"/>
                <w:sz w:val="15"/>
              </w:rPr>
              <w:t>Approve business access and maintain least-privilege consumer groups.</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5"/>
              </w:rPr>
              <w:t>Analytics/AI</w:t>
            </w:r>
          </w:p>
        </w:tc>
        <w:tc>
          <w:tcPr>
            <w:tcW w:type="dxa" w:w="4320"/>
            <w:vAlign w:val="center"/>
            <w:tcMar>
              <w:top w:w="70" w:type="dxa"/>
              <w:start w:w="80" w:type="dxa"/>
              <w:bottom w:w="70" w:type="dxa"/>
              <w:end w:w="80" w:type="dxa"/>
            </w:tcMar>
            <w:shd w:fill="F8F9FA"/>
          </w:tcPr>
          <w:p>
            <w:pPr>
              <w:spacing w:after="0"/>
            </w:pPr>
            <w:r/>
            <w:r>
              <w:rPr>
                <w:rFonts w:ascii="Arial" w:hAnsi="Arial"/>
                <w:b w:val="0"/>
                <w:sz w:val="15"/>
              </w:rPr>
              <w:t>Provide governed delivery and AI platform patterns.</w:t>
            </w:r>
          </w:p>
        </w:tc>
        <w:tc>
          <w:tcPr>
            <w:tcW w:type="dxa" w:w="4104"/>
            <w:vAlign w:val="center"/>
            <w:tcMar>
              <w:top w:w="70" w:type="dxa"/>
              <w:start w:w="80" w:type="dxa"/>
              <w:bottom w:w="70" w:type="dxa"/>
              <w:end w:w="80" w:type="dxa"/>
            </w:tcMar>
            <w:shd w:fill="F8F9FA"/>
          </w:tcPr>
          <w:p>
            <w:pPr>
              <w:spacing w:after="0"/>
            </w:pPr>
            <w:r/>
            <w:r>
              <w:rPr>
                <w:rFonts w:ascii="Arial" w:hAnsi="Arial"/>
                <w:b w:val="0"/>
                <w:sz w:val="15"/>
              </w:rPr>
              <w:t>Own KPI/model/product logic, validation and consumer outcomes.</w:t>
            </w:r>
          </w:p>
        </w:tc>
      </w:tr>
      <w:tr>
        <w:tc>
          <w:tcPr>
            <w:tcW w:type="dxa" w:w="1656"/>
            <w:vAlign w:val="center"/>
            <w:tcMar>
              <w:top w:w="70" w:type="dxa"/>
              <w:start w:w="80" w:type="dxa"/>
              <w:bottom w:w="70" w:type="dxa"/>
              <w:end w:w="80" w:type="dxa"/>
            </w:tcMar>
          </w:tcPr>
          <w:p>
            <w:pPr>
              <w:spacing w:after="0"/>
            </w:pPr>
            <w:r/>
            <w:r>
              <w:rPr>
                <w:rFonts w:ascii="Arial" w:hAnsi="Arial"/>
                <w:b w:val="0"/>
                <w:sz w:val="15"/>
              </w:rPr>
              <w:t>Operations</w:t>
            </w:r>
          </w:p>
        </w:tc>
        <w:tc>
          <w:tcPr>
            <w:tcW w:type="dxa" w:w="4320"/>
            <w:vAlign w:val="center"/>
            <w:tcMar>
              <w:top w:w="70" w:type="dxa"/>
              <w:start w:w="80" w:type="dxa"/>
              <w:bottom w:w="70" w:type="dxa"/>
              <w:end w:w="80" w:type="dxa"/>
            </w:tcMar>
          </w:tcPr>
          <w:p>
            <w:pPr>
              <w:spacing w:after="0"/>
            </w:pPr>
            <w:r/>
            <w:r>
              <w:rPr>
                <w:rFonts w:ascii="Arial" w:hAnsi="Arial"/>
                <w:b w:val="0"/>
                <w:sz w:val="15"/>
              </w:rPr>
              <w:t>Provide telemetry platform, incident process and SRE standards.</w:t>
            </w:r>
          </w:p>
        </w:tc>
        <w:tc>
          <w:tcPr>
            <w:tcW w:type="dxa" w:w="4104"/>
            <w:vAlign w:val="center"/>
            <w:tcMar>
              <w:top w:w="70" w:type="dxa"/>
              <w:start w:w="80" w:type="dxa"/>
              <w:bottom w:w="70" w:type="dxa"/>
              <w:end w:w="80" w:type="dxa"/>
            </w:tcMar>
          </w:tcPr>
          <w:p>
            <w:pPr>
              <w:spacing w:after="0"/>
            </w:pPr>
            <w:r/>
            <w:r>
              <w:rPr>
                <w:rFonts w:ascii="Arial" w:hAnsi="Arial"/>
                <w:b w:val="0"/>
                <w:sz w:val="15"/>
              </w:rPr>
              <w:t>Operate product SLO, runbook, quality and consumer communication.</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5"/>
              </w:rPr>
              <w:t>FinOps</w:t>
            </w:r>
          </w:p>
        </w:tc>
        <w:tc>
          <w:tcPr>
            <w:tcW w:type="dxa" w:w="4320"/>
            <w:vAlign w:val="center"/>
            <w:tcMar>
              <w:top w:w="70" w:type="dxa"/>
              <w:start w:w="80" w:type="dxa"/>
              <w:bottom w:w="70" w:type="dxa"/>
              <w:end w:w="80" w:type="dxa"/>
            </w:tcMar>
            <w:shd w:fill="F8F9FA"/>
          </w:tcPr>
          <w:p>
            <w:pPr>
              <w:spacing w:after="0"/>
            </w:pPr>
            <w:r/>
            <w:r>
              <w:rPr>
                <w:rFonts w:ascii="Arial" w:hAnsi="Arial"/>
                <w:b w:val="0"/>
                <w:sz w:val="15"/>
              </w:rPr>
              <w:t>Provide billing data, allocation policy and optimization tooling.</w:t>
            </w:r>
          </w:p>
        </w:tc>
        <w:tc>
          <w:tcPr>
            <w:tcW w:type="dxa" w:w="4104"/>
            <w:vAlign w:val="center"/>
            <w:tcMar>
              <w:top w:w="70" w:type="dxa"/>
              <w:start w:w="80" w:type="dxa"/>
              <w:bottom w:w="70" w:type="dxa"/>
              <w:end w:w="80" w:type="dxa"/>
            </w:tcMar>
            <w:shd w:fill="F8F9FA"/>
          </w:tcPr>
          <w:p>
            <w:pPr>
              <w:spacing w:after="0"/>
            </w:pPr>
            <w:r/>
            <w:r>
              <w:rPr>
                <w:rFonts w:ascii="Arial" w:hAnsi="Arial"/>
                <w:b w:val="0"/>
                <w:sz w:val="15"/>
              </w:rPr>
              <w:t>Own product forecast, budget and remediation actions.</w:t>
            </w:r>
          </w:p>
        </w:tc>
      </w:tr>
    </w:tbl>
    <w:p>
      <w:pPr>
        <w:spacing w:after="20"/>
      </w:pPr>
    </w:p>
    <w:p>
      <w:pPr>
        <w:pStyle w:val="Heading2"/>
      </w:pPr>
      <w:r>
        <w:t>7.7 Strategic Google Cloud Service Profiles</w:t>
      </w:r>
    </w:p>
    <w:p>
      <w:r>
        <w:t>The profiles below summarize the role of services that form the strategic reference architecture. Detailed quotas, regional availability, VPC Service Controls support and current commercial terms must be validated during implementation because service capabilities evolve.</w:t>
      </w:r>
    </w:p>
    <w:p>
      <w:pPr>
        <w:pStyle w:val="Heading3"/>
      </w:pPr>
      <w:r>
        <w:t>7.7.1 BigQuery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Primary enterprise analytical warehouse, curated product store and SQL-serving layer.</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Serverless scale, separation of storage/compute, strong SQL ecosystem, fine-grained access, sharing and integration with Looker/Vertex AI.</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Poor table design and unrestricted scans can create cost/performance issues; procedural legacy logic may require redesign.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Partition and cluster by access pattern; separate workloads; govern reservations; use row/column controls; monitor INFORMATION_SCHEMA and audit logs.</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Self-managed warehouses, third-party cloud warehouses or Spark SQL; selected only where specific portability, engine or commercial requirements dominate.</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7.7.2 Cloud Storage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Durable landing, raw, quarantine, archive and unstructured-data foundation.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Global-scale object storage, lifecycle classes, integration and open-format support.</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Object semantics differ from file systems; many small objects and ungoverned buckets create cost and operational issues.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uniform bucket-level access, retention/lifecycle policy, naming/manifest standards, versioning where justified and private access.</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BigQuery-native storage for analytical tables; specialized file systems only for workload-specific needs.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7.7.3 BigLake and managed Iceberg capabilities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Governed lakehouse access to open-format data and cross-engine scenarios.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Centralized permissions and open-table interoperability while retaining data in object storage.</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Feature maturity, engine compatibility and transactional behavior must be validated for each workload.</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when multi-engine or open-format value is explicit; test performance, metadata operations, security and recovery.</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Native BigQuery tables for managed SQL analytics; direct bucket access is discouraged for broad consumption.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7.7.4 Pub/Sub</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Enterprise event transport and decoupling layer for cloud-native streams.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Managed scale, subscriptions, retention, replay and broad integration.</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Ordering, duplicates, schema evolution and downstream backpressure require explicit design.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Version events, use idempotent consumers, define retry/DLQ, monitor backlog and retain messages according to recovery need.</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Kafka may remain for existing ecosystem or protocol requirements; integration should be controlled.</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r>
        <w:br w:type="page"/>
      </w:r>
    </w:p>
    <w:p>
      <w:pPr>
        <w:pStyle w:val="Heading3"/>
      </w:pPr>
      <w:r>
        <w:t>7.7.5 Dataflow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Managed Apache Beam execution for streaming and complex parallel batch processing.</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Unified model, autoscaling, state/windowing and managed operations.</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Poorly designed keys, state or external calls can create hot keys, latency and cost.</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Beam patterns, bounded state, dead-letter paths, templates, resource metrics and load testing.</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BigQuery SQL/Dataform for ELT; Serverless Spark for existing Spark workloads.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7.7.6 Datastream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Serverless CDC from supported relational sources.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Low-latency change capture with reduced operational burden.</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Supported source/target combinations, schema changes and source-log retention require validation.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least-privilege source accounts, private connectivity where supported, backfill plan and periodic reconciliation.</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Debezium/Kafka or commercial CDC where source support or transformation requirements demand it.</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7.7.7 Dataform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Versioned BigQuery SQL transformation, dependency and assertion framework.</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Git-based development, compilable dependency graph and warehouse-centric workflow.</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Not a general-purpose cross-service orchestrator or streaming engine.</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standardized repositories, assertions, release configuration, service identities and CI validation.</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dbt or orchestrator SQL tasks where enterprise tooling standards dictate.</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7.7.8 Managed Service for Apache Airflow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Complex schedule and dependency orchestration across data services.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Managed Airflow ecosystem and DAG model.</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Environment sizing, dependency management, DAG quality and scheduler health require disciplined operations.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only for orchestration; keep transformations in target engines; enforce DAG standards and environment isolation.</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Workflows for simpler service orchestration; Dataform for SQL dependency execution.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r>
        <w:br w:type="page"/>
      </w:r>
    </w:p>
    <w:p>
      <w:pPr>
        <w:pStyle w:val="Heading3"/>
      </w:pPr>
      <w:r>
        <w:t>7.7.9 Knowledge Catalog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Enterprise metadata, discovery, glossary, lineage and data-product registration layer.</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Native asset discovery and governance integration across Google Cloud.</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External assets and custom lineage may require integration; metadata quality still depends on ownership.</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Automate registration, define aspect types, certify products and measure completeness.</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Third-party catalog where cross-cloud breadth or established enterprise investment outweighs native integration.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7.7.10 Sensitive Data Protection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Discovery, inspection and transformation support for sensitive information.</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Built-in detectors and integration with cloud data services.</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False positives/negatives require tuning; inspection does not itself enforce every access policy.</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sampling strategy, custom infoTypes, classification workflow and human review for critical classes.</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Third-party data-security platforms or custom detection for specialized patterns.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7.7.11 Vertex AI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Managed platform for model development, deployment, pipelines, registry, evaluation and generative AI.</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Integrated ML lifecycle and access to Google models/services.</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Model, region, networking, quota, safety and cost constraints vary by capability.</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Use dedicated projects/identities, approved data products, evaluations, model cards, endpoint controls and cost monitoring.</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Specialized external ML platforms where model ecosystem, sovereignty or portability requires.</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3"/>
      </w:pPr>
      <w:r>
        <w:t>7.7.12 Looker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Aspect</w:t>
            </w:r>
          </w:p>
        </w:tc>
        <w:tc>
          <w:tcPr>
            <w:tcW w:type="dxa" w:w="7560"/>
            <w:vAlign w:val="center"/>
            <w:tcMar>
              <w:top w:w="70" w:type="dxa"/>
              <w:start w:w="80" w:type="dxa"/>
              <w:bottom w:w="70" w:type="dxa"/>
              <w:end w:w="80" w:type="dxa"/>
            </w:tcMar>
            <w:shd w:fill="1A73E8"/>
          </w:tcPr>
          <w:p>
            <w:pPr>
              <w:spacing w:after="0"/>
            </w:pPr>
            <w:r/>
            <w:r>
              <w:rPr>
                <w:rFonts w:ascii="Arial" w:hAnsi="Arial"/>
                <w:b/>
                <w:color w:val="FFFFFF"/>
                <w:sz w:val="16"/>
              </w:rPr>
              <w:t>Architecture guidance</w:t>
            </w:r>
          </w:p>
        </w:tc>
      </w:tr>
      <w:tr>
        <w:tc>
          <w:tcPr>
            <w:tcW w:type="dxa" w:w="2376"/>
            <w:vAlign w:val="center"/>
            <w:tcMar>
              <w:top w:w="70" w:type="dxa"/>
              <w:start w:w="80" w:type="dxa"/>
              <w:bottom w:w="70" w:type="dxa"/>
              <w:end w:w="80" w:type="dxa"/>
            </w:tcMar>
          </w:tcPr>
          <w:p>
            <w:pPr>
              <w:spacing w:after="0"/>
            </w:pPr>
            <w:r/>
            <w:r>
              <w:rPr>
                <w:rFonts w:ascii="Arial" w:hAnsi="Arial"/>
                <w:b w:val="0"/>
                <w:sz w:val="15"/>
              </w:rPr>
              <w:t>Purpose and role</w:t>
            </w:r>
          </w:p>
        </w:tc>
        <w:tc>
          <w:tcPr>
            <w:tcW w:type="dxa" w:w="7560"/>
            <w:vAlign w:val="center"/>
            <w:tcMar>
              <w:top w:w="70" w:type="dxa"/>
              <w:start w:w="80" w:type="dxa"/>
              <w:bottom w:w="70" w:type="dxa"/>
              <w:end w:w="80" w:type="dxa"/>
            </w:tcMar>
          </w:tcPr>
          <w:p>
            <w:pPr>
              <w:spacing w:after="0"/>
            </w:pPr>
            <w:r/>
            <w:r>
              <w:rPr>
                <w:rFonts w:ascii="Arial" w:hAnsi="Arial"/>
                <w:b w:val="0"/>
                <w:sz w:val="15"/>
              </w:rPr>
              <w:t>Governed enterprise semantic layer, metrics and analytical application platform.</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Benefits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Reusable business definitions, access controls and governed exploration.</w:t>
            </w:r>
          </w:p>
        </w:tc>
      </w:tr>
      <w:tr>
        <w:tc>
          <w:tcPr>
            <w:tcW w:type="dxa" w:w="2376"/>
            <w:vAlign w:val="center"/>
            <w:tcMar>
              <w:top w:w="70" w:type="dxa"/>
              <w:start w:w="80" w:type="dxa"/>
              <w:bottom w:w="70" w:type="dxa"/>
              <w:end w:w="80" w:type="dxa"/>
            </w:tcMar>
          </w:tcPr>
          <w:p>
            <w:pPr>
              <w:spacing w:after="0"/>
            </w:pPr>
            <w:r/>
            <w:r>
              <w:rPr>
                <w:rFonts w:ascii="Arial" w:hAnsi="Arial"/>
                <w:b w:val="0"/>
                <w:sz w:val="15"/>
              </w:rPr>
              <w:t>Limitations</w:t>
            </w:r>
          </w:p>
        </w:tc>
        <w:tc>
          <w:tcPr>
            <w:tcW w:type="dxa" w:w="7560"/>
            <w:vAlign w:val="center"/>
            <w:tcMar>
              <w:top w:w="70" w:type="dxa"/>
              <w:start w:w="80" w:type="dxa"/>
              <w:bottom w:w="70" w:type="dxa"/>
              <w:end w:w="80" w:type="dxa"/>
            </w:tcMar>
          </w:tcPr>
          <w:p>
            <w:pPr>
              <w:spacing w:after="0"/>
            </w:pPr>
            <w:r/>
            <w:r>
              <w:rPr>
                <w:rFonts w:ascii="Arial" w:hAnsi="Arial"/>
                <w:b w:val="0"/>
                <w:sz w:val="15"/>
              </w:rPr>
              <w:t>Poor LookML design, uncontrolled content and query patterns can reduce performance and trust.</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Best practices, security and monitoring</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Central metric governance, content lifecycle, testing, caching strategy and product-aligned models.</w:t>
            </w:r>
          </w:p>
        </w:tc>
      </w:tr>
      <w:tr>
        <w:tc>
          <w:tcPr>
            <w:tcW w:type="dxa" w:w="2376"/>
            <w:vAlign w:val="center"/>
            <w:tcMar>
              <w:top w:w="70" w:type="dxa"/>
              <w:start w:w="80" w:type="dxa"/>
              <w:bottom w:w="70" w:type="dxa"/>
              <w:end w:w="80" w:type="dxa"/>
            </w:tcMar>
          </w:tcPr>
          <w:p>
            <w:pPr>
              <w:spacing w:after="0"/>
            </w:pPr>
            <w:r/>
            <w:r>
              <w:rPr>
                <w:rFonts w:ascii="Arial" w:hAnsi="Arial"/>
                <w:b w:val="0"/>
                <w:sz w:val="15"/>
              </w:rPr>
              <w:t>Alternatives and selection boundary</w:t>
            </w:r>
          </w:p>
        </w:tc>
        <w:tc>
          <w:tcPr>
            <w:tcW w:type="dxa" w:w="7560"/>
            <w:vAlign w:val="center"/>
            <w:tcMar>
              <w:top w:w="70" w:type="dxa"/>
              <w:start w:w="80" w:type="dxa"/>
              <w:bottom w:w="70" w:type="dxa"/>
              <w:end w:w="80" w:type="dxa"/>
            </w:tcMar>
          </w:tcPr>
          <w:p>
            <w:pPr>
              <w:spacing w:after="0"/>
            </w:pPr>
            <w:r/>
            <w:r>
              <w:rPr>
                <w:rFonts w:ascii="Arial" w:hAnsi="Arial"/>
                <w:b w:val="0"/>
                <w:sz w:val="15"/>
              </w:rPr>
              <w:t>Looker Studio for lightweight use; other BI products during controlled coexistence.</w:t>
            </w:r>
          </w:p>
        </w:tc>
      </w:tr>
      <w:tr>
        <w:tc>
          <w:tcPr>
            <w:tcW w:type="dxa" w:w="2376"/>
            <w:vAlign w:val="center"/>
            <w:tcMar>
              <w:top w:w="70" w:type="dxa"/>
              <w:start w:w="80" w:type="dxa"/>
              <w:bottom w:w="70" w:type="dxa"/>
              <w:end w:w="80" w:type="dxa"/>
            </w:tcMar>
            <w:shd w:fill="F8F9FA"/>
          </w:tcPr>
          <w:p>
            <w:pPr>
              <w:spacing w:after="0"/>
            </w:pPr>
            <w:r/>
            <w:r>
              <w:rPr>
                <w:rFonts w:ascii="Arial" w:hAnsi="Arial"/>
                <w:b w:val="0"/>
                <w:sz w:val="15"/>
              </w:rPr>
              <w:t>Cost focus</w:t>
            </w:r>
          </w:p>
        </w:tc>
        <w:tc>
          <w:tcPr>
            <w:tcW w:type="dxa" w:w="7560"/>
            <w:vAlign w:val="center"/>
            <w:tcMar>
              <w:top w:w="70" w:type="dxa"/>
              <w:start w:w="80" w:type="dxa"/>
              <w:bottom w:w="70" w:type="dxa"/>
              <w:end w:w="80" w:type="dxa"/>
            </w:tcMar>
            <w:shd w:fill="F8F9FA"/>
          </w:tcPr>
          <w:p>
            <w:pPr>
              <w:spacing w:after="0"/>
            </w:pPr>
            <w:r/>
            <w:r>
              <w:rPr>
                <w:rFonts w:ascii="Arial" w:hAnsi="Arial"/>
                <w:b w:val="0"/>
                <w:sz w:val="15"/>
              </w:rPr>
              <w:t>Measure storage, processing, throughput, runtime, network transfer, logs or licensed users according to the service; allocate to product and owner.</w:t>
            </w:r>
          </w:p>
        </w:tc>
      </w:tr>
    </w:tbl>
    <w:p>
      <w:pPr>
        <w:spacing w:after="20"/>
      </w:pPr>
    </w:p>
    <w:p>
      <w:pPr>
        <w:pStyle w:val="Heading2"/>
      </w:pPr>
      <w:r>
        <w:t>7.8 Reference Architecture Conformance</w:t>
      </w:r>
    </w:p>
    <w:p>
      <w:pPr>
        <w:pStyle w:val="ListBullet"/>
        <w:spacing w:after="40"/>
      </w:pPr>
      <w:r>
        <w:t>A solution may omit services that are not required; it may not add services without a clear capability and operating owner.</w:t>
      </w:r>
    </w:p>
    <w:p>
      <w:pPr>
        <w:pStyle w:val="ListBullet"/>
        <w:spacing w:after="40"/>
      </w:pPr>
      <w:r>
        <w:t>A solution must preserve the control intent even when an alternative service is approved.</w:t>
      </w:r>
    </w:p>
    <w:p>
      <w:pPr>
        <w:pStyle w:val="ListBullet"/>
        <w:spacing w:after="40"/>
      </w:pPr>
      <w:r>
        <w:t>Every implementation supplies a data-flow diagram, trust boundaries, region placement, IAM model, SLOs, failure modes and cost allocation.</w:t>
      </w:r>
    </w:p>
    <w:p>
      <w:pPr>
        <w:pStyle w:val="ListBullet"/>
        <w:spacing w:after="40"/>
      </w:pPr>
      <w:r>
        <w:t>Material deviations are documented through an ADR and time-bound exception where necessary.</w:t>
      </w:r>
    </w:p>
    <w:p>
      <w:pPr>
        <w:pStyle w:val="ListBullet"/>
        <w:spacing w:after="40"/>
      </w:pPr>
      <w:r>
        <w:t>Conformance is reassessed after material scale, classification, consumer, region or AI-use changes.</w:t>
      </w:r>
    </w:p>
    <w:p>
      <w:r>
        <w:br w:type="page"/>
      </w:r>
    </w:p>
    <w:p>
      <w:pPr>
        <w:pStyle w:val="Heading1"/>
      </w:pPr>
      <w:r>
        <w:t>8. Architecture Decision Records</w:t>
      </w:r>
    </w:p>
    <w:p>
      <w:pPr>
        <w:pStyle w:val="Lead"/>
      </w:pPr>
      <w:r>
        <w:t>Architecture Decision Records capture the durable decisions that shape the platform. Each decision states the problem, alternatives, trade-offs, risks, mitigation and review triggers so future teams can understand both the choice and its boundaries.</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Twenty baseline decisions; Explicit alternatives; Trade-offs and risks; Review triggers.</w:t>
            </w:r>
          </w:p>
        </w:tc>
      </w:tr>
    </w:tbl>
    <w:p>
      <w:pPr>
        <w:spacing w:after="20"/>
      </w:pPr>
    </w:p>
    <w:p>
      <w:pPr>
        <w:pStyle w:val="Heading2"/>
      </w:pPr>
      <w:r>
        <w:t>8.1 ADR-001 — Adopt a product-based enterprise data platform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Fragmented business-unit platforms duplicate capabilities, controls and operating effort while failing to provide a consistent consumer experience.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Fully centralized delivery team; B) Independent domain platforms; C) Central self-service platform with domain-owned products.</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Adopt a central platform product that supplies paved-road capabilities, combined with federated domain ownership of data meaning, quality, contracts and product SLOs.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The model preserves enterprise control and reuse without making the central team a permanent delivery bottleneck.</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Requires mature product management, delegated accountability and automated governance. Domains must fund product ownership rather than treating data as an engineering by-product.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Central platform may over-standardize; domains may ignore ownership; capability overlap may persist.</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Publish responsibility boundaries, measure reuse, create governance RACI, fund platform backlog and enforce exceptions through architecture review.</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if domain adoption stalls, central backlog exceeds agreed lead time, or major regulatory requirements require centralized ownership.</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8.2 ADR-002 — Use BigQuery as the primary analytical warehouse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The enterprise requires petabyte-scale SQL analytics, workload isolation, governed sharing and reduced infrastructure administration.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Expand legacy warehouse; B) Self-managed Spark/Hadoop SQL; C) Third-party cloud warehouse; D) BigQuery.</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BigQuery as the default curated analytical store and SQL-serving layer. Alternatives require workload-specific justification.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BigQuery aligns with serverless-first, separation of storage and compute, integrated governance, Looker and Vertex AI, and elastic global operations.</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Teams must learn BigQuery optimization and economics; some procedural or engine-specific workloads require redesign; portability is not cost-free.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Uncontrolled scans and concurrency increase cost; poor partition design reduces performance; legacy migration complexity is underestimated.</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SQL standards, partition and clustering review, reservations where justified, workload projects, cost controls, benchmarks and migration assessment.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for material engine gaps, sovereignty constraints, commercial change or sustained workload characteristics that favor another engine.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8.3 ADR-003 — Use Cloud Storage and BigLake for open-format lakehouse needs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Some workloads require immutable raw retention, unstructured content, archival and cross-engine access that a warehouse-only model does not address.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BigQuery-only; B) Direct bucket access; C) Cloud Storage with BigLake governance; D) Self-managed lakehouse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Cloud Storage for landing, raw and archive and BigLake-managed access for approved open-format or multi-engine workloads; use native BigQuery tables for managed analytical serving by default.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This balances open formats and storage economics with centralized access and governance.</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Two storage paradigms increase design choices; open-table compatibility and metadata behavior require testing.</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An uncontrolled data lake, duplicate truth, small-file problems and inconsistent security.</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Layer standards, product ownership, format decision criteria, compaction, managed access, catalog registration and lifecycle policy.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as managed Iceberg and BigLake capabilities evolve or when cross-engine demand changes materially.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8.4 ADR-004 — Use regional residency zones with controlled global discovery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A single global data location cannot satisfy all sovereignty, latency and recovery requirements.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One global multi-region; B) Independent regional platforms; C) Regional data zones with common global controls.</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Deploy data and processing in approved regional zones, with consistent organization policy, metadata standards and controlled product exchange.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The design supports residency and regional operations while avoiding divergent architectures.</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Cross-region product composition is more complex; duplicate reference data and recovery copies may be necessary.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Unauthorized transfers, inconsistent regional service availability and unclear ownership.</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Residency classification, region policy, transfer register, regional service validation, legal approval and monitored egress.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when laws, corporate structure, service regions or business-continuity targets change.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8.5 ADR-005 — Use Shared VPC and private service access patterns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Domain projects require consistent network control without central teams managing every workload resource.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Standalone VPC per project; B) Flat shared project; C) Shared VPC host with service projects and Private Service Connect.</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regional Shared VPC host projects, attached service projects, hierarchical firewall policies, Private Google Access and Private Service Connect where supported.</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Central networking control is separated from workload ownership and supports consistent connectivity, inspection and address management.</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Coordination between network and application teams is required; quotas and attachment models must be planned.</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The central network team becomes a bottleneck; transitive paths or DNS errors expose data or block services.</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Automated network modules, published connectivity products, flow logs, DNS standards and pre-approved patterns.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for major network topology, acquisition or multi-cloud integration changes.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8.6 ADR-006 — Use VPC Service Controls for restricted data perimeters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IAM alone does not sufficiently reduce data-exfiltration risk from supported managed services.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IAM only; B) Network controls only; C) VPC Service Controls plus IAM and egress governance.</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Place restricted-data projects and supported services in designed VPC Service Controls perimeters, using access levels, ingress and egress rules and staged rollout.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Service perimeters add a control against unintended movement of managed-service data outside approved boundaries.</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Integrations become more complex, and unsupported interfaces require alternative controls.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Production disruption, overly permissive egress, and false confidence where services are unsupported.</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Dry-run mode, interface inventory, automated tests, explicit egress rules, break-glass procedure and current support validation.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when services, integrations or classification change.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8.7 ADR-007 — Apply classification-based CMEK rather than universal CMEK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Key-control requirements differ by data sensitivity, regulation and customer commitments.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Google-managed encryption only; B) CMEK everywhere; C) Selective CMEK by classification and workload.</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Google-managed encryption for standard workloads and CMEK for restricted, regulated, contractually controlled or high-impact assets.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Selective CMEK provides required control without making key availability and administration a universal dependency.</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Classification must be accurate; mixed encryption patterns require policy automation and clear ownership.</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Key deletion or permission errors cause outage; inconsistent adoption; key-region mismatch.</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Central key hierarchy, separation of duties, rotation, service-agent tests, deletion protection, monitoring and recovery runbook.</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for regulatory, contractual or product changes and new service CMEK support.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8.8 ADR-008 — Use Pub/Sub as the default cloud-native event backbone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Producers and consumers require scalable asynchronous integration, replay and independent change.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Direct service calls; B) Self-managed Kafka; C) Managed Kafka; D) Pub/Sub.</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Pub/Sub for new Google Cloud-native event streams; retain or integrate Kafka where ecosystem, protocol or migration requirements justify it.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Pub/Sub reduces infrastructure operations and integrates with Dataflow and Google Cloud services.</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Kafka semantics and tooling do not map one-to-one; application teams must design idempotency and ordering consciously.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Schema drift, duplicates, backlog growth and retention insufficient for recovery.</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Event contracts, schema and version governance, dead-letter topics, replay tests, backlog alerts and capacity tests.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when protocol, transactional or ecosystem requirements cannot be met.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8.9 ADR-009 — Use Dataflow for complex streaming and parallel data processing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The enterprise needs stateful event-time processing, autoscaling and common engineering patterns for streams and complex batch.</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Custom consumers; B) Spark streaming; C) SQL-only processing; D) Dataflow and Apache Beam.</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Dataflow for stateful, high-throughput or complex streaming and for Beam-based parallel batch; use simpler direct delivery where transformation is minimal.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Managed Beam execution supports reusable code, windowing, state and operational scale.</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Beam expertise is required; poor key and state design can be costly; small simple workloads may be over-engineered.</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Hot keys, external-call bottlenecks, duplicate side effects and opaque cost.</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Template library, coding standards, load tests, bounded state, asynchronous I/O patterns, metrics and cost allocation.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when SQL, Spark or direct subscription patterns meet the workload more simply.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8.10 ADR-010 — Use Dataform for governed BigQuery ELT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SQL transformations need dependencies, version control, testing and repeatable release management.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Ad hoc SQL; B) Airflow SQL tasks; C) dbt; D) Dataform.</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Dataform as the default BigQuery SQL transformation framework, subject to enterprise tooling and feature validation.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It aligns transformations closely with BigQuery, supports versioned development and assertions, and avoids using orchestration as a transformation engine.</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Teams with existing dbt estates may require coexistence; cross-service orchestration remains separate.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Repository sprawl, weak testing and direct production changes.</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Repository templates, release configuration, CI compilation, assertions, protected branches and service-account boundaries.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if enterprise standardization on another compatible transformation framework creates greater value.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8.11 ADR-011 — Use Managed Service for Apache Airflow selectively for complex orchestration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Cross-service pipelines need scheduling, dependency management, backfill and operational visibility.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Custom scheduler; B) Workflows; C) Dataform scheduling; D) Managed Service for Apache Airflow.</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Managed Service for Apache Airflow for complex DAGs; use Workflows or native scheduling for simpler sequences and Dataform for SQL dependencies.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tiered orchestration approach prevents Airflow from becoming a universal execution engine.</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Multiple orchestration mechanisms require clear decision criteria and shared observability.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DAG bloat, embedded business logic, dependency conflicts and oversized environments.</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Thin-DAG standard, environment separation, dependency controls, DAG testing and workload-placement review.</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based on DAG portfolio complexity, service evolution and operating cost.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8.12 ADR-012 — Use Knowledge Catalog as the native governance and discovery layer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Users need searchable assets, common terminology, ownership, lineage and certification across platform products.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Wiki or spreadsheet; B) Third-party catalog; C) Knowledge Catalog; D) Hybrid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Knowledge Catalog for native Google Cloud asset governance and data-product registration, integrating enterprise catalog tooling when cross-platform scope requires it.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Native harvesting and integration reduce duplication for Google Cloud assets.</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External estates and custom metadata may require integration; a tool cannot replace stewardship.</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Incomplete metadata, duplicate glossaries and a catalog with low adoption.</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Mandatory product metadata, automated completeness checks, glossary governance, owner workflow and consumer-experience measures.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if cross-cloud catalog requirements or strategic enterprise tooling change.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8.13 ADR-013 — Adopt federated data mesh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A single central team cannot sustainably own business meaning and quality across all enterprise domains.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Central data team; B) Fully decentralized teams; C) Federated data mesh with self-service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Adopt domain-oriented data ownership, data as product, self-service platform and federated computational governance.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The model places accountability near business knowledge while retaining enterprise interoperability and control.</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Requires domain funding, product management and shared standards; organizational change is substantial.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Data mesh becomes uncontrolled project sprawl or a relabeling exercise without ownership.</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Domain criteria, product contract, platform boundary, governance RACI, maturity gates and measurable adoption.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if business structure or accountability model changes.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8.14 ADR-014 — Use Looker as the strategic governed semantic layer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Different BI tools and reports implement inconsistent KPI definitions and access logic.</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Definitions in each dashboard; B) BigQuery views only; C) Looker semantic model; D) Third-party semantic layer.</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Looker for enterprise governed metrics and semantic modeling while allowing approved consumption tools to access certified interfaces.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Central reusable semantics improve consistency, security and analytical productivity.</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LookML governance and model ownership are required; not every lightweight report needs a complex model.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Monolithic models, dashboard sprawl and query inefficiency.</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Domain-aligned models, KPI council, content lifecycle, testing, performance review and certified content.</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for enterprise BI strategy or semantic-layer capability changes.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8.15 ADR-015 — Use Vertex AI as the strategic managed AI platform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AI teams need governed experimentation, pipelines, registry, deployment, generative AI and monitoring without building separate infrastructure.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Self-managed ML stack; B) Third-party platform; C) Vertex AI; D) Workload-specific mixed platforms.</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Vertex AI for new governed machine-learning and generative-AI workloads; approve alternatives for model, sovereignty or ecosystem gaps.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It integrates managed ML lifecycle capabilities with Google Cloud data and security services.</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Capability availability, region, model terms and cost require workload-level review.</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Sensitive-data leakage, untested prompts or models, runaway token cost and vendor dependence.</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AI risk tiers, approved data products, dedicated identities, evaluations, guardrails, model cards, monitoring and budgets.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per major model release, risk-class change or service-capability change.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8.16 ADR-016 — Use Terraform and policy-as-code for platform provisioning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Manual configuration cannot deliver repeatable, reviewable and recoverable enterprise foundations.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Console and manual; B) legacy deployment tools; C) Terraform; D) custom API automation.</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Use Terraform modules, versioned state and policy-as-code as the standard for organization, projects and platform resources.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Terraform supports reusable modules, reviewable plans and broad ecosystem adoption.</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State security, provider upgrades and module lifecycle require disciplined ownership.</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State compromise, destructive plan, drift and module coupling.</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Protected remote state, separation of plan and apply, approvals, deletion protection, tests, version pinning and drift scans.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if alternative tooling materially improves enterprise outcomes.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8.17 ADR-017 — Use classification and service tier as primary control dimensions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Applying the strongest controls to every asset is costly, while weak uniform controls expose critical data.</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One control baseline; B) Team-defined controls; C) Classification multiplied by service-tier policy matrix.</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Assign every product a data classification and service tier; derive access, encryption, residency, logging, SLO and recovery requirements from the matrix.</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risk-based model creates proportional, explainable controls.</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Misclassification creates risk; the matrix must be maintained and automated.</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Teams choose lower tiers to reduce cost; inherited classifications are lost through transformation.</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Owner approval, automated propagation, governance sampling and escalation for inconsistent selections.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annually or after regulation or risk-model changes.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8.18 ADR-018 — Manage critical data products with SLOs and error budgets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Component uptime does not express consumer experience, and teams lack a rational balance between reliability and change.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Provider SLA only; B) ticket-based operations; C) product SLOs and error budgets.</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Define availability, freshness, quality and latency SLIs and SLOs for Tier 0 and Tier 1 data products and use error budgets in release and remediation decisions.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This focuses operations on user outcomes and makes reliability trade-offs explicit.</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Instrumentation and ownership require investment; product SLOs may expose dependencies outside platform control.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Vanity SLOs, incomplete measurement and ignored budget exhaustion.</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Standard SLO catalog, review cadence, dependency objectives, automated reporting and governance escalation.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SLOs quarterly and after significant consumer or architecture changes.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8.19 ADR-019 — Use showback before chargeback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The enterprise needs cost accountability, but early allocation rules and unit economics may be unstable.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Central absorption; B) immediate chargeback; C) showback followed by policy-based chargeback.</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Implement detailed showback first; introduce chargeback only after metadata coverage, allocation accuracy and governance are proven.</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Teams gain visibility and behavior signals without disputes undermining initial adoption.</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Central funding continues temporarily; cost incentives may be weaker before chargeback.</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Showback never matures; shared costs remain disputed.</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Set readiness criteria, allocation KPIs, executive sponsor and a staged chargeback roadmap.</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quarterly until chargeback readiness is achieved.</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2"/>
      </w:pPr>
      <w:r>
        <w:t>8.20 ADR-020 — Use tiered disaster-recovery patterns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Decision element</w:t>
            </w:r>
          </w:p>
        </w:tc>
        <w:tc>
          <w:tcPr>
            <w:tcW w:type="dxa" w:w="7704"/>
            <w:vAlign w:val="center"/>
            <w:tcMar>
              <w:top w:w="70" w:type="dxa"/>
              <w:start w:w="80" w:type="dxa"/>
              <w:bottom w:w="70" w:type="dxa"/>
              <w:end w:w="80" w:type="dxa"/>
            </w:tcMar>
            <w:shd w:fill="1A73E8"/>
          </w:tcPr>
          <w:p>
            <w:pPr>
              <w:spacing w:after="0"/>
            </w:pPr>
            <w:r/>
            <w:r>
              <w:rPr>
                <w:rFonts w:ascii="Arial" w:hAnsi="Arial"/>
                <w:b/>
                <w:color w:val="FFFFFF"/>
                <w:sz w:val="16"/>
              </w:rPr>
              <w:t>Record</w:t>
            </w:r>
          </w:p>
        </w:tc>
      </w:tr>
      <w:tr>
        <w:tc>
          <w:tcPr>
            <w:tcW w:type="dxa" w:w="2232"/>
            <w:vAlign w:val="center"/>
            <w:tcMar>
              <w:top w:w="70" w:type="dxa"/>
              <w:start w:w="80" w:type="dxa"/>
              <w:bottom w:w="70" w:type="dxa"/>
              <w:end w:w="80" w:type="dxa"/>
            </w:tcMar>
          </w:tcPr>
          <w:p>
            <w:pPr>
              <w:spacing w:after="0"/>
            </w:pPr>
            <w:r/>
            <w:r>
              <w:rPr>
                <w:rFonts w:ascii="Arial" w:hAnsi="Arial"/>
                <w:b w:val="0"/>
                <w:sz w:val="14"/>
              </w:rPr>
              <w:t>Status</w:t>
            </w:r>
          </w:p>
        </w:tc>
        <w:tc>
          <w:tcPr>
            <w:tcW w:type="dxa" w:w="7704"/>
            <w:vAlign w:val="center"/>
            <w:tcMar>
              <w:top w:w="70" w:type="dxa"/>
              <w:start w:w="80" w:type="dxa"/>
              <w:bottom w:w="70" w:type="dxa"/>
              <w:end w:w="80" w:type="dxa"/>
            </w:tcMar>
          </w:tcPr>
          <w:p>
            <w:pPr>
              <w:spacing w:after="0"/>
            </w:pPr>
            <w:r/>
            <w:r>
              <w:rPr>
                <w:rFonts w:ascii="Arial" w:hAnsi="Arial"/>
                <w:b w:val="0"/>
                <w:sz w:val="14"/>
              </w:rPr>
              <w:t>Proposed enterprise baseline; becomes accepted after Architecture Review Board approval.</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domain</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Enterprise 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Problem</w:t>
            </w:r>
          </w:p>
        </w:tc>
        <w:tc>
          <w:tcPr>
            <w:tcW w:type="dxa" w:w="7704"/>
            <w:vAlign w:val="center"/>
            <w:tcMar>
              <w:top w:w="70" w:type="dxa"/>
              <w:start w:w="80" w:type="dxa"/>
              <w:bottom w:w="70" w:type="dxa"/>
              <w:end w:w="80" w:type="dxa"/>
            </w:tcMar>
          </w:tcPr>
          <w:p>
            <w:pPr>
              <w:spacing w:after="0"/>
            </w:pPr>
            <w:r/>
            <w:r>
              <w:rPr>
                <w:rFonts w:ascii="Arial" w:hAnsi="Arial"/>
                <w:b w:val="0"/>
                <w:sz w:val="14"/>
              </w:rPr>
              <w:t>A single disaster-recovery pattern is either too costly for low-impact workloads or insufficient for critical workloads.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Alternatives considered</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 Uniform active-active; B) backup-only; C) tiered recovery based on impact.</w:t>
            </w:r>
          </w:p>
        </w:tc>
      </w:tr>
      <w:tr>
        <w:tc>
          <w:tcPr>
            <w:tcW w:type="dxa" w:w="2232"/>
            <w:vAlign w:val="center"/>
            <w:tcMar>
              <w:top w:w="70" w:type="dxa"/>
              <w:start w:w="80" w:type="dxa"/>
              <w:bottom w:w="70" w:type="dxa"/>
              <w:end w:w="80" w:type="dxa"/>
            </w:tcMar>
          </w:tcPr>
          <w:p>
            <w:pPr>
              <w:spacing w:after="0"/>
            </w:pPr>
            <w:r/>
            <w:r>
              <w:rPr>
                <w:rFonts w:ascii="Arial" w:hAnsi="Arial"/>
                <w:b w:val="0"/>
                <w:sz w:val="14"/>
              </w:rPr>
              <w:t>Decision</w:t>
            </w:r>
          </w:p>
        </w:tc>
        <w:tc>
          <w:tcPr>
            <w:tcW w:type="dxa" w:w="7704"/>
            <w:vAlign w:val="center"/>
            <w:tcMar>
              <w:top w:w="70" w:type="dxa"/>
              <w:start w:w="80" w:type="dxa"/>
              <w:bottom w:w="70" w:type="dxa"/>
              <w:end w:w="80" w:type="dxa"/>
            </w:tcMar>
          </w:tcPr>
          <w:p>
            <w:pPr>
              <w:spacing w:after="0"/>
            </w:pPr>
            <w:r/>
            <w:r>
              <w:rPr>
                <w:rFonts w:ascii="Arial" w:hAnsi="Arial"/>
                <w:b w:val="0"/>
                <w:sz w:val="14"/>
              </w:rPr>
              <w:t>Apply Tier 0 to Tier 3 recovery patterns with explicit RTO and RPO, service-specific mechanisms, infrastructure reconstruction and scheduled tests.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Rationale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The approach aligns recovery investment with business impact and service capability.</w:t>
            </w:r>
          </w:p>
        </w:tc>
      </w:tr>
      <w:tr>
        <w:tc>
          <w:tcPr>
            <w:tcW w:type="dxa" w:w="2232"/>
            <w:vAlign w:val="center"/>
            <w:tcMar>
              <w:top w:w="70" w:type="dxa"/>
              <w:start w:w="80" w:type="dxa"/>
              <w:bottom w:w="70" w:type="dxa"/>
              <w:end w:w="80" w:type="dxa"/>
            </w:tcMar>
          </w:tcPr>
          <w:p>
            <w:pPr>
              <w:spacing w:after="0"/>
            </w:pPr>
            <w:r/>
            <w:r>
              <w:rPr>
                <w:rFonts w:ascii="Arial" w:hAnsi="Arial"/>
                <w:b w:val="0"/>
                <w:sz w:val="14"/>
              </w:rPr>
              <w:t>Trade-offs</w:t>
            </w:r>
          </w:p>
        </w:tc>
        <w:tc>
          <w:tcPr>
            <w:tcW w:type="dxa" w:w="7704"/>
            <w:vAlign w:val="center"/>
            <w:tcMar>
              <w:top w:w="70" w:type="dxa"/>
              <w:start w:w="80" w:type="dxa"/>
              <w:bottom w:w="70" w:type="dxa"/>
              <w:end w:w="80" w:type="dxa"/>
            </w:tcMar>
          </w:tcPr>
          <w:p>
            <w:pPr>
              <w:spacing w:after="0"/>
            </w:pPr>
            <w:r/>
            <w:r>
              <w:rPr>
                <w:rFonts w:ascii="Arial" w:hAnsi="Arial"/>
                <w:b w:val="0"/>
                <w:sz w:val="14"/>
              </w:rPr>
              <w:t>Portfolio governance and dependency mapping are more complex; not every managed service fails over identically.</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Key risks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Paper compliance, hidden dependencies and untested regional assumptions.</w:t>
            </w:r>
          </w:p>
        </w:tc>
      </w:tr>
      <w:tr>
        <w:tc>
          <w:tcPr>
            <w:tcW w:type="dxa" w:w="2232"/>
            <w:vAlign w:val="center"/>
            <w:tcMar>
              <w:top w:w="70" w:type="dxa"/>
              <w:start w:w="80" w:type="dxa"/>
              <w:bottom w:w="70" w:type="dxa"/>
              <w:end w:w="80" w:type="dxa"/>
            </w:tcMar>
          </w:tcPr>
          <w:p>
            <w:pPr>
              <w:spacing w:after="0"/>
            </w:pPr>
            <w:r/>
            <w:r>
              <w:rPr>
                <w:rFonts w:ascii="Arial" w:hAnsi="Arial"/>
                <w:b w:val="0"/>
                <w:sz w:val="14"/>
              </w:rPr>
              <w:t>Mitigations</w:t>
            </w:r>
          </w:p>
        </w:tc>
        <w:tc>
          <w:tcPr>
            <w:tcW w:type="dxa" w:w="7704"/>
            <w:vAlign w:val="center"/>
            <w:tcMar>
              <w:top w:w="70" w:type="dxa"/>
              <w:start w:w="80" w:type="dxa"/>
              <w:bottom w:w="70" w:type="dxa"/>
              <w:end w:w="80" w:type="dxa"/>
            </w:tcMar>
          </w:tcPr>
          <w:p>
            <w:pPr>
              <w:spacing w:after="0"/>
            </w:pPr>
            <w:r/>
            <w:r>
              <w:rPr>
                <w:rFonts w:ascii="Arial" w:hAnsi="Arial"/>
                <w:b w:val="0"/>
                <w:sz w:val="14"/>
              </w:rPr>
              <w:t>Recovery architecture per product, exercise calendar, evidence, dependency tests and executive acceptance of residual risk.</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Implementation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Represent the decision in standards, reusable modules, design reviews, tests, operational procedures and the service catalog.</w:t>
            </w:r>
          </w:p>
        </w:tc>
      </w:tr>
      <w:tr>
        <w:tc>
          <w:tcPr>
            <w:tcW w:type="dxa" w:w="2232"/>
            <w:vAlign w:val="center"/>
            <w:tcMar>
              <w:top w:w="70" w:type="dxa"/>
              <w:start w:w="80" w:type="dxa"/>
              <w:bottom w:w="70" w:type="dxa"/>
              <w:end w:w="80" w:type="dxa"/>
            </w:tcMar>
          </w:tcPr>
          <w:p>
            <w:pPr>
              <w:spacing w:after="0"/>
            </w:pPr>
            <w:r/>
            <w:r>
              <w:rPr>
                <w:rFonts w:ascii="Arial" w:hAnsi="Arial"/>
                <w:b w:val="0"/>
                <w:sz w:val="14"/>
              </w:rPr>
              <w:t>Cost implications</w:t>
            </w:r>
          </w:p>
        </w:tc>
        <w:tc>
          <w:tcPr>
            <w:tcW w:type="dxa" w:w="7704"/>
            <w:vAlign w:val="center"/>
            <w:tcMar>
              <w:top w:w="70" w:type="dxa"/>
              <w:start w:w="80" w:type="dxa"/>
              <w:bottom w:w="70" w:type="dxa"/>
              <w:end w:w="80" w:type="dxa"/>
            </w:tcMar>
          </w:tcPr>
          <w:p>
            <w:pPr>
              <w:spacing w:after="0"/>
            </w:pPr>
            <w:r/>
            <w:r>
              <w:rPr>
                <w:rFonts w:ascii="Arial" w:hAnsi="Arial"/>
                <w:b w:val="0"/>
                <w:sz w:val="14"/>
              </w:rPr>
              <w:t>Include both consumption cost and operational effort in business cases and product forecasts.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Security implications</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Assess threat model, identity, classification, network path, logging and evidence before production.</w:t>
            </w:r>
          </w:p>
        </w:tc>
      </w:tr>
      <w:tr>
        <w:tc>
          <w:tcPr>
            <w:tcW w:type="dxa" w:w="2232"/>
            <w:vAlign w:val="center"/>
            <w:tcMar>
              <w:top w:w="70" w:type="dxa"/>
              <w:start w:w="80" w:type="dxa"/>
              <w:bottom w:w="70" w:type="dxa"/>
              <w:end w:w="80" w:type="dxa"/>
            </w:tcMar>
          </w:tcPr>
          <w:p>
            <w:pPr>
              <w:spacing w:after="0"/>
            </w:pPr>
            <w:r/>
            <w:r>
              <w:rPr>
                <w:rFonts w:ascii="Arial" w:hAnsi="Arial"/>
                <w:b w:val="0"/>
                <w:sz w:val="14"/>
              </w:rPr>
              <w:t>Review trigger</w:t>
            </w:r>
          </w:p>
        </w:tc>
        <w:tc>
          <w:tcPr>
            <w:tcW w:type="dxa" w:w="7704"/>
            <w:vAlign w:val="center"/>
            <w:tcMar>
              <w:top w:w="70" w:type="dxa"/>
              <w:start w:w="80" w:type="dxa"/>
              <w:bottom w:w="70" w:type="dxa"/>
              <w:end w:w="80" w:type="dxa"/>
            </w:tcMar>
          </w:tcPr>
          <w:p>
            <w:pPr>
              <w:spacing w:after="0"/>
            </w:pPr>
            <w:r/>
            <w:r>
              <w:rPr>
                <w:rFonts w:ascii="Arial" w:hAnsi="Arial"/>
                <w:b w:val="0"/>
                <w:sz w:val="14"/>
              </w:rPr>
              <w:t>Review annually, after recovery tests, incidents or service-topology changes.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Review cadence</w:t>
            </w:r>
          </w:p>
        </w:tc>
        <w:tc>
          <w:tcPr>
            <w:tcW w:type="dxa" w:w="7704"/>
            <w:vAlign w:val="center"/>
            <w:tcMar>
              <w:top w:w="70" w:type="dxa"/>
              <w:start w:w="80" w:type="dxa"/>
              <w:bottom w:w="70" w:type="dxa"/>
              <w:end w:w="80" w:type="dxa"/>
            </w:tcMar>
            <w:shd w:fill="F8F9FA"/>
          </w:tcPr>
          <w:p>
            <w:pPr>
              <w:spacing w:after="0"/>
            </w:pPr>
            <w:r/>
            <w:r>
              <w:rPr>
                <w:rFonts w:ascii="Arial" w:hAnsi="Arial"/>
                <w:b w:val="0"/>
                <w:sz w:val="14"/>
              </w:rPr>
              <w:t>At least annually and after material incident, regulation change, service retirement or strategy change.</w:t>
            </w:r>
          </w:p>
        </w:tc>
      </w:tr>
    </w:tbl>
    <w:p>
      <w:pPr>
        <w:spacing w:after="20"/>
      </w:pPr>
    </w:p>
    <w:p>
      <w:r>
        <w:t>Acceptance criterion: a representative implementation demonstrates this decision under normal operation, expected peak load, a defined failure scenario, and the applicable security and operational controls.</w:t>
      </w:r>
    </w:p>
    <w:p>
      <w:r>
        <w:br w:type="page"/>
      </w:r>
    </w:p>
    <w:p>
      <w:pPr>
        <w:pStyle w:val="Heading1"/>
      </w:pPr>
      <w:r>
        <w:t>9. Technology Selection Matrix</w:t>
      </w:r>
    </w:p>
    <w:p>
      <w:pPr>
        <w:pStyle w:val="Lead"/>
      </w:pPr>
      <w:r>
        <w:t>The technology matrix converts architecture principles into practical defaults. A default is not a mandatory product for every workload; it is the starting point that reduces repeated evaluation. Alternatives require evidence that they better satisfy documented requirements and that their operating model is funded.</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Strategic defaults; Selection boundaries; Alternatives; Exception criteria.</w:t>
            </w:r>
          </w:p>
        </w:tc>
      </w:tr>
    </w:tbl>
    <w:p>
      <w:pPr>
        <w:spacing w:after="20"/>
      </w:pP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Capability</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Default technology</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Selection rationale</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Alternatives</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Exception criterion</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Mandatory design concerns</w:t>
            </w:r>
          </w:p>
        </w:tc>
      </w:tr>
      <w:tr>
        <w:tc>
          <w:tcPr>
            <w:tcW w:type="dxa" w:w="1584"/>
            <w:vAlign w:val="center"/>
            <w:tcMar>
              <w:top w:w="70" w:type="dxa"/>
              <w:start w:w="80" w:type="dxa"/>
              <w:bottom w:w="70" w:type="dxa"/>
              <w:end w:w="80" w:type="dxa"/>
            </w:tcMar>
          </w:tcPr>
          <w:p>
            <w:pPr>
              <w:spacing w:after="0"/>
            </w:pPr>
            <w:r/>
            <w:r>
              <w:rPr>
                <w:rFonts w:ascii="Arial" w:hAnsi="Arial"/>
                <w:b w:val="0"/>
                <w:sz w:val="13"/>
              </w:rPr>
              <w:t>Analytical warehouse</w:t>
            </w:r>
          </w:p>
        </w:tc>
        <w:tc>
          <w:tcPr>
            <w:tcW w:type="dxa" w:w="1800"/>
            <w:vAlign w:val="center"/>
            <w:tcMar>
              <w:top w:w="70" w:type="dxa"/>
              <w:start w:w="80" w:type="dxa"/>
              <w:bottom w:w="70" w:type="dxa"/>
              <w:end w:w="80" w:type="dxa"/>
            </w:tcMar>
          </w:tcPr>
          <w:p>
            <w:pPr>
              <w:spacing w:after="0"/>
            </w:pPr>
            <w:r/>
            <w:r>
              <w:rPr>
                <w:rFonts w:ascii="Arial" w:hAnsi="Arial"/>
                <w:b w:val="0"/>
                <w:sz w:val="13"/>
              </w:rPr>
              <w:t>BigQuery</w:t>
            </w:r>
          </w:p>
        </w:tc>
        <w:tc>
          <w:tcPr>
            <w:tcW w:type="dxa" w:w="2376"/>
            <w:vAlign w:val="center"/>
            <w:tcMar>
              <w:top w:w="70" w:type="dxa"/>
              <w:start w:w="80" w:type="dxa"/>
              <w:bottom w:w="70" w:type="dxa"/>
              <w:end w:w="80" w:type="dxa"/>
            </w:tcMar>
          </w:tcPr>
          <w:p>
            <w:pPr>
              <w:spacing w:after="0"/>
            </w:pPr>
            <w:r/>
            <w:r>
              <w:rPr>
                <w:rFonts w:ascii="Arial" w:hAnsi="Arial"/>
                <w:b w:val="0"/>
                <w:sz w:val="13"/>
              </w:rPr>
              <w:t>Petabyte-scale governed SQL analytics, curated products and BI serving.</w:t>
            </w:r>
          </w:p>
        </w:tc>
        <w:tc>
          <w:tcPr>
            <w:tcW w:type="dxa" w:w="1728"/>
            <w:vAlign w:val="center"/>
            <w:tcMar>
              <w:top w:w="70" w:type="dxa"/>
              <w:start w:w="80" w:type="dxa"/>
              <w:bottom w:w="70" w:type="dxa"/>
              <w:end w:w="80" w:type="dxa"/>
            </w:tcMar>
          </w:tcPr>
          <w:p>
            <w:pPr>
              <w:spacing w:after="0"/>
            </w:pPr>
            <w:r/>
            <w:r>
              <w:rPr>
                <w:rFonts w:ascii="Arial" w:hAnsi="Arial"/>
                <w:b w:val="0"/>
                <w:sz w:val="13"/>
              </w:rPr>
              <w:t>Existing warehouse; third-party cloud warehouse; Spark SQL.</w:t>
            </w:r>
          </w:p>
        </w:tc>
        <w:tc>
          <w:tcPr>
            <w:tcW w:type="dxa" w:w="2232"/>
            <w:vAlign w:val="center"/>
            <w:tcMar>
              <w:top w:w="70" w:type="dxa"/>
              <w:start w:w="80" w:type="dxa"/>
              <w:bottom w:w="70" w:type="dxa"/>
              <w:end w:w="80" w:type="dxa"/>
            </w:tcMar>
          </w:tcPr>
          <w:p>
            <w:pPr>
              <w:spacing w:after="0"/>
            </w:pPr>
            <w:r/>
            <w:r>
              <w:rPr>
                <w:rFonts w:ascii="Arial" w:hAnsi="Arial"/>
                <w:b w:val="0"/>
                <w:sz w:val="13"/>
              </w:rPr>
              <w:t>Choose an alternative for unsupported features, sovereignty, contractual or proven economics/performance requirements.</w:t>
            </w:r>
          </w:p>
        </w:tc>
        <w:tc>
          <w:tcPr>
            <w:tcW w:type="dxa" w:w="1800"/>
            <w:vAlign w:val="center"/>
            <w:tcMar>
              <w:top w:w="70" w:type="dxa"/>
              <w:start w:w="80" w:type="dxa"/>
              <w:bottom w:w="70" w:type="dxa"/>
              <w:end w:w="80" w:type="dxa"/>
            </w:tcMar>
          </w:tcPr>
          <w:p>
            <w:pPr>
              <w:spacing w:after="0"/>
            </w:pPr>
            <w:r/>
            <w:r>
              <w:rPr>
                <w:rFonts w:ascii="Arial" w:hAnsi="Arial"/>
                <w:b w:val="0"/>
                <w:sz w:val="13"/>
              </w:rPr>
              <w:t>Partitioning, reservations, IAM, data quality, cost attribution.</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Raw object storage</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Cloud Storage</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Landing, immutable raw, quarantine, archive and documents.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BigQuery native storage; on-premises object store.</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Alternative only where source locality, protocol or legal requirement prevents use.</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Uniform access, retention, lifecycle, naming, event controls.</w:t>
            </w:r>
          </w:p>
        </w:tc>
      </w:tr>
      <w:tr>
        <w:tc>
          <w:tcPr>
            <w:tcW w:type="dxa" w:w="1584"/>
            <w:vAlign w:val="center"/>
            <w:tcMar>
              <w:top w:w="70" w:type="dxa"/>
              <w:start w:w="80" w:type="dxa"/>
              <w:bottom w:w="70" w:type="dxa"/>
              <w:end w:w="80" w:type="dxa"/>
            </w:tcMar>
          </w:tcPr>
          <w:p>
            <w:pPr>
              <w:spacing w:after="0"/>
            </w:pPr>
            <w:r/>
            <w:r>
              <w:rPr>
                <w:rFonts w:ascii="Arial" w:hAnsi="Arial"/>
                <w:b w:val="0"/>
                <w:sz w:val="13"/>
              </w:rPr>
              <w:t>Open lakehouse</w:t>
            </w:r>
          </w:p>
        </w:tc>
        <w:tc>
          <w:tcPr>
            <w:tcW w:type="dxa" w:w="1800"/>
            <w:vAlign w:val="center"/>
            <w:tcMar>
              <w:top w:w="70" w:type="dxa"/>
              <w:start w:w="80" w:type="dxa"/>
              <w:bottom w:w="70" w:type="dxa"/>
              <w:end w:w="80" w:type="dxa"/>
            </w:tcMar>
          </w:tcPr>
          <w:p>
            <w:pPr>
              <w:spacing w:after="0"/>
            </w:pPr>
            <w:r/>
            <w:r>
              <w:rPr>
                <w:rFonts w:ascii="Arial" w:hAnsi="Arial"/>
                <w:b w:val="0"/>
                <w:sz w:val="13"/>
              </w:rPr>
              <w:t>BigLake with supported open-table capabilities</w:t>
            </w:r>
          </w:p>
        </w:tc>
        <w:tc>
          <w:tcPr>
            <w:tcW w:type="dxa" w:w="2376"/>
            <w:vAlign w:val="center"/>
            <w:tcMar>
              <w:top w:w="70" w:type="dxa"/>
              <w:start w:w="80" w:type="dxa"/>
              <w:bottom w:w="70" w:type="dxa"/>
              <w:end w:w="80" w:type="dxa"/>
            </w:tcMar>
          </w:tcPr>
          <w:p>
            <w:pPr>
              <w:spacing w:after="0"/>
            </w:pPr>
            <w:r/>
            <w:r>
              <w:rPr>
                <w:rFonts w:ascii="Arial" w:hAnsi="Arial"/>
                <w:b w:val="0"/>
                <w:sz w:val="13"/>
              </w:rPr>
              <w:t>Cross-engine, open-format and managed-access use cases.</w:t>
            </w:r>
          </w:p>
        </w:tc>
        <w:tc>
          <w:tcPr>
            <w:tcW w:type="dxa" w:w="1728"/>
            <w:vAlign w:val="center"/>
            <w:tcMar>
              <w:top w:w="70" w:type="dxa"/>
              <w:start w:w="80" w:type="dxa"/>
              <w:bottom w:w="70" w:type="dxa"/>
              <w:end w:w="80" w:type="dxa"/>
            </w:tcMar>
          </w:tcPr>
          <w:p>
            <w:pPr>
              <w:spacing w:after="0"/>
            </w:pPr>
            <w:r/>
            <w:r>
              <w:rPr>
                <w:rFonts w:ascii="Arial" w:hAnsi="Arial"/>
                <w:b w:val="0"/>
                <w:sz w:val="13"/>
              </w:rPr>
              <w:t>Direct buckets; self-managed Iceberg; native BigQuery.</w:t>
            </w:r>
          </w:p>
        </w:tc>
        <w:tc>
          <w:tcPr>
            <w:tcW w:type="dxa" w:w="2232"/>
            <w:vAlign w:val="center"/>
            <w:tcMar>
              <w:top w:w="70" w:type="dxa"/>
              <w:start w:w="80" w:type="dxa"/>
              <w:bottom w:w="70" w:type="dxa"/>
              <w:end w:w="80" w:type="dxa"/>
            </w:tcMar>
          </w:tcPr>
          <w:p>
            <w:pPr>
              <w:spacing w:after="0"/>
            </w:pPr>
            <w:r/>
            <w:r>
              <w:rPr>
                <w:rFonts w:ascii="Arial" w:hAnsi="Arial"/>
                <w:b w:val="0"/>
                <w:sz w:val="13"/>
              </w:rPr>
              <w:t>Use only when open/multi-engine value exceeds complexity.</w:t>
            </w:r>
          </w:p>
        </w:tc>
        <w:tc>
          <w:tcPr>
            <w:tcW w:type="dxa" w:w="1800"/>
            <w:vAlign w:val="center"/>
            <w:tcMar>
              <w:top w:w="70" w:type="dxa"/>
              <w:start w:w="80" w:type="dxa"/>
              <w:bottom w:w="70" w:type="dxa"/>
              <w:end w:w="80" w:type="dxa"/>
            </w:tcMar>
          </w:tcPr>
          <w:p>
            <w:pPr>
              <w:spacing w:after="0"/>
            </w:pPr>
            <w:r/>
            <w:r>
              <w:rPr>
                <w:rFonts w:ascii="Arial" w:hAnsi="Arial"/>
                <w:b w:val="0"/>
                <w:sz w:val="13"/>
              </w:rPr>
              <w:t>Catalog, compaction, metadata, access and recovery testing.</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Event transport</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Pub/Sub</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New cloud-native asynchronous events and decoupled streams.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Kafka; direct API; managed Kafka.</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Kafka for ecosystem/protocol requirements or controlled migration.</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Schemas, idempotency, retention, DLQ, backlog SLO.</w:t>
            </w:r>
          </w:p>
        </w:tc>
      </w:tr>
      <w:tr>
        <w:tc>
          <w:tcPr>
            <w:tcW w:type="dxa" w:w="1584"/>
            <w:vAlign w:val="center"/>
            <w:tcMar>
              <w:top w:w="70" w:type="dxa"/>
              <w:start w:w="80" w:type="dxa"/>
              <w:bottom w:w="70" w:type="dxa"/>
              <w:end w:w="80" w:type="dxa"/>
            </w:tcMar>
          </w:tcPr>
          <w:p>
            <w:pPr>
              <w:spacing w:after="0"/>
            </w:pPr>
            <w:r/>
            <w:r>
              <w:rPr>
                <w:rFonts w:ascii="Arial" w:hAnsi="Arial"/>
                <w:b w:val="0"/>
                <w:sz w:val="13"/>
              </w:rPr>
              <w:t>CDC</w:t>
            </w:r>
          </w:p>
        </w:tc>
        <w:tc>
          <w:tcPr>
            <w:tcW w:type="dxa" w:w="1800"/>
            <w:vAlign w:val="center"/>
            <w:tcMar>
              <w:top w:w="70" w:type="dxa"/>
              <w:start w:w="80" w:type="dxa"/>
              <w:bottom w:w="70" w:type="dxa"/>
              <w:end w:w="80" w:type="dxa"/>
            </w:tcMar>
          </w:tcPr>
          <w:p>
            <w:pPr>
              <w:spacing w:after="0"/>
            </w:pPr>
            <w:r/>
            <w:r>
              <w:rPr>
                <w:rFonts w:ascii="Arial" w:hAnsi="Arial"/>
                <w:b w:val="0"/>
                <w:sz w:val="13"/>
              </w:rPr>
              <w:t>Datastream</w:t>
            </w:r>
          </w:p>
        </w:tc>
        <w:tc>
          <w:tcPr>
            <w:tcW w:type="dxa" w:w="2376"/>
            <w:vAlign w:val="center"/>
            <w:tcMar>
              <w:top w:w="70" w:type="dxa"/>
              <w:start w:w="80" w:type="dxa"/>
              <w:bottom w:w="70" w:type="dxa"/>
              <w:end w:w="80" w:type="dxa"/>
            </w:tcMar>
          </w:tcPr>
          <w:p>
            <w:pPr>
              <w:spacing w:after="0"/>
            </w:pPr>
            <w:r/>
            <w:r>
              <w:rPr>
                <w:rFonts w:ascii="Arial" w:hAnsi="Arial"/>
                <w:b w:val="0"/>
                <w:sz w:val="13"/>
              </w:rPr>
              <w:t>Supported relational change capture with low operational burden.</w:t>
            </w:r>
          </w:p>
        </w:tc>
        <w:tc>
          <w:tcPr>
            <w:tcW w:type="dxa" w:w="1728"/>
            <w:vAlign w:val="center"/>
            <w:tcMar>
              <w:top w:w="70" w:type="dxa"/>
              <w:start w:w="80" w:type="dxa"/>
              <w:bottom w:w="70" w:type="dxa"/>
              <w:end w:w="80" w:type="dxa"/>
            </w:tcMar>
          </w:tcPr>
          <w:p>
            <w:pPr>
              <w:spacing w:after="0"/>
            </w:pPr>
            <w:r/>
            <w:r>
              <w:rPr>
                <w:rFonts w:ascii="Arial" w:hAnsi="Arial"/>
                <w:b w:val="0"/>
                <w:sz w:val="13"/>
              </w:rPr>
              <w:t>Debezium/Kafka; commercial CDC; batch extract.</w:t>
            </w:r>
          </w:p>
        </w:tc>
        <w:tc>
          <w:tcPr>
            <w:tcW w:type="dxa" w:w="2232"/>
            <w:vAlign w:val="center"/>
            <w:tcMar>
              <w:top w:w="70" w:type="dxa"/>
              <w:start w:w="80" w:type="dxa"/>
              <w:bottom w:w="70" w:type="dxa"/>
              <w:end w:w="80" w:type="dxa"/>
            </w:tcMar>
          </w:tcPr>
          <w:p>
            <w:pPr>
              <w:spacing w:after="0"/>
            </w:pPr>
            <w:r/>
            <w:r>
              <w:rPr>
                <w:rFonts w:ascii="Arial" w:hAnsi="Arial"/>
                <w:b w:val="0"/>
                <w:sz w:val="13"/>
              </w:rPr>
              <w:t>Alternative for unsupported sources, transformations or enterprise CDC standard.</w:t>
            </w:r>
          </w:p>
        </w:tc>
        <w:tc>
          <w:tcPr>
            <w:tcW w:type="dxa" w:w="1800"/>
            <w:vAlign w:val="center"/>
            <w:tcMar>
              <w:top w:w="70" w:type="dxa"/>
              <w:start w:w="80" w:type="dxa"/>
              <w:bottom w:w="70" w:type="dxa"/>
              <w:end w:w="80" w:type="dxa"/>
            </w:tcMar>
          </w:tcPr>
          <w:p>
            <w:pPr>
              <w:spacing w:after="0"/>
            </w:pPr>
            <w:r/>
            <w:r>
              <w:rPr>
                <w:rFonts w:ascii="Arial" w:hAnsi="Arial"/>
                <w:b w:val="0"/>
                <w:sz w:val="13"/>
              </w:rPr>
              <w:t>Source-log retention, private connectivity, backfill and reconciliation.</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Streaming processing</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Dataflow and Apache Beam</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Stateful event-time processing, enrichment and complex streams.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Spark streaming; custom services; SQL.</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Alternative for existing Spark skill/estate or simple direct delivery.</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Hot-key tests, state bounds, replay, templates and cost.</w:t>
            </w:r>
          </w:p>
        </w:tc>
      </w:tr>
      <w:tr>
        <w:tc>
          <w:tcPr>
            <w:tcW w:type="dxa" w:w="1584"/>
            <w:vAlign w:val="center"/>
            <w:tcMar>
              <w:top w:w="70" w:type="dxa"/>
              <w:start w:w="80" w:type="dxa"/>
              <w:bottom w:w="70" w:type="dxa"/>
              <w:end w:w="80" w:type="dxa"/>
            </w:tcMar>
          </w:tcPr>
          <w:p>
            <w:pPr>
              <w:spacing w:after="0"/>
            </w:pPr>
            <w:r/>
            <w:r>
              <w:rPr>
                <w:rFonts w:ascii="Arial" w:hAnsi="Arial"/>
                <w:b w:val="0"/>
                <w:sz w:val="13"/>
              </w:rPr>
              <w:t>Parallel batch</w:t>
            </w:r>
          </w:p>
        </w:tc>
        <w:tc>
          <w:tcPr>
            <w:tcW w:type="dxa" w:w="1800"/>
            <w:vAlign w:val="center"/>
            <w:tcMar>
              <w:top w:w="70" w:type="dxa"/>
              <w:start w:w="80" w:type="dxa"/>
              <w:bottom w:w="70" w:type="dxa"/>
              <w:end w:w="80" w:type="dxa"/>
            </w:tcMar>
          </w:tcPr>
          <w:p>
            <w:pPr>
              <w:spacing w:after="0"/>
            </w:pPr>
            <w:r/>
            <w:r>
              <w:rPr>
                <w:rFonts w:ascii="Arial" w:hAnsi="Arial"/>
                <w:b w:val="0"/>
                <w:sz w:val="13"/>
              </w:rPr>
              <w:t>Dataflow or Serverless for Apache Spark</w:t>
            </w:r>
          </w:p>
        </w:tc>
        <w:tc>
          <w:tcPr>
            <w:tcW w:type="dxa" w:w="2376"/>
            <w:vAlign w:val="center"/>
            <w:tcMar>
              <w:top w:w="70" w:type="dxa"/>
              <w:start w:w="80" w:type="dxa"/>
              <w:bottom w:w="70" w:type="dxa"/>
              <w:end w:w="80" w:type="dxa"/>
            </w:tcMar>
          </w:tcPr>
          <w:p>
            <w:pPr>
              <w:spacing w:after="0"/>
            </w:pPr>
            <w:r/>
            <w:r>
              <w:rPr>
                <w:rFonts w:ascii="Arial" w:hAnsi="Arial"/>
                <w:b w:val="0"/>
                <w:sz w:val="13"/>
              </w:rPr>
              <w:t>Complex parsing or distributed processing.</w:t>
            </w:r>
          </w:p>
        </w:tc>
        <w:tc>
          <w:tcPr>
            <w:tcW w:type="dxa" w:w="1728"/>
            <w:vAlign w:val="center"/>
            <w:tcMar>
              <w:top w:w="70" w:type="dxa"/>
              <w:start w:w="80" w:type="dxa"/>
              <w:bottom w:w="70" w:type="dxa"/>
              <w:end w:w="80" w:type="dxa"/>
            </w:tcMar>
          </w:tcPr>
          <w:p>
            <w:pPr>
              <w:spacing w:after="0"/>
            </w:pPr>
            <w:r/>
            <w:r>
              <w:rPr>
                <w:rFonts w:ascii="Arial" w:hAnsi="Arial"/>
                <w:b w:val="0"/>
                <w:sz w:val="13"/>
              </w:rPr>
              <w:t>BigQuery SQL; Dataproc cluster; custom compute.</w:t>
            </w:r>
          </w:p>
        </w:tc>
        <w:tc>
          <w:tcPr>
            <w:tcW w:type="dxa" w:w="2232"/>
            <w:vAlign w:val="center"/>
            <w:tcMar>
              <w:top w:w="70" w:type="dxa"/>
              <w:start w:w="80" w:type="dxa"/>
              <w:bottom w:w="70" w:type="dxa"/>
              <w:end w:w="80" w:type="dxa"/>
            </w:tcMar>
          </w:tcPr>
          <w:p>
            <w:pPr>
              <w:spacing w:after="0"/>
            </w:pPr>
            <w:r/>
            <w:r>
              <w:rPr>
                <w:rFonts w:ascii="Arial" w:hAnsi="Arial"/>
                <w:b w:val="0"/>
                <w:sz w:val="13"/>
              </w:rPr>
              <w:t>Use SQL for warehouse-native transformation; Spark for established libraries.</w:t>
            </w:r>
          </w:p>
        </w:tc>
        <w:tc>
          <w:tcPr>
            <w:tcW w:type="dxa" w:w="1800"/>
            <w:vAlign w:val="center"/>
            <w:tcMar>
              <w:top w:w="70" w:type="dxa"/>
              <w:start w:w="80" w:type="dxa"/>
              <w:bottom w:w="70" w:type="dxa"/>
              <w:end w:w="80" w:type="dxa"/>
            </w:tcMar>
          </w:tcPr>
          <w:p>
            <w:pPr>
              <w:spacing w:after="0"/>
            </w:pPr>
            <w:r/>
            <w:r>
              <w:rPr>
                <w:rFonts w:ascii="Arial" w:hAnsi="Arial"/>
                <w:b w:val="0"/>
                <w:sz w:val="13"/>
              </w:rPr>
              <w:t>Autoscaling, ephemeral compute, output idempotency.</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BigQuery ELT</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Dataform</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Versioned SQL dependencies, assertions and releases.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dbt; Airflow SQL; scripts.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Alternative if enterprise standard/tooling has stronger lifecycle integration.</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Repository standard, CI compile, assertions and service identity.</w:t>
            </w:r>
          </w:p>
        </w:tc>
      </w:tr>
      <w:tr>
        <w:tc>
          <w:tcPr>
            <w:tcW w:type="dxa" w:w="1584"/>
            <w:vAlign w:val="center"/>
            <w:tcMar>
              <w:top w:w="70" w:type="dxa"/>
              <w:start w:w="80" w:type="dxa"/>
              <w:bottom w:w="70" w:type="dxa"/>
              <w:end w:w="80" w:type="dxa"/>
            </w:tcMar>
          </w:tcPr>
          <w:p>
            <w:pPr>
              <w:spacing w:after="0"/>
            </w:pPr>
            <w:r/>
            <w:r>
              <w:rPr>
                <w:rFonts w:ascii="Arial" w:hAnsi="Arial"/>
                <w:b w:val="0"/>
                <w:sz w:val="13"/>
              </w:rPr>
              <w:t>Complex orchestration</w:t>
            </w:r>
          </w:p>
        </w:tc>
        <w:tc>
          <w:tcPr>
            <w:tcW w:type="dxa" w:w="1800"/>
            <w:vAlign w:val="center"/>
            <w:tcMar>
              <w:top w:w="70" w:type="dxa"/>
              <w:start w:w="80" w:type="dxa"/>
              <w:bottom w:w="70" w:type="dxa"/>
              <w:end w:w="80" w:type="dxa"/>
            </w:tcMar>
          </w:tcPr>
          <w:p>
            <w:pPr>
              <w:spacing w:after="0"/>
            </w:pPr>
            <w:r/>
            <w:r>
              <w:rPr>
                <w:rFonts w:ascii="Arial" w:hAnsi="Arial"/>
                <w:b w:val="0"/>
                <w:sz w:val="13"/>
              </w:rPr>
              <w:t>Managed Service for Apache Airflow</w:t>
            </w:r>
          </w:p>
        </w:tc>
        <w:tc>
          <w:tcPr>
            <w:tcW w:type="dxa" w:w="2376"/>
            <w:vAlign w:val="center"/>
            <w:tcMar>
              <w:top w:w="70" w:type="dxa"/>
              <w:start w:w="80" w:type="dxa"/>
              <w:bottom w:w="70" w:type="dxa"/>
              <w:end w:w="80" w:type="dxa"/>
            </w:tcMar>
          </w:tcPr>
          <w:p>
            <w:pPr>
              <w:spacing w:after="0"/>
            </w:pPr>
            <w:r/>
            <w:r>
              <w:rPr>
                <w:rFonts w:ascii="Arial" w:hAnsi="Arial"/>
                <w:b w:val="0"/>
                <w:sz w:val="13"/>
              </w:rPr>
              <w:t>Cross-service DAGs, schedules and backfills.</w:t>
            </w:r>
          </w:p>
        </w:tc>
        <w:tc>
          <w:tcPr>
            <w:tcW w:type="dxa" w:w="1728"/>
            <w:vAlign w:val="center"/>
            <w:tcMar>
              <w:top w:w="70" w:type="dxa"/>
              <w:start w:w="80" w:type="dxa"/>
              <w:bottom w:w="70" w:type="dxa"/>
              <w:end w:w="80" w:type="dxa"/>
            </w:tcMar>
          </w:tcPr>
          <w:p>
            <w:pPr>
              <w:spacing w:after="0"/>
            </w:pPr>
            <w:r/>
            <w:r>
              <w:rPr>
                <w:rFonts w:ascii="Arial" w:hAnsi="Arial"/>
                <w:b w:val="0"/>
                <w:sz w:val="13"/>
              </w:rPr>
              <w:t>Workflows; native schedulers; Dataform.</w:t>
            </w:r>
          </w:p>
        </w:tc>
        <w:tc>
          <w:tcPr>
            <w:tcW w:type="dxa" w:w="2232"/>
            <w:vAlign w:val="center"/>
            <w:tcMar>
              <w:top w:w="70" w:type="dxa"/>
              <w:start w:w="80" w:type="dxa"/>
              <w:bottom w:w="70" w:type="dxa"/>
              <w:end w:w="80" w:type="dxa"/>
            </w:tcMar>
          </w:tcPr>
          <w:p>
            <w:pPr>
              <w:spacing w:after="0"/>
            </w:pPr>
            <w:r/>
            <w:r>
              <w:rPr>
                <w:rFonts w:ascii="Arial" w:hAnsi="Arial"/>
                <w:b w:val="0"/>
                <w:sz w:val="13"/>
              </w:rPr>
              <w:t>Use simpler mechanisms where workflow complexity does not justify Airflow.</w:t>
            </w:r>
          </w:p>
        </w:tc>
        <w:tc>
          <w:tcPr>
            <w:tcW w:type="dxa" w:w="1800"/>
            <w:vAlign w:val="center"/>
            <w:tcMar>
              <w:top w:w="70" w:type="dxa"/>
              <w:start w:w="80" w:type="dxa"/>
              <w:bottom w:w="70" w:type="dxa"/>
              <w:end w:w="80" w:type="dxa"/>
            </w:tcMar>
          </w:tcPr>
          <w:p>
            <w:pPr>
              <w:spacing w:after="0"/>
            </w:pPr>
            <w:r/>
            <w:r>
              <w:rPr>
                <w:rFonts w:ascii="Arial" w:hAnsi="Arial"/>
                <w:b w:val="0"/>
                <w:sz w:val="13"/>
              </w:rPr>
              <w:t>Thin DAGs, isolated environments, dependency management.</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Simple orchestration</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Workflows</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Service/API coordination with limited state and scheduling.</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Cloud Run; Airflow; custom code.</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Use Airflow for complex data DAGs; Cloud Run for custom service logic.</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Retry policy, identity, timeout and error path.</w:t>
            </w:r>
          </w:p>
        </w:tc>
      </w:tr>
      <w:tr>
        <w:tc>
          <w:tcPr>
            <w:tcW w:type="dxa" w:w="1584"/>
            <w:vAlign w:val="center"/>
            <w:tcMar>
              <w:top w:w="70" w:type="dxa"/>
              <w:start w:w="80" w:type="dxa"/>
              <w:bottom w:w="70" w:type="dxa"/>
              <w:end w:w="80" w:type="dxa"/>
            </w:tcMar>
          </w:tcPr>
          <w:p>
            <w:pPr>
              <w:spacing w:after="0"/>
            </w:pPr>
            <w:r/>
            <w:r>
              <w:rPr>
                <w:rFonts w:ascii="Arial" w:hAnsi="Arial"/>
                <w:b w:val="0"/>
                <w:sz w:val="13"/>
              </w:rPr>
              <w:t>Metadata and discovery</w:t>
            </w:r>
          </w:p>
        </w:tc>
        <w:tc>
          <w:tcPr>
            <w:tcW w:type="dxa" w:w="1800"/>
            <w:vAlign w:val="center"/>
            <w:tcMar>
              <w:top w:w="70" w:type="dxa"/>
              <w:start w:w="80" w:type="dxa"/>
              <w:bottom w:w="70" w:type="dxa"/>
              <w:end w:w="80" w:type="dxa"/>
            </w:tcMar>
          </w:tcPr>
          <w:p>
            <w:pPr>
              <w:spacing w:after="0"/>
            </w:pPr>
            <w:r/>
            <w:r>
              <w:rPr>
                <w:rFonts w:ascii="Arial" w:hAnsi="Arial"/>
                <w:b w:val="0"/>
                <w:sz w:val="13"/>
              </w:rPr>
              <w:t>Knowledge Catalog</w:t>
            </w:r>
          </w:p>
        </w:tc>
        <w:tc>
          <w:tcPr>
            <w:tcW w:type="dxa" w:w="2376"/>
            <w:vAlign w:val="center"/>
            <w:tcMar>
              <w:top w:w="70" w:type="dxa"/>
              <w:start w:w="80" w:type="dxa"/>
              <w:bottom w:w="70" w:type="dxa"/>
              <w:end w:w="80" w:type="dxa"/>
            </w:tcMar>
          </w:tcPr>
          <w:p>
            <w:pPr>
              <w:spacing w:after="0"/>
            </w:pPr>
            <w:r/>
            <w:r>
              <w:rPr>
                <w:rFonts w:ascii="Arial" w:hAnsi="Arial"/>
                <w:b w:val="0"/>
                <w:sz w:val="13"/>
              </w:rPr>
              <w:t>Native catalog, glossary, lineage and product registration.</w:t>
            </w:r>
          </w:p>
        </w:tc>
        <w:tc>
          <w:tcPr>
            <w:tcW w:type="dxa" w:w="1728"/>
            <w:vAlign w:val="center"/>
            <w:tcMar>
              <w:top w:w="70" w:type="dxa"/>
              <w:start w:w="80" w:type="dxa"/>
              <w:bottom w:w="70" w:type="dxa"/>
              <w:end w:w="80" w:type="dxa"/>
            </w:tcMar>
          </w:tcPr>
          <w:p>
            <w:pPr>
              <w:spacing w:after="0"/>
            </w:pPr>
            <w:r/>
            <w:r>
              <w:rPr>
                <w:rFonts w:ascii="Arial" w:hAnsi="Arial"/>
                <w:b w:val="0"/>
                <w:sz w:val="13"/>
              </w:rPr>
              <w:t>Third-party catalog; hybrid.</w:t>
            </w:r>
          </w:p>
        </w:tc>
        <w:tc>
          <w:tcPr>
            <w:tcW w:type="dxa" w:w="2232"/>
            <w:vAlign w:val="center"/>
            <w:tcMar>
              <w:top w:w="70" w:type="dxa"/>
              <w:start w:w="80" w:type="dxa"/>
              <w:bottom w:w="70" w:type="dxa"/>
              <w:end w:w="80" w:type="dxa"/>
            </w:tcMar>
          </w:tcPr>
          <w:p>
            <w:pPr>
              <w:spacing w:after="0"/>
            </w:pPr>
            <w:r/>
            <w:r>
              <w:rPr>
                <w:rFonts w:ascii="Arial" w:hAnsi="Arial"/>
                <w:b w:val="0"/>
                <w:sz w:val="13"/>
              </w:rPr>
              <w:t>Hybrid for enterprise-wide cross-cloud catalog requirements.</w:t>
            </w:r>
          </w:p>
        </w:tc>
        <w:tc>
          <w:tcPr>
            <w:tcW w:type="dxa" w:w="1800"/>
            <w:vAlign w:val="center"/>
            <w:tcMar>
              <w:top w:w="70" w:type="dxa"/>
              <w:start w:w="80" w:type="dxa"/>
              <w:bottom w:w="70" w:type="dxa"/>
              <w:end w:w="80" w:type="dxa"/>
            </w:tcMar>
          </w:tcPr>
          <w:p>
            <w:pPr>
              <w:spacing w:after="0"/>
            </w:pPr>
            <w:r/>
            <w:r>
              <w:rPr>
                <w:rFonts w:ascii="Arial" w:hAnsi="Arial"/>
                <w:b w:val="0"/>
                <w:sz w:val="13"/>
              </w:rPr>
              <w:t>Mandatory metadata, aspect standards and completeness checks.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Sensitive-data discovery</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Sensitive Data Protection</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Identification and transformation support for sensitive data.</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Third-party DSPM/DLP; custom detectors.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Alternative for specialized detectors or consolidated security platform.</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Custom infoTypes, sampling, review and policy integration.</w:t>
            </w:r>
          </w:p>
        </w:tc>
      </w:tr>
      <w:tr>
        <w:tc>
          <w:tcPr>
            <w:tcW w:type="dxa" w:w="1584"/>
            <w:vAlign w:val="center"/>
            <w:tcMar>
              <w:top w:w="70" w:type="dxa"/>
              <w:start w:w="80" w:type="dxa"/>
              <w:bottom w:w="70" w:type="dxa"/>
              <w:end w:w="80" w:type="dxa"/>
            </w:tcMar>
          </w:tcPr>
          <w:p>
            <w:pPr>
              <w:spacing w:after="0"/>
            </w:pPr>
            <w:r/>
            <w:r>
              <w:rPr>
                <w:rFonts w:ascii="Arial" w:hAnsi="Arial"/>
                <w:b w:val="0"/>
                <w:sz w:val="13"/>
              </w:rPr>
              <w:t>Enterprise semantic layer</w:t>
            </w:r>
          </w:p>
        </w:tc>
        <w:tc>
          <w:tcPr>
            <w:tcW w:type="dxa" w:w="1800"/>
            <w:vAlign w:val="center"/>
            <w:tcMar>
              <w:top w:w="70" w:type="dxa"/>
              <w:start w:w="80" w:type="dxa"/>
              <w:bottom w:w="70" w:type="dxa"/>
              <w:end w:w="80" w:type="dxa"/>
            </w:tcMar>
          </w:tcPr>
          <w:p>
            <w:pPr>
              <w:spacing w:after="0"/>
            </w:pPr>
            <w:r/>
            <w:r>
              <w:rPr>
                <w:rFonts w:ascii="Arial" w:hAnsi="Arial"/>
                <w:b w:val="0"/>
                <w:sz w:val="13"/>
              </w:rPr>
              <w:t>Looker</w:t>
            </w:r>
          </w:p>
        </w:tc>
        <w:tc>
          <w:tcPr>
            <w:tcW w:type="dxa" w:w="2376"/>
            <w:vAlign w:val="center"/>
            <w:tcMar>
              <w:top w:w="70" w:type="dxa"/>
              <w:start w:w="80" w:type="dxa"/>
              <w:bottom w:w="70" w:type="dxa"/>
              <w:end w:w="80" w:type="dxa"/>
            </w:tcMar>
          </w:tcPr>
          <w:p>
            <w:pPr>
              <w:spacing w:after="0"/>
            </w:pPr>
            <w:r/>
            <w:r>
              <w:rPr>
                <w:rFonts w:ascii="Arial" w:hAnsi="Arial"/>
                <w:b w:val="0"/>
                <w:sz w:val="13"/>
              </w:rPr>
              <w:t>Governed measures, dimensions and analytical applications.</w:t>
            </w:r>
          </w:p>
        </w:tc>
        <w:tc>
          <w:tcPr>
            <w:tcW w:type="dxa" w:w="1728"/>
            <w:vAlign w:val="center"/>
            <w:tcMar>
              <w:top w:w="70" w:type="dxa"/>
              <w:start w:w="80" w:type="dxa"/>
              <w:bottom w:w="70" w:type="dxa"/>
              <w:end w:w="80" w:type="dxa"/>
            </w:tcMar>
          </w:tcPr>
          <w:p>
            <w:pPr>
              <w:spacing w:after="0"/>
            </w:pPr>
            <w:r/>
            <w:r>
              <w:rPr>
                <w:rFonts w:ascii="Arial" w:hAnsi="Arial"/>
                <w:b w:val="0"/>
                <w:sz w:val="13"/>
              </w:rPr>
              <w:t>BigQuery views; third-party semantic/BI platform.</w:t>
            </w:r>
          </w:p>
        </w:tc>
        <w:tc>
          <w:tcPr>
            <w:tcW w:type="dxa" w:w="2232"/>
            <w:vAlign w:val="center"/>
            <w:tcMar>
              <w:top w:w="70" w:type="dxa"/>
              <w:start w:w="80" w:type="dxa"/>
              <w:bottom w:w="70" w:type="dxa"/>
              <w:end w:w="80" w:type="dxa"/>
            </w:tcMar>
          </w:tcPr>
          <w:p>
            <w:pPr>
              <w:spacing w:after="0"/>
            </w:pPr>
            <w:r/>
            <w:r>
              <w:rPr>
                <w:rFonts w:ascii="Arial" w:hAnsi="Arial"/>
                <w:b w:val="0"/>
                <w:sz w:val="13"/>
              </w:rPr>
              <w:t>Coexist during migration or for approved specialized capabilities.</w:t>
            </w:r>
          </w:p>
        </w:tc>
        <w:tc>
          <w:tcPr>
            <w:tcW w:type="dxa" w:w="1800"/>
            <w:vAlign w:val="center"/>
            <w:tcMar>
              <w:top w:w="70" w:type="dxa"/>
              <w:start w:w="80" w:type="dxa"/>
              <w:bottom w:w="70" w:type="dxa"/>
              <w:end w:w="80" w:type="dxa"/>
            </w:tcMar>
          </w:tcPr>
          <w:p>
            <w:pPr>
              <w:spacing w:after="0"/>
            </w:pPr>
            <w:r/>
            <w:r>
              <w:rPr>
                <w:rFonts w:ascii="Arial" w:hAnsi="Arial"/>
                <w:b w:val="0"/>
                <w:sz w:val="13"/>
              </w:rPr>
              <w:t>Model ownership, testing, content lifecycle and performance.</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Lightweight visualization</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Looker Studio</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Low-complexity dashboards and collaboration.</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Looker; Connected Sheets; third-party BI.</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Not the source of enterprise KPI logic.</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Certified sources, sharing controls and owner.</w:t>
            </w:r>
          </w:p>
        </w:tc>
      </w:tr>
      <w:tr>
        <w:tc>
          <w:tcPr>
            <w:tcW w:type="dxa" w:w="1584"/>
            <w:vAlign w:val="center"/>
            <w:tcMar>
              <w:top w:w="70" w:type="dxa"/>
              <w:start w:w="80" w:type="dxa"/>
              <w:bottom w:w="70" w:type="dxa"/>
              <w:end w:w="80" w:type="dxa"/>
            </w:tcMar>
          </w:tcPr>
          <w:p>
            <w:pPr>
              <w:spacing w:after="0"/>
            </w:pPr>
            <w:r/>
            <w:r>
              <w:rPr>
                <w:rFonts w:ascii="Arial" w:hAnsi="Arial"/>
                <w:b w:val="0"/>
                <w:sz w:val="13"/>
              </w:rPr>
              <w:t>Spreadsheet analysis</w:t>
            </w:r>
          </w:p>
        </w:tc>
        <w:tc>
          <w:tcPr>
            <w:tcW w:type="dxa" w:w="1800"/>
            <w:vAlign w:val="center"/>
            <w:tcMar>
              <w:top w:w="70" w:type="dxa"/>
              <w:start w:w="80" w:type="dxa"/>
              <w:bottom w:w="70" w:type="dxa"/>
              <w:end w:w="80" w:type="dxa"/>
            </w:tcMar>
          </w:tcPr>
          <w:p>
            <w:pPr>
              <w:spacing w:after="0"/>
            </w:pPr>
            <w:r/>
            <w:r>
              <w:rPr>
                <w:rFonts w:ascii="Arial" w:hAnsi="Arial"/>
                <w:b w:val="0"/>
                <w:sz w:val="13"/>
              </w:rPr>
              <w:t>Connected Sheets</w:t>
            </w:r>
          </w:p>
        </w:tc>
        <w:tc>
          <w:tcPr>
            <w:tcW w:type="dxa" w:w="2376"/>
            <w:vAlign w:val="center"/>
            <w:tcMar>
              <w:top w:w="70" w:type="dxa"/>
              <w:start w:w="80" w:type="dxa"/>
              <w:bottom w:w="70" w:type="dxa"/>
              <w:end w:w="80" w:type="dxa"/>
            </w:tcMar>
          </w:tcPr>
          <w:p>
            <w:pPr>
              <w:spacing w:after="0"/>
            </w:pPr>
            <w:r/>
            <w:r>
              <w:rPr>
                <w:rFonts w:ascii="Arial" w:hAnsi="Arial"/>
                <w:b w:val="0"/>
                <w:sz w:val="13"/>
              </w:rPr>
              <w:t>Governed spreadsheet access to BigQuery.</w:t>
            </w:r>
          </w:p>
        </w:tc>
        <w:tc>
          <w:tcPr>
            <w:tcW w:type="dxa" w:w="1728"/>
            <w:vAlign w:val="center"/>
            <w:tcMar>
              <w:top w:w="70" w:type="dxa"/>
              <w:start w:w="80" w:type="dxa"/>
              <w:bottom w:w="70" w:type="dxa"/>
              <w:end w:w="80" w:type="dxa"/>
            </w:tcMar>
          </w:tcPr>
          <w:p>
            <w:pPr>
              <w:spacing w:after="0"/>
            </w:pPr>
            <w:r/>
            <w:r>
              <w:rPr>
                <w:rFonts w:ascii="Arial" w:hAnsi="Arial"/>
                <w:b w:val="0"/>
                <w:sz w:val="13"/>
              </w:rPr>
              <w:t>Extracted files; local spreadsheets.</w:t>
            </w:r>
          </w:p>
        </w:tc>
        <w:tc>
          <w:tcPr>
            <w:tcW w:type="dxa" w:w="2232"/>
            <w:vAlign w:val="center"/>
            <w:tcMar>
              <w:top w:w="70" w:type="dxa"/>
              <w:start w:w="80" w:type="dxa"/>
              <w:bottom w:w="70" w:type="dxa"/>
              <w:end w:w="80" w:type="dxa"/>
            </w:tcMar>
          </w:tcPr>
          <w:p>
            <w:pPr>
              <w:spacing w:after="0"/>
            </w:pPr>
            <w:r/>
            <w:r>
              <w:rPr>
                <w:rFonts w:ascii="Arial" w:hAnsi="Arial"/>
                <w:b w:val="0"/>
                <w:sz w:val="13"/>
              </w:rPr>
              <w:t>File export only under approved data-sharing policy.</w:t>
            </w:r>
          </w:p>
        </w:tc>
        <w:tc>
          <w:tcPr>
            <w:tcW w:type="dxa" w:w="1800"/>
            <w:vAlign w:val="center"/>
            <w:tcMar>
              <w:top w:w="70" w:type="dxa"/>
              <w:start w:w="80" w:type="dxa"/>
              <w:bottom w:w="70" w:type="dxa"/>
              <w:end w:w="80" w:type="dxa"/>
            </w:tcMar>
          </w:tcPr>
          <w:p>
            <w:pPr>
              <w:spacing w:after="0"/>
            </w:pPr>
            <w:r/>
            <w:r>
              <w:rPr>
                <w:rFonts w:ascii="Arial" w:hAnsi="Arial"/>
                <w:b w:val="0"/>
                <w:sz w:val="13"/>
              </w:rPr>
              <w:t>Data source certification, access inheritance, query limits.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AI/ML platform</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Vertex AI</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Managed training, pipelines, registry, endpoints and generative AI.</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Self-managed ML; third-party platform.</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Alternative for model ecosystem, sovereignty or commercial requirements.</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Risk tier, evaluations, identity, network, monitoring and budget.</w:t>
            </w:r>
          </w:p>
        </w:tc>
      </w:tr>
      <w:tr>
        <w:tc>
          <w:tcPr>
            <w:tcW w:type="dxa" w:w="1584"/>
            <w:vAlign w:val="center"/>
            <w:tcMar>
              <w:top w:w="70" w:type="dxa"/>
              <w:start w:w="80" w:type="dxa"/>
              <w:bottom w:w="70" w:type="dxa"/>
              <w:end w:w="80" w:type="dxa"/>
            </w:tcMar>
          </w:tcPr>
          <w:p>
            <w:pPr>
              <w:spacing w:after="0"/>
            </w:pPr>
            <w:r/>
            <w:r>
              <w:rPr>
                <w:rFonts w:ascii="Arial" w:hAnsi="Arial"/>
                <w:b w:val="0"/>
                <w:sz w:val="13"/>
              </w:rPr>
              <w:t>Vector retrieval</w:t>
            </w:r>
          </w:p>
        </w:tc>
        <w:tc>
          <w:tcPr>
            <w:tcW w:type="dxa" w:w="1800"/>
            <w:vAlign w:val="center"/>
            <w:tcMar>
              <w:top w:w="70" w:type="dxa"/>
              <w:start w:w="80" w:type="dxa"/>
              <w:bottom w:w="70" w:type="dxa"/>
              <w:end w:w="80" w:type="dxa"/>
            </w:tcMar>
          </w:tcPr>
          <w:p>
            <w:pPr>
              <w:spacing w:after="0"/>
            </w:pPr>
            <w:r/>
            <w:r>
              <w:rPr>
                <w:rFonts w:ascii="Arial" w:hAnsi="Arial"/>
                <w:b w:val="0"/>
                <w:sz w:val="13"/>
              </w:rPr>
              <w:t>Vertex AI Vector Search or validated BigQuery vector capabilities</w:t>
            </w:r>
          </w:p>
        </w:tc>
        <w:tc>
          <w:tcPr>
            <w:tcW w:type="dxa" w:w="2376"/>
            <w:vAlign w:val="center"/>
            <w:tcMar>
              <w:top w:w="70" w:type="dxa"/>
              <w:start w:w="80" w:type="dxa"/>
              <w:bottom w:w="70" w:type="dxa"/>
              <w:end w:w="80" w:type="dxa"/>
            </w:tcMar>
          </w:tcPr>
          <w:p>
            <w:pPr>
              <w:spacing w:after="0"/>
            </w:pPr>
            <w:r/>
            <w:r>
              <w:rPr>
                <w:rFonts w:ascii="Arial" w:hAnsi="Arial"/>
                <w:b w:val="0"/>
                <w:sz w:val="13"/>
              </w:rPr>
              <w:t>Enterprise RAG and similarity search.</w:t>
            </w:r>
          </w:p>
        </w:tc>
        <w:tc>
          <w:tcPr>
            <w:tcW w:type="dxa" w:w="1728"/>
            <w:vAlign w:val="center"/>
            <w:tcMar>
              <w:top w:w="70" w:type="dxa"/>
              <w:start w:w="80" w:type="dxa"/>
              <w:bottom w:w="70" w:type="dxa"/>
              <w:end w:w="80" w:type="dxa"/>
            </w:tcMar>
          </w:tcPr>
          <w:p>
            <w:pPr>
              <w:spacing w:after="0"/>
            </w:pPr>
            <w:r/>
            <w:r>
              <w:rPr>
                <w:rFonts w:ascii="Arial" w:hAnsi="Arial"/>
                <w:b w:val="0"/>
                <w:sz w:val="13"/>
              </w:rPr>
              <w:t>Open-source vector DB; specialist managed service.</w:t>
            </w:r>
          </w:p>
        </w:tc>
        <w:tc>
          <w:tcPr>
            <w:tcW w:type="dxa" w:w="2232"/>
            <w:vAlign w:val="center"/>
            <w:tcMar>
              <w:top w:w="70" w:type="dxa"/>
              <w:start w:w="80" w:type="dxa"/>
              <w:bottom w:w="70" w:type="dxa"/>
              <w:end w:w="80" w:type="dxa"/>
            </w:tcMar>
          </w:tcPr>
          <w:p>
            <w:pPr>
              <w:spacing w:after="0"/>
            </w:pPr>
            <w:r/>
            <w:r>
              <w:rPr>
                <w:rFonts w:ascii="Arial" w:hAnsi="Arial"/>
                <w:b w:val="0"/>
                <w:sz w:val="13"/>
              </w:rPr>
              <w:t>Select using scale, latency, filtering, region and integration tests.</w:t>
            </w:r>
          </w:p>
        </w:tc>
        <w:tc>
          <w:tcPr>
            <w:tcW w:type="dxa" w:w="1800"/>
            <w:vAlign w:val="center"/>
            <w:tcMar>
              <w:top w:w="70" w:type="dxa"/>
              <w:start w:w="80" w:type="dxa"/>
              <w:bottom w:w="70" w:type="dxa"/>
              <w:end w:w="80" w:type="dxa"/>
            </w:tcMar>
          </w:tcPr>
          <w:p>
            <w:pPr>
              <w:spacing w:after="0"/>
            </w:pPr>
            <w:r/>
            <w:r>
              <w:rPr>
                <w:rFonts w:ascii="Arial" w:hAnsi="Arial"/>
                <w:b w:val="0"/>
                <w:sz w:val="13"/>
              </w:rPr>
              <w:t>Index lifecycle, embedding version, evaluation and access.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API runtime</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Cloud Run</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Stateless data APIs, integration adapters and control services.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GKE; Functions; Apigee runtime.</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GKE for platform/runtime requirements; Functions for event handlers.</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Private ingress, service identity, concurrency, timeout and tracing.</w:t>
            </w:r>
          </w:p>
        </w:tc>
      </w:tr>
      <w:tr>
        <w:tc>
          <w:tcPr>
            <w:tcW w:type="dxa" w:w="1584"/>
            <w:vAlign w:val="center"/>
            <w:tcMar>
              <w:top w:w="70" w:type="dxa"/>
              <w:start w:w="80" w:type="dxa"/>
              <w:bottom w:w="70" w:type="dxa"/>
              <w:end w:w="80" w:type="dxa"/>
            </w:tcMar>
          </w:tcPr>
          <w:p>
            <w:pPr>
              <w:spacing w:after="0"/>
            </w:pPr>
            <w:r/>
            <w:r>
              <w:rPr>
                <w:rFonts w:ascii="Arial" w:hAnsi="Arial"/>
                <w:b w:val="0"/>
                <w:sz w:val="13"/>
              </w:rPr>
              <w:t>API management</w:t>
            </w:r>
          </w:p>
        </w:tc>
        <w:tc>
          <w:tcPr>
            <w:tcW w:type="dxa" w:w="1800"/>
            <w:vAlign w:val="center"/>
            <w:tcMar>
              <w:top w:w="70" w:type="dxa"/>
              <w:start w:w="80" w:type="dxa"/>
              <w:bottom w:w="70" w:type="dxa"/>
              <w:end w:w="80" w:type="dxa"/>
            </w:tcMar>
          </w:tcPr>
          <w:p>
            <w:pPr>
              <w:spacing w:after="0"/>
            </w:pPr>
            <w:r/>
            <w:r>
              <w:rPr>
                <w:rFonts w:ascii="Arial" w:hAnsi="Arial"/>
                <w:b w:val="0"/>
                <w:sz w:val="13"/>
              </w:rPr>
              <w:t>Apigee or API Gateway by complexity</w:t>
            </w:r>
          </w:p>
        </w:tc>
        <w:tc>
          <w:tcPr>
            <w:tcW w:type="dxa" w:w="2376"/>
            <w:vAlign w:val="center"/>
            <w:tcMar>
              <w:top w:w="70" w:type="dxa"/>
              <w:start w:w="80" w:type="dxa"/>
              <w:bottom w:w="70" w:type="dxa"/>
              <w:end w:w="80" w:type="dxa"/>
            </w:tcMar>
          </w:tcPr>
          <w:p>
            <w:pPr>
              <w:spacing w:after="0"/>
            </w:pPr>
            <w:r/>
            <w:r>
              <w:rPr>
                <w:rFonts w:ascii="Arial" w:hAnsi="Arial"/>
                <w:b w:val="0"/>
                <w:sz w:val="13"/>
              </w:rPr>
              <w:t>Protected internal/external data APIs and policy enforcement.</w:t>
            </w:r>
          </w:p>
        </w:tc>
        <w:tc>
          <w:tcPr>
            <w:tcW w:type="dxa" w:w="1728"/>
            <w:vAlign w:val="center"/>
            <w:tcMar>
              <w:top w:w="70" w:type="dxa"/>
              <w:start w:w="80" w:type="dxa"/>
              <w:bottom w:w="70" w:type="dxa"/>
              <w:end w:w="80" w:type="dxa"/>
            </w:tcMar>
          </w:tcPr>
          <w:p>
            <w:pPr>
              <w:spacing w:after="0"/>
            </w:pPr>
            <w:r/>
            <w:r>
              <w:rPr>
                <w:rFonts w:ascii="Arial" w:hAnsi="Arial"/>
                <w:b w:val="0"/>
                <w:sz w:val="13"/>
              </w:rPr>
              <w:t>Cloud Run direct; third-party gateway.</w:t>
            </w:r>
          </w:p>
        </w:tc>
        <w:tc>
          <w:tcPr>
            <w:tcW w:type="dxa" w:w="2232"/>
            <w:vAlign w:val="center"/>
            <w:tcMar>
              <w:top w:w="70" w:type="dxa"/>
              <w:start w:w="80" w:type="dxa"/>
              <w:bottom w:w="70" w:type="dxa"/>
              <w:end w:w="80" w:type="dxa"/>
            </w:tcMar>
          </w:tcPr>
          <w:p>
            <w:pPr>
              <w:spacing w:after="0"/>
            </w:pPr>
            <w:r/>
            <w:r>
              <w:rPr>
                <w:rFonts w:ascii="Arial" w:hAnsi="Arial"/>
                <w:b w:val="0"/>
                <w:sz w:val="13"/>
              </w:rPr>
              <w:t>Apigee for enterprise lifecycle/monetization; API Gateway for simpler APIs.</w:t>
            </w:r>
          </w:p>
        </w:tc>
        <w:tc>
          <w:tcPr>
            <w:tcW w:type="dxa" w:w="1800"/>
            <w:vAlign w:val="center"/>
            <w:tcMar>
              <w:top w:w="70" w:type="dxa"/>
              <w:start w:w="80" w:type="dxa"/>
              <w:bottom w:w="70" w:type="dxa"/>
              <w:end w:w="80" w:type="dxa"/>
            </w:tcMar>
          </w:tcPr>
          <w:p>
            <w:pPr>
              <w:spacing w:after="0"/>
            </w:pPr>
            <w:r/>
            <w:r>
              <w:rPr>
                <w:rFonts w:ascii="Arial" w:hAnsi="Arial"/>
                <w:b w:val="0"/>
                <w:sz w:val="13"/>
              </w:rPr>
              <w:t>Authentication, quotas, threat protection, audit and developer lifecycle.</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Infrastructure as Code</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Terraform</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Organization, landing zone, platform and domain resources.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Manual/API automation; alternative IaC.</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Exception for unsupported resource only, with reconciliation plan.</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Remote state, plan/apply separation, tests and version pinning.</w:t>
            </w:r>
          </w:p>
        </w:tc>
      </w:tr>
      <w:tr>
        <w:tc>
          <w:tcPr>
            <w:tcW w:type="dxa" w:w="1584"/>
            <w:vAlign w:val="center"/>
            <w:tcMar>
              <w:top w:w="70" w:type="dxa"/>
              <w:start w:w="80" w:type="dxa"/>
              <w:bottom w:w="70" w:type="dxa"/>
              <w:end w:w="80" w:type="dxa"/>
            </w:tcMar>
          </w:tcPr>
          <w:p>
            <w:pPr>
              <w:spacing w:after="0"/>
            </w:pPr>
            <w:r/>
            <w:r>
              <w:rPr>
                <w:rFonts w:ascii="Arial" w:hAnsi="Arial"/>
                <w:b w:val="0"/>
                <w:sz w:val="13"/>
              </w:rPr>
              <w:t>CI/CD</w:t>
            </w:r>
          </w:p>
        </w:tc>
        <w:tc>
          <w:tcPr>
            <w:tcW w:type="dxa" w:w="1800"/>
            <w:vAlign w:val="center"/>
            <w:tcMar>
              <w:top w:w="70" w:type="dxa"/>
              <w:start w:w="80" w:type="dxa"/>
              <w:bottom w:w="70" w:type="dxa"/>
              <w:end w:w="80" w:type="dxa"/>
            </w:tcMar>
          </w:tcPr>
          <w:p>
            <w:pPr>
              <w:spacing w:after="0"/>
            </w:pPr>
            <w:r/>
            <w:r>
              <w:rPr>
                <w:rFonts w:ascii="Arial" w:hAnsi="Arial"/>
                <w:b w:val="0"/>
                <w:sz w:val="13"/>
              </w:rPr>
              <w:t>Cloud Build and/or GitHub Actions</w:t>
            </w:r>
          </w:p>
        </w:tc>
        <w:tc>
          <w:tcPr>
            <w:tcW w:type="dxa" w:w="2376"/>
            <w:vAlign w:val="center"/>
            <w:tcMar>
              <w:top w:w="70" w:type="dxa"/>
              <w:start w:w="80" w:type="dxa"/>
              <w:bottom w:w="70" w:type="dxa"/>
              <w:end w:w="80" w:type="dxa"/>
            </w:tcMar>
          </w:tcPr>
          <w:p>
            <w:pPr>
              <w:spacing w:after="0"/>
            </w:pPr>
            <w:r/>
            <w:r>
              <w:rPr>
                <w:rFonts w:ascii="Arial" w:hAnsi="Arial"/>
                <w:b w:val="0"/>
                <w:sz w:val="13"/>
              </w:rPr>
              <w:t>Build, test, security scan and promotion.</w:t>
            </w:r>
          </w:p>
        </w:tc>
        <w:tc>
          <w:tcPr>
            <w:tcW w:type="dxa" w:w="1728"/>
            <w:vAlign w:val="center"/>
            <w:tcMar>
              <w:top w:w="70" w:type="dxa"/>
              <w:start w:w="80" w:type="dxa"/>
              <w:bottom w:w="70" w:type="dxa"/>
              <w:end w:w="80" w:type="dxa"/>
            </w:tcMar>
          </w:tcPr>
          <w:p>
            <w:pPr>
              <w:spacing w:after="0"/>
            </w:pPr>
            <w:r/>
            <w:r>
              <w:rPr>
                <w:rFonts w:ascii="Arial" w:hAnsi="Arial"/>
                <w:b w:val="0"/>
                <w:sz w:val="13"/>
              </w:rPr>
              <w:t>Jenkins; GitLab; other enterprise tooling.</w:t>
            </w:r>
          </w:p>
        </w:tc>
        <w:tc>
          <w:tcPr>
            <w:tcW w:type="dxa" w:w="2232"/>
            <w:vAlign w:val="center"/>
            <w:tcMar>
              <w:top w:w="70" w:type="dxa"/>
              <w:start w:w="80" w:type="dxa"/>
              <w:bottom w:w="70" w:type="dxa"/>
              <w:end w:w="80" w:type="dxa"/>
            </w:tcMar>
          </w:tcPr>
          <w:p>
            <w:pPr>
              <w:spacing w:after="0"/>
            </w:pPr>
            <w:r/>
            <w:r>
              <w:rPr>
                <w:rFonts w:ascii="Arial" w:hAnsi="Arial"/>
                <w:b w:val="0"/>
                <w:sz w:val="13"/>
              </w:rPr>
              <w:t>Use enterprise standard where identity/provenance/control requirements are met.</w:t>
            </w:r>
          </w:p>
        </w:tc>
        <w:tc>
          <w:tcPr>
            <w:tcW w:type="dxa" w:w="1800"/>
            <w:vAlign w:val="center"/>
            <w:tcMar>
              <w:top w:w="70" w:type="dxa"/>
              <w:start w:w="80" w:type="dxa"/>
              <w:bottom w:w="70" w:type="dxa"/>
              <w:end w:w="80" w:type="dxa"/>
            </w:tcMar>
          </w:tcPr>
          <w:p>
            <w:pPr>
              <w:spacing w:after="0"/>
            </w:pPr>
            <w:r/>
            <w:r>
              <w:rPr>
                <w:rFonts w:ascii="Arial" w:hAnsi="Arial"/>
                <w:b w:val="0"/>
                <w:sz w:val="13"/>
              </w:rPr>
              <w:t>OIDC/WIF, immutable artifacts, approvals and audit.</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Artifact management</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Artifact Registry</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Containers and build artifacts.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External registry; source releases.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Alternative for global enterprise standard or regulated separation.</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Vulnerability scan, retention, immutability and least privilege.</w:t>
            </w:r>
          </w:p>
        </w:tc>
      </w:tr>
      <w:tr>
        <w:tc>
          <w:tcPr>
            <w:tcW w:type="dxa" w:w="1584"/>
            <w:vAlign w:val="center"/>
            <w:tcMar>
              <w:top w:w="70" w:type="dxa"/>
              <w:start w:w="80" w:type="dxa"/>
              <w:bottom w:w="70" w:type="dxa"/>
              <w:end w:w="80" w:type="dxa"/>
            </w:tcMar>
          </w:tcPr>
          <w:p>
            <w:pPr>
              <w:spacing w:after="0"/>
            </w:pPr>
            <w:r/>
            <w:r>
              <w:rPr>
                <w:rFonts w:ascii="Arial" w:hAnsi="Arial"/>
                <w:b w:val="0"/>
                <w:sz w:val="13"/>
              </w:rPr>
              <w:t>Monitoring and logging</w:t>
            </w:r>
          </w:p>
        </w:tc>
        <w:tc>
          <w:tcPr>
            <w:tcW w:type="dxa" w:w="1800"/>
            <w:vAlign w:val="center"/>
            <w:tcMar>
              <w:top w:w="70" w:type="dxa"/>
              <w:start w:w="80" w:type="dxa"/>
              <w:bottom w:w="70" w:type="dxa"/>
              <w:end w:w="80" w:type="dxa"/>
            </w:tcMar>
          </w:tcPr>
          <w:p>
            <w:pPr>
              <w:spacing w:after="0"/>
            </w:pPr>
            <w:r/>
            <w:r>
              <w:rPr>
                <w:rFonts w:ascii="Arial" w:hAnsi="Arial"/>
                <w:b w:val="0"/>
                <w:sz w:val="13"/>
              </w:rPr>
              <w:t>Cloud Monitoring and Cloud Logging</w:t>
            </w:r>
          </w:p>
        </w:tc>
        <w:tc>
          <w:tcPr>
            <w:tcW w:type="dxa" w:w="2376"/>
            <w:vAlign w:val="center"/>
            <w:tcMar>
              <w:top w:w="70" w:type="dxa"/>
              <w:start w:w="80" w:type="dxa"/>
              <w:bottom w:w="70" w:type="dxa"/>
              <w:end w:w="80" w:type="dxa"/>
            </w:tcMar>
          </w:tcPr>
          <w:p>
            <w:pPr>
              <w:spacing w:after="0"/>
            </w:pPr>
            <w:r/>
            <w:r>
              <w:rPr>
                <w:rFonts w:ascii="Arial" w:hAnsi="Arial"/>
                <w:b w:val="0"/>
                <w:sz w:val="13"/>
              </w:rPr>
              <w:t>Native telemetry, dashboards, alerts and audit integration.</w:t>
            </w:r>
          </w:p>
        </w:tc>
        <w:tc>
          <w:tcPr>
            <w:tcW w:type="dxa" w:w="1728"/>
            <w:vAlign w:val="center"/>
            <w:tcMar>
              <w:top w:w="70" w:type="dxa"/>
              <w:start w:w="80" w:type="dxa"/>
              <w:bottom w:w="70" w:type="dxa"/>
              <w:end w:w="80" w:type="dxa"/>
            </w:tcMar>
          </w:tcPr>
          <w:p>
            <w:pPr>
              <w:spacing w:after="0"/>
            </w:pPr>
            <w:r/>
            <w:r>
              <w:rPr>
                <w:rFonts w:ascii="Arial" w:hAnsi="Arial"/>
                <w:b w:val="0"/>
                <w:sz w:val="13"/>
              </w:rPr>
              <w:t>Enterprise observability suite.</w:t>
            </w:r>
          </w:p>
        </w:tc>
        <w:tc>
          <w:tcPr>
            <w:tcW w:type="dxa" w:w="2232"/>
            <w:vAlign w:val="center"/>
            <w:tcMar>
              <w:top w:w="70" w:type="dxa"/>
              <w:start w:w="80" w:type="dxa"/>
              <w:bottom w:w="70" w:type="dxa"/>
              <w:end w:w="80" w:type="dxa"/>
            </w:tcMar>
          </w:tcPr>
          <w:p>
            <w:pPr>
              <w:spacing w:after="0"/>
            </w:pPr>
            <w:r/>
            <w:r>
              <w:rPr>
                <w:rFonts w:ascii="Arial" w:hAnsi="Arial"/>
                <w:b w:val="0"/>
                <w:sz w:val="13"/>
              </w:rPr>
              <w:t>Export/integrate where enterprise operations standard requires.</w:t>
            </w:r>
          </w:p>
        </w:tc>
        <w:tc>
          <w:tcPr>
            <w:tcW w:type="dxa" w:w="1800"/>
            <w:vAlign w:val="center"/>
            <w:tcMar>
              <w:top w:w="70" w:type="dxa"/>
              <w:start w:w="80" w:type="dxa"/>
              <w:bottom w:w="70" w:type="dxa"/>
              <w:end w:w="80" w:type="dxa"/>
            </w:tcMar>
          </w:tcPr>
          <w:p>
            <w:pPr>
              <w:spacing w:after="0"/>
            </w:pPr>
            <w:r/>
            <w:r>
              <w:rPr>
                <w:rFonts w:ascii="Arial" w:hAnsi="Arial"/>
                <w:b w:val="0"/>
                <w:sz w:val="13"/>
              </w:rPr>
              <w:t>SLOs, log routing, retention, exclusions and cost.</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3"/>
              </w:rPr>
              <w:t>Security posture</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Security Command Center</w:t>
            </w:r>
          </w:p>
        </w:tc>
        <w:tc>
          <w:tcPr>
            <w:tcW w:type="dxa" w:w="2376"/>
            <w:vAlign w:val="center"/>
            <w:tcMar>
              <w:top w:w="70" w:type="dxa"/>
              <w:start w:w="80" w:type="dxa"/>
              <w:bottom w:w="70" w:type="dxa"/>
              <w:end w:w="80" w:type="dxa"/>
            </w:tcMar>
            <w:shd w:fill="F8F9FA"/>
          </w:tcPr>
          <w:p>
            <w:pPr>
              <w:spacing w:after="0"/>
            </w:pPr>
            <w:r/>
            <w:r>
              <w:rPr>
                <w:rFonts w:ascii="Arial" w:hAnsi="Arial"/>
                <w:b w:val="0"/>
                <w:sz w:val="13"/>
              </w:rPr>
              <w:t>Cloud findings, posture and threat signals.</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Enterprise CNAPP/SIEM; hybrid.</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Integrate rather than duplicate when enterprise SOC has a strategic platform.</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Organization scope, triage ownership, exports and response.</w:t>
            </w:r>
          </w:p>
        </w:tc>
      </w:tr>
    </w:tbl>
    <w:p>
      <w:pPr>
        <w:spacing w:after="20"/>
      </w:pPr>
    </w:p>
    <w:p>
      <w:pPr>
        <w:pStyle w:val="Heading2"/>
      </w:pPr>
      <w:r>
        <w:t>9.1 Selection Method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tcMar>
              <w:top w:w="70" w:type="dxa"/>
              <w:start w:w="80" w:type="dxa"/>
              <w:bottom w:w="70" w:type="dxa"/>
              <w:end w:w="80" w:type="dxa"/>
            </w:tcMar>
            <w:shd w:fill="1A73E8"/>
          </w:tcPr>
          <w:p>
            <w:pPr>
              <w:spacing w:after="0"/>
            </w:pPr>
            <w:r/>
            <w:r>
              <w:rPr>
                <w:rFonts w:ascii="Arial" w:hAnsi="Arial"/>
                <w:b/>
                <w:color w:val="FFFFFF"/>
                <w:sz w:val="16"/>
              </w:rPr>
              <w:t>Criterion</w:t>
            </w:r>
          </w:p>
        </w:tc>
        <w:tc>
          <w:tcPr>
            <w:tcW w:type="dxa" w:w="1368"/>
            <w:vAlign w:val="center"/>
            <w:tcMar>
              <w:top w:w="70" w:type="dxa"/>
              <w:start w:w="80" w:type="dxa"/>
              <w:bottom w:w="70" w:type="dxa"/>
              <w:end w:w="80" w:type="dxa"/>
            </w:tcMar>
            <w:shd w:fill="1A73E8"/>
          </w:tcPr>
          <w:p>
            <w:pPr>
              <w:spacing w:after="0"/>
            </w:pPr>
            <w:r/>
            <w:r>
              <w:rPr>
                <w:rFonts w:ascii="Arial" w:hAnsi="Arial"/>
                <w:b/>
                <w:color w:val="FFFFFF"/>
                <w:sz w:val="16"/>
              </w:rPr>
              <w:t>Weight range</w:t>
            </w:r>
          </w:p>
        </w:tc>
        <w:tc>
          <w:tcPr>
            <w:tcW w:type="dxa" w:w="6696"/>
            <w:vAlign w:val="center"/>
            <w:tcMar>
              <w:top w:w="70" w:type="dxa"/>
              <w:start w:w="80" w:type="dxa"/>
              <w:bottom w:w="70" w:type="dxa"/>
              <w:end w:w="80" w:type="dxa"/>
            </w:tcMar>
            <w:shd w:fill="1A73E8"/>
          </w:tcPr>
          <w:p>
            <w:pPr>
              <w:spacing w:after="0"/>
            </w:pPr>
            <w:r/>
            <w:r>
              <w:rPr>
                <w:rFonts w:ascii="Arial" w:hAnsi="Arial"/>
                <w:b/>
                <w:color w:val="FFFFFF"/>
                <w:sz w:val="16"/>
              </w:rPr>
              <w:t>Required evidence</w:t>
            </w:r>
          </w:p>
        </w:tc>
      </w:tr>
      <w:tr>
        <w:tc>
          <w:tcPr>
            <w:tcW w:type="dxa" w:w="2016"/>
            <w:vAlign w:val="center"/>
            <w:tcMar>
              <w:top w:w="70" w:type="dxa"/>
              <w:start w:w="80" w:type="dxa"/>
              <w:bottom w:w="70" w:type="dxa"/>
              <w:end w:w="80" w:type="dxa"/>
            </w:tcMar>
          </w:tcPr>
          <w:p>
            <w:pPr>
              <w:spacing w:after="0"/>
            </w:pPr>
            <w:r/>
            <w:r>
              <w:rPr>
                <w:rFonts w:ascii="Arial" w:hAnsi="Arial"/>
                <w:b w:val="0"/>
                <w:sz w:val="15"/>
              </w:rPr>
              <w:t>Functional fit</w:t>
            </w:r>
          </w:p>
        </w:tc>
        <w:tc>
          <w:tcPr>
            <w:tcW w:type="dxa" w:w="1368"/>
            <w:vAlign w:val="center"/>
            <w:tcMar>
              <w:top w:w="70" w:type="dxa"/>
              <w:start w:w="80" w:type="dxa"/>
              <w:bottom w:w="70" w:type="dxa"/>
              <w:end w:w="80" w:type="dxa"/>
            </w:tcMar>
          </w:tcPr>
          <w:p>
            <w:pPr>
              <w:spacing w:after="0"/>
            </w:pPr>
            <w:r/>
            <w:r>
              <w:rPr>
                <w:rFonts w:ascii="Arial" w:hAnsi="Arial"/>
                <w:b w:val="0"/>
                <w:sz w:val="15"/>
              </w:rPr>
              <w:t>20–30%</w:t>
            </w:r>
          </w:p>
        </w:tc>
        <w:tc>
          <w:tcPr>
            <w:tcW w:type="dxa" w:w="6696"/>
            <w:vAlign w:val="center"/>
            <w:tcMar>
              <w:top w:w="70" w:type="dxa"/>
              <w:start w:w="80" w:type="dxa"/>
              <w:bottom w:w="70" w:type="dxa"/>
              <w:end w:w="80" w:type="dxa"/>
            </w:tcMar>
          </w:tcPr>
          <w:p>
            <w:pPr>
              <w:spacing w:after="0"/>
            </w:pPr>
            <w:r/>
            <w:r>
              <w:rPr>
                <w:rFonts w:ascii="Arial" w:hAnsi="Arial"/>
                <w:b w:val="0"/>
                <w:sz w:val="15"/>
              </w:rPr>
              <w:t>Traceable requirements, supported interfaces and feature validation.</w:t>
            </w:r>
          </w:p>
        </w:tc>
      </w:tr>
      <w:tr>
        <w:tc>
          <w:tcPr>
            <w:tcW w:type="dxa" w:w="2016"/>
            <w:vAlign w:val="center"/>
            <w:tcMar>
              <w:top w:w="70" w:type="dxa"/>
              <w:start w:w="80" w:type="dxa"/>
              <w:bottom w:w="70" w:type="dxa"/>
              <w:end w:w="80" w:type="dxa"/>
            </w:tcMar>
            <w:shd w:fill="F8F9FA"/>
          </w:tcPr>
          <w:p>
            <w:pPr>
              <w:spacing w:after="0"/>
            </w:pPr>
            <w:r/>
            <w:r>
              <w:rPr>
                <w:rFonts w:ascii="Arial" w:hAnsi="Arial"/>
                <w:b w:val="0"/>
                <w:sz w:val="15"/>
              </w:rPr>
              <w:t>Security and compliance</w:t>
            </w:r>
          </w:p>
        </w:tc>
        <w:tc>
          <w:tcPr>
            <w:tcW w:type="dxa" w:w="1368"/>
            <w:vAlign w:val="center"/>
            <w:tcMar>
              <w:top w:w="70" w:type="dxa"/>
              <w:start w:w="80" w:type="dxa"/>
              <w:bottom w:w="70" w:type="dxa"/>
              <w:end w:w="80" w:type="dxa"/>
            </w:tcMar>
            <w:shd w:fill="F8F9FA"/>
          </w:tcPr>
          <w:p>
            <w:pPr>
              <w:spacing w:after="0"/>
            </w:pPr>
            <w:r/>
            <w:r>
              <w:rPr>
                <w:rFonts w:ascii="Arial" w:hAnsi="Arial"/>
                <w:b w:val="0"/>
                <w:sz w:val="15"/>
              </w:rPr>
              <w:t>15–25%</w:t>
            </w:r>
          </w:p>
        </w:tc>
        <w:tc>
          <w:tcPr>
            <w:tcW w:type="dxa" w:w="6696"/>
            <w:vAlign w:val="center"/>
            <w:tcMar>
              <w:top w:w="70" w:type="dxa"/>
              <w:start w:w="80" w:type="dxa"/>
              <w:bottom w:w="70" w:type="dxa"/>
              <w:end w:w="80" w:type="dxa"/>
            </w:tcMar>
            <w:shd w:fill="F8F9FA"/>
          </w:tcPr>
          <w:p>
            <w:pPr>
              <w:spacing w:after="0"/>
            </w:pPr>
            <w:r/>
            <w:r>
              <w:rPr>
                <w:rFonts w:ascii="Arial" w:hAnsi="Arial"/>
                <w:b w:val="0"/>
                <w:sz w:val="15"/>
              </w:rPr>
              <w:t>Control mapping, identity/network model, data handling and evidence.</w:t>
            </w:r>
          </w:p>
        </w:tc>
      </w:tr>
      <w:tr>
        <w:tc>
          <w:tcPr>
            <w:tcW w:type="dxa" w:w="2016"/>
            <w:vAlign w:val="center"/>
            <w:tcMar>
              <w:top w:w="70" w:type="dxa"/>
              <w:start w:w="80" w:type="dxa"/>
              <w:bottom w:w="70" w:type="dxa"/>
              <w:end w:w="80" w:type="dxa"/>
            </w:tcMar>
          </w:tcPr>
          <w:p>
            <w:pPr>
              <w:spacing w:after="0"/>
            </w:pPr>
            <w:r/>
            <w:r>
              <w:rPr>
                <w:rFonts w:ascii="Arial" w:hAnsi="Arial"/>
                <w:b w:val="0"/>
                <w:sz w:val="15"/>
              </w:rPr>
              <w:t>Reliability and recovery</w:t>
            </w:r>
          </w:p>
        </w:tc>
        <w:tc>
          <w:tcPr>
            <w:tcW w:type="dxa" w:w="1368"/>
            <w:vAlign w:val="center"/>
            <w:tcMar>
              <w:top w:w="70" w:type="dxa"/>
              <w:start w:w="80" w:type="dxa"/>
              <w:bottom w:w="70" w:type="dxa"/>
              <w:end w:w="80" w:type="dxa"/>
            </w:tcMar>
          </w:tcPr>
          <w:p>
            <w:pPr>
              <w:spacing w:after="0"/>
            </w:pPr>
            <w:r/>
            <w:r>
              <w:rPr>
                <w:rFonts w:ascii="Arial" w:hAnsi="Arial"/>
                <w:b w:val="0"/>
                <w:sz w:val="15"/>
              </w:rPr>
              <w:t>10–20%</w:t>
            </w:r>
          </w:p>
        </w:tc>
        <w:tc>
          <w:tcPr>
            <w:tcW w:type="dxa" w:w="6696"/>
            <w:vAlign w:val="center"/>
            <w:tcMar>
              <w:top w:w="70" w:type="dxa"/>
              <w:start w:w="80" w:type="dxa"/>
              <w:bottom w:w="70" w:type="dxa"/>
              <w:end w:w="80" w:type="dxa"/>
            </w:tcMar>
          </w:tcPr>
          <w:p>
            <w:pPr>
              <w:spacing w:after="0"/>
            </w:pPr>
            <w:r/>
            <w:r>
              <w:rPr>
                <w:rFonts w:ascii="Arial" w:hAnsi="Arial"/>
                <w:b w:val="0"/>
                <w:sz w:val="15"/>
              </w:rPr>
              <w:t>Failure modes, dependency behavior, RTO/RPO and test plan.</w:t>
            </w:r>
          </w:p>
        </w:tc>
      </w:tr>
      <w:tr>
        <w:tc>
          <w:tcPr>
            <w:tcW w:type="dxa" w:w="2016"/>
            <w:vAlign w:val="center"/>
            <w:tcMar>
              <w:top w:w="70" w:type="dxa"/>
              <w:start w:w="80" w:type="dxa"/>
              <w:bottom w:w="70" w:type="dxa"/>
              <w:end w:w="80" w:type="dxa"/>
            </w:tcMar>
            <w:shd w:fill="F8F9FA"/>
          </w:tcPr>
          <w:p>
            <w:pPr>
              <w:spacing w:after="0"/>
            </w:pPr>
            <w:r/>
            <w:r>
              <w:rPr>
                <w:rFonts w:ascii="Arial" w:hAnsi="Arial"/>
                <w:b w:val="0"/>
                <w:sz w:val="15"/>
              </w:rPr>
              <w:t>Scale and performance</w:t>
            </w:r>
          </w:p>
        </w:tc>
        <w:tc>
          <w:tcPr>
            <w:tcW w:type="dxa" w:w="1368"/>
            <w:vAlign w:val="center"/>
            <w:tcMar>
              <w:top w:w="70" w:type="dxa"/>
              <w:start w:w="80" w:type="dxa"/>
              <w:bottom w:w="70" w:type="dxa"/>
              <w:end w:w="80" w:type="dxa"/>
            </w:tcMar>
            <w:shd w:fill="F8F9FA"/>
          </w:tcPr>
          <w:p>
            <w:pPr>
              <w:spacing w:after="0"/>
            </w:pPr>
            <w:r/>
            <w:r>
              <w:rPr>
                <w:rFonts w:ascii="Arial" w:hAnsi="Arial"/>
                <w:b w:val="0"/>
                <w:sz w:val="15"/>
              </w:rPr>
              <w:t>10–20%</w:t>
            </w:r>
          </w:p>
        </w:tc>
        <w:tc>
          <w:tcPr>
            <w:tcW w:type="dxa" w:w="6696"/>
            <w:vAlign w:val="center"/>
            <w:tcMar>
              <w:top w:w="70" w:type="dxa"/>
              <w:start w:w="80" w:type="dxa"/>
              <w:bottom w:w="70" w:type="dxa"/>
              <w:end w:w="80" w:type="dxa"/>
            </w:tcMar>
            <w:shd w:fill="F8F9FA"/>
          </w:tcPr>
          <w:p>
            <w:pPr>
              <w:spacing w:after="0"/>
            </w:pPr>
            <w:r/>
            <w:r>
              <w:rPr>
                <w:rFonts w:ascii="Arial" w:hAnsi="Arial"/>
                <w:b w:val="0"/>
                <w:sz w:val="15"/>
              </w:rPr>
              <w:t>Representative benchmark, quota model and growth capacity.</w:t>
            </w:r>
          </w:p>
        </w:tc>
      </w:tr>
      <w:tr>
        <w:tc>
          <w:tcPr>
            <w:tcW w:type="dxa" w:w="2016"/>
            <w:vAlign w:val="center"/>
            <w:tcMar>
              <w:top w:w="70" w:type="dxa"/>
              <w:start w:w="80" w:type="dxa"/>
              <w:bottom w:w="70" w:type="dxa"/>
              <w:end w:w="80" w:type="dxa"/>
            </w:tcMar>
          </w:tcPr>
          <w:p>
            <w:pPr>
              <w:spacing w:after="0"/>
            </w:pPr>
            <w:r/>
            <w:r>
              <w:rPr>
                <w:rFonts w:ascii="Arial" w:hAnsi="Arial"/>
                <w:b w:val="0"/>
                <w:sz w:val="15"/>
              </w:rPr>
              <w:t>Operating model</w:t>
            </w:r>
          </w:p>
        </w:tc>
        <w:tc>
          <w:tcPr>
            <w:tcW w:type="dxa" w:w="1368"/>
            <w:vAlign w:val="center"/>
            <w:tcMar>
              <w:top w:w="70" w:type="dxa"/>
              <w:start w:w="80" w:type="dxa"/>
              <w:bottom w:w="70" w:type="dxa"/>
              <w:end w:w="80" w:type="dxa"/>
            </w:tcMar>
          </w:tcPr>
          <w:p>
            <w:pPr>
              <w:spacing w:after="0"/>
            </w:pPr>
            <w:r/>
            <w:r>
              <w:rPr>
                <w:rFonts w:ascii="Arial" w:hAnsi="Arial"/>
                <w:b w:val="0"/>
                <w:sz w:val="15"/>
              </w:rPr>
              <w:t>10–15%</w:t>
            </w:r>
          </w:p>
        </w:tc>
        <w:tc>
          <w:tcPr>
            <w:tcW w:type="dxa" w:w="6696"/>
            <w:vAlign w:val="center"/>
            <w:tcMar>
              <w:top w:w="70" w:type="dxa"/>
              <w:start w:w="80" w:type="dxa"/>
              <w:bottom w:w="70" w:type="dxa"/>
              <w:end w:w="80" w:type="dxa"/>
            </w:tcMar>
          </w:tcPr>
          <w:p>
            <w:pPr>
              <w:spacing w:after="0"/>
            </w:pPr>
            <w:r/>
            <w:r>
              <w:rPr>
                <w:rFonts w:ascii="Arial" w:hAnsi="Arial"/>
                <w:b w:val="0"/>
                <w:sz w:val="15"/>
              </w:rPr>
              <w:t>Ownership, skill, support, automation and incident procedures.</w:t>
            </w:r>
          </w:p>
        </w:tc>
      </w:tr>
      <w:tr>
        <w:tc>
          <w:tcPr>
            <w:tcW w:type="dxa" w:w="2016"/>
            <w:vAlign w:val="center"/>
            <w:tcMar>
              <w:top w:w="70" w:type="dxa"/>
              <w:start w:w="80" w:type="dxa"/>
              <w:bottom w:w="70" w:type="dxa"/>
              <w:end w:w="80" w:type="dxa"/>
            </w:tcMar>
            <w:shd w:fill="F8F9FA"/>
          </w:tcPr>
          <w:p>
            <w:pPr>
              <w:spacing w:after="0"/>
            </w:pPr>
            <w:r/>
            <w:r>
              <w:rPr>
                <w:rFonts w:ascii="Arial" w:hAnsi="Arial"/>
                <w:b w:val="0"/>
                <w:sz w:val="15"/>
              </w:rPr>
              <w:t>Economics</w:t>
            </w:r>
          </w:p>
        </w:tc>
        <w:tc>
          <w:tcPr>
            <w:tcW w:type="dxa" w:w="1368"/>
            <w:vAlign w:val="center"/>
            <w:tcMar>
              <w:top w:w="70" w:type="dxa"/>
              <w:start w:w="80" w:type="dxa"/>
              <w:bottom w:w="70" w:type="dxa"/>
              <w:end w:w="80" w:type="dxa"/>
            </w:tcMar>
            <w:shd w:fill="F8F9FA"/>
          </w:tcPr>
          <w:p>
            <w:pPr>
              <w:spacing w:after="0"/>
            </w:pPr>
            <w:r/>
            <w:r>
              <w:rPr>
                <w:rFonts w:ascii="Arial" w:hAnsi="Arial"/>
                <w:b w:val="0"/>
                <w:sz w:val="15"/>
              </w:rPr>
              <w:t>10–20%</w:t>
            </w:r>
          </w:p>
        </w:tc>
        <w:tc>
          <w:tcPr>
            <w:tcW w:type="dxa" w:w="6696"/>
            <w:vAlign w:val="center"/>
            <w:tcMar>
              <w:top w:w="70" w:type="dxa"/>
              <w:start w:w="80" w:type="dxa"/>
              <w:bottom w:w="70" w:type="dxa"/>
              <w:end w:w="80" w:type="dxa"/>
            </w:tcMar>
            <w:shd w:fill="F8F9FA"/>
          </w:tcPr>
          <w:p>
            <w:pPr>
              <w:spacing w:after="0"/>
            </w:pPr>
            <w:r/>
            <w:r>
              <w:rPr>
                <w:rFonts w:ascii="Arial" w:hAnsi="Arial"/>
                <w:b w:val="0"/>
                <w:sz w:val="15"/>
              </w:rPr>
              <w:t>Consumption model, unit economics, migration and operating effort.</w:t>
            </w:r>
          </w:p>
        </w:tc>
      </w:tr>
      <w:tr>
        <w:tc>
          <w:tcPr>
            <w:tcW w:type="dxa" w:w="2016"/>
            <w:vAlign w:val="center"/>
            <w:tcMar>
              <w:top w:w="70" w:type="dxa"/>
              <w:start w:w="80" w:type="dxa"/>
              <w:bottom w:w="70" w:type="dxa"/>
              <w:end w:w="80" w:type="dxa"/>
            </w:tcMar>
          </w:tcPr>
          <w:p>
            <w:pPr>
              <w:spacing w:after="0"/>
            </w:pPr>
            <w:r/>
            <w:r>
              <w:rPr>
                <w:rFonts w:ascii="Arial" w:hAnsi="Arial"/>
                <w:b w:val="0"/>
                <w:sz w:val="15"/>
              </w:rPr>
              <w:t>Portability and lifecycle</w:t>
            </w:r>
          </w:p>
        </w:tc>
        <w:tc>
          <w:tcPr>
            <w:tcW w:type="dxa" w:w="1368"/>
            <w:vAlign w:val="center"/>
            <w:tcMar>
              <w:top w:w="70" w:type="dxa"/>
              <w:start w:w="80" w:type="dxa"/>
              <w:bottom w:w="70" w:type="dxa"/>
              <w:end w:w="80" w:type="dxa"/>
            </w:tcMar>
          </w:tcPr>
          <w:p>
            <w:pPr>
              <w:spacing w:after="0"/>
            </w:pPr>
            <w:r/>
            <w:r>
              <w:rPr>
                <w:rFonts w:ascii="Arial" w:hAnsi="Arial"/>
                <w:b w:val="0"/>
                <w:sz w:val="15"/>
              </w:rPr>
              <w:t>5–10%</w:t>
            </w:r>
          </w:p>
        </w:tc>
        <w:tc>
          <w:tcPr>
            <w:tcW w:type="dxa" w:w="6696"/>
            <w:vAlign w:val="center"/>
            <w:tcMar>
              <w:top w:w="70" w:type="dxa"/>
              <w:start w:w="80" w:type="dxa"/>
              <w:bottom w:w="70" w:type="dxa"/>
              <w:end w:w="80" w:type="dxa"/>
            </w:tcMar>
          </w:tcPr>
          <w:p>
            <w:pPr>
              <w:spacing w:after="0"/>
            </w:pPr>
            <w:r/>
            <w:r>
              <w:rPr>
                <w:rFonts w:ascii="Arial" w:hAnsi="Arial"/>
                <w:b w:val="0"/>
                <w:sz w:val="15"/>
              </w:rPr>
              <w:t>Data/code export, standards, product maturity and exit plan.</w:t>
            </w:r>
          </w:p>
        </w:tc>
      </w:tr>
    </w:tbl>
    <w:p>
      <w:pPr>
        <w:spacing w:after="20"/>
      </w:pPr>
    </w:p>
    <w:p>
      <w:r>
        <w:t>Weights are adjusted by workload. For a regulated Tier 0 product, security and recovery receive greater weight; for a disposable experiment, speed and cost may dominate. A technology decision is valid only within the workload assumptions tested.</w:t>
      </w:r>
    </w:p>
    <w:p>
      <w:pPr>
        <w:pStyle w:val="Heading2"/>
      </w:pPr>
      <w:r>
        <w:t>9.2 Exception Governance</w:t>
      </w:r>
    </w:p>
    <w:p>
      <w:pPr>
        <w:pStyle w:val="ListBullet"/>
        <w:spacing w:after="40"/>
      </w:pPr>
      <w:r>
        <w:t>State the unmet requirement or material advantage that the default cannot satisfy.</w:t>
      </w:r>
    </w:p>
    <w:p>
      <w:pPr>
        <w:pStyle w:val="ListBullet"/>
        <w:spacing w:after="40"/>
      </w:pPr>
      <w:r>
        <w:t>Compare the alternative using the same criteria and realistic operating effort.</w:t>
      </w:r>
    </w:p>
    <w:p>
      <w:pPr>
        <w:pStyle w:val="ListBullet"/>
        <w:spacing w:after="40"/>
      </w:pPr>
      <w:r>
        <w:t>Identify owner, funding, skills, security controls, monitoring, recovery and exit plan.</w:t>
      </w:r>
    </w:p>
    <w:p>
      <w:pPr>
        <w:pStyle w:val="ListBullet"/>
        <w:spacing w:after="40"/>
      </w:pPr>
      <w:r>
        <w:t>Set an expiry or decision-review date; permanent exceptions are incorporated into the strategic catalog.</w:t>
      </w:r>
    </w:p>
    <w:p>
      <w:pPr>
        <w:pStyle w:val="ListBullet"/>
        <w:spacing w:after="40"/>
      </w:pPr>
      <w:r>
        <w:t>Record migration impact and interoperability with data products, identity, networking and governance.</w:t>
      </w:r>
    </w:p>
    <w:p>
      <w:r>
        <w:br w:type="page"/>
      </w:r>
    </w:p>
    <w:p>
      <w:pPr>
        <w:pStyle w:val="Heading1"/>
      </w:pPr>
      <w:r>
        <w:t>10. Google Cloud Service Mapping</w:t>
      </w:r>
    </w:p>
    <w:p>
      <w:pPr>
        <w:pStyle w:val="Lead"/>
      </w:pPr>
      <w:r>
        <w:t>Service mapping shows how business and platform capabilities are realized by strategic Google Cloud services. It prevents tool-centric designs by making the supported capability and required controls explicit.</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Capability-to-service traceability; Service roles; Control overlays; Operating ownership.</w:t>
            </w:r>
          </w:p>
        </w:tc>
      </w:tr>
    </w:tbl>
    <w:p>
      <w:pPr>
        <w:spacing w:after="20"/>
      </w:pP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vAlign w:val="center"/>
            <w:tcMar>
              <w:top w:w="70" w:type="dxa"/>
              <w:start w:w="80" w:type="dxa"/>
              <w:bottom w:w="70" w:type="dxa"/>
              <w:end w:w="80" w:type="dxa"/>
            </w:tcMar>
            <w:shd w:fill="1A73E8"/>
          </w:tcPr>
          <w:p>
            <w:pPr>
              <w:spacing w:after="0"/>
            </w:pPr>
            <w:r/>
            <w:r>
              <w:rPr>
                <w:rFonts w:ascii="Arial" w:hAnsi="Arial"/>
                <w:b/>
                <w:color w:val="FFFFFF"/>
                <w:sz w:val="16"/>
              </w:rPr>
              <w:t>Capability</w:t>
            </w:r>
          </w:p>
        </w:tc>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Primary services</w:t>
            </w:r>
          </w:p>
        </w:tc>
        <w:tc>
          <w:tcPr>
            <w:tcW w:type="dxa" w:w="2448"/>
            <w:vAlign w:val="center"/>
            <w:tcMar>
              <w:top w:w="70" w:type="dxa"/>
              <w:start w:w="80" w:type="dxa"/>
              <w:bottom w:w="70" w:type="dxa"/>
              <w:end w:w="80" w:type="dxa"/>
            </w:tcMar>
            <w:shd w:fill="1A73E8"/>
          </w:tcPr>
          <w:p>
            <w:pPr>
              <w:spacing w:after="0"/>
            </w:pPr>
            <w:r/>
            <w:r>
              <w:rPr>
                <w:rFonts w:ascii="Arial" w:hAnsi="Arial"/>
                <w:b/>
                <w:color w:val="FFFFFF"/>
                <w:sz w:val="16"/>
              </w:rPr>
              <w:t>Architecture role</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Mandatory controls</w:t>
            </w:r>
          </w:p>
        </w:tc>
        <w:tc>
          <w:tcPr>
            <w:tcW w:type="dxa" w:w="1152"/>
            <w:vAlign w:val="center"/>
            <w:tcMar>
              <w:top w:w="70" w:type="dxa"/>
              <w:start w:w="80" w:type="dxa"/>
              <w:bottom w:w="70" w:type="dxa"/>
              <w:end w:w="80" w:type="dxa"/>
            </w:tcMar>
            <w:shd w:fill="1A73E8"/>
          </w:tcPr>
          <w:p>
            <w:pPr>
              <w:spacing w:after="0"/>
            </w:pPr>
            <w:r/>
            <w:r>
              <w:rPr>
                <w:rFonts w:ascii="Arial" w:hAnsi="Arial"/>
                <w:b/>
                <w:color w:val="FFFFFF"/>
                <w:sz w:val="16"/>
              </w:rPr>
              <w:t>Operating owner</w:t>
            </w:r>
          </w:p>
        </w:tc>
      </w:tr>
      <w:tr>
        <w:tc>
          <w:tcPr>
            <w:tcW w:type="dxa" w:w="1440"/>
            <w:vAlign w:val="center"/>
            <w:tcMar>
              <w:top w:w="70" w:type="dxa"/>
              <w:start w:w="80" w:type="dxa"/>
              <w:bottom w:w="70" w:type="dxa"/>
              <w:end w:w="80" w:type="dxa"/>
            </w:tcMar>
          </w:tcPr>
          <w:p>
            <w:pPr>
              <w:spacing w:after="0"/>
            </w:pPr>
            <w:r/>
            <w:r>
              <w:rPr>
                <w:rFonts w:ascii="Arial" w:hAnsi="Arial"/>
                <w:b w:val="0"/>
                <w:sz w:val="13"/>
              </w:rPr>
              <w:t>Source transfer</w:t>
            </w:r>
          </w:p>
        </w:tc>
        <w:tc>
          <w:tcPr>
            <w:tcW w:type="dxa" w:w="2088"/>
            <w:vAlign w:val="center"/>
            <w:tcMar>
              <w:top w:w="70" w:type="dxa"/>
              <w:start w:w="80" w:type="dxa"/>
              <w:bottom w:w="70" w:type="dxa"/>
              <w:end w:w="80" w:type="dxa"/>
            </w:tcMar>
          </w:tcPr>
          <w:p>
            <w:pPr>
              <w:spacing w:after="0"/>
            </w:pPr>
            <w:r/>
            <w:r>
              <w:rPr>
                <w:rFonts w:ascii="Arial" w:hAnsi="Arial"/>
                <w:b w:val="0"/>
                <w:sz w:val="13"/>
              </w:rPr>
              <w:t>Storage Transfer Service, Transfer Appliance where justified</w:t>
            </w:r>
          </w:p>
        </w:tc>
        <w:tc>
          <w:tcPr>
            <w:tcW w:type="dxa" w:w="2448"/>
            <w:vAlign w:val="center"/>
            <w:tcMar>
              <w:top w:w="70" w:type="dxa"/>
              <w:start w:w="80" w:type="dxa"/>
              <w:bottom w:w="70" w:type="dxa"/>
              <w:end w:w="80" w:type="dxa"/>
            </w:tcMar>
          </w:tcPr>
          <w:p>
            <w:pPr>
              <w:spacing w:after="0"/>
            </w:pPr>
            <w:r/>
            <w:r>
              <w:rPr>
                <w:rFonts w:ascii="Arial" w:hAnsi="Arial"/>
                <w:b w:val="0"/>
                <w:sz w:val="13"/>
              </w:rPr>
              <w:t>Bulk object transfer, scheduled movement and initial migration.</w:t>
            </w:r>
          </w:p>
        </w:tc>
        <w:tc>
          <w:tcPr>
            <w:tcW w:type="dxa" w:w="2952"/>
            <w:vAlign w:val="center"/>
            <w:tcMar>
              <w:top w:w="70" w:type="dxa"/>
              <w:start w:w="80" w:type="dxa"/>
              <w:bottom w:w="70" w:type="dxa"/>
              <w:end w:w="80" w:type="dxa"/>
            </w:tcMar>
          </w:tcPr>
          <w:p>
            <w:pPr>
              <w:spacing w:after="0"/>
            </w:pPr>
            <w:r/>
            <w:r>
              <w:rPr>
                <w:rFonts w:ascii="Arial" w:hAnsi="Arial"/>
                <w:b w:val="0"/>
                <w:sz w:val="13"/>
              </w:rPr>
              <w:t>Private/approved endpoints, checksum, manifest, residency and reconciliation.</w:t>
            </w:r>
          </w:p>
        </w:tc>
        <w:tc>
          <w:tcPr>
            <w:tcW w:type="dxa" w:w="1152"/>
            <w:vAlign w:val="center"/>
            <w:tcMar>
              <w:top w:w="70" w:type="dxa"/>
              <w:start w:w="80" w:type="dxa"/>
              <w:bottom w:w="70" w:type="dxa"/>
              <w:end w:w="80" w:type="dxa"/>
            </w:tcMar>
          </w:tcPr>
          <w:p>
            <w:pPr>
              <w:spacing w:after="0"/>
            </w:pPr>
            <w:r/>
            <w:r>
              <w:rPr>
                <w:rFonts w:ascii="Arial" w:hAnsi="Arial"/>
                <w:b w:val="0"/>
                <w:sz w:val="13"/>
              </w:rPr>
              <w:t>Ingestion platform team</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Relational CDC</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Datastream</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Supported database change capture and backfill.</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Least-privilege source account, source-log retention, private path, schema handling.</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Ingestion platform and source owner</w:t>
            </w:r>
          </w:p>
        </w:tc>
      </w:tr>
      <w:tr>
        <w:tc>
          <w:tcPr>
            <w:tcW w:type="dxa" w:w="1440"/>
            <w:vAlign w:val="center"/>
            <w:tcMar>
              <w:top w:w="70" w:type="dxa"/>
              <w:start w:w="80" w:type="dxa"/>
              <w:bottom w:w="70" w:type="dxa"/>
              <w:end w:w="80" w:type="dxa"/>
            </w:tcMar>
          </w:tcPr>
          <w:p>
            <w:pPr>
              <w:spacing w:after="0"/>
            </w:pPr>
            <w:r/>
            <w:r>
              <w:rPr>
                <w:rFonts w:ascii="Arial" w:hAnsi="Arial"/>
                <w:b w:val="0"/>
                <w:sz w:val="13"/>
              </w:rPr>
              <w:t>Events</w:t>
            </w:r>
          </w:p>
        </w:tc>
        <w:tc>
          <w:tcPr>
            <w:tcW w:type="dxa" w:w="2088"/>
            <w:vAlign w:val="center"/>
            <w:tcMar>
              <w:top w:w="70" w:type="dxa"/>
              <w:start w:w="80" w:type="dxa"/>
              <w:bottom w:w="70" w:type="dxa"/>
              <w:end w:w="80" w:type="dxa"/>
            </w:tcMar>
          </w:tcPr>
          <w:p>
            <w:pPr>
              <w:spacing w:after="0"/>
            </w:pPr>
            <w:r/>
            <w:r>
              <w:rPr>
                <w:rFonts w:ascii="Arial" w:hAnsi="Arial"/>
                <w:b w:val="0"/>
                <w:sz w:val="13"/>
              </w:rPr>
              <w:t>Pub/Sub</w:t>
            </w:r>
          </w:p>
        </w:tc>
        <w:tc>
          <w:tcPr>
            <w:tcW w:type="dxa" w:w="2448"/>
            <w:vAlign w:val="center"/>
            <w:tcMar>
              <w:top w:w="70" w:type="dxa"/>
              <w:start w:w="80" w:type="dxa"/>
              <w:bottom w:w="70" w:type="dxa"/>
              <w:end w:w="80" w:type="dxa"/>
            </w:tcMar>
          </w:tcPr>
          <w:p>
            <w:pPr>
              <w:spacing w:after="0"/>
            </w:pPr>
            <w:r/>
            <w:r>
              <w:rPr>
                <w:rFonts w:ascii="Arial" w:hAnsi="Arial"/>
                <w:b w:val="0"/>
                <w:sz w:val="13"/>
              </w:rPr>
              <w:t>Topics, subscriptions, decoupling, retention and replay.</w:t>
            </w:r>
          </w:p>
        </w:tc>
        <w:tc>
          <w:tcPr>
            <w:tcW w:type="dxa" w:w="2952"/>
            <w:vAlign w:val="center"/>
            <w:tcMar>
              <w:top w:w="70" w:type="dxa"/>
              <w:start w:w="80" w:type="dxa"/>
              <w:bottom w:w="70" w:type="dxa"/>
              <w:end w:w="80" w:type="dxa"/>
            </w:tcMar>
          </w:tcPr>
          <w:p>
            <w:pPr>
              <w:spacing w:after="0"/>
            </w:pPr>
            <w:r/>
            <w:r>
              <w:rPr>
                <w:rFonts w:ascii="Arial" w:hAnsi="Arial"/>
                <w:b w:val="0"/>
                <w:sz w:val="13"/>
              </w:rPr>
              <w:t>IAM, schema/version, DLQ, backlog, encryption and perimeter support.</w:t>
            </w:r>
          </w:p>
        </w:tc>
        <w:tc>
          <w:tcPr>
            <w:tcW w:type="dxa" w:w="1152"/>
            <w:vAlign w:val="center"/>
            <w:tcMar>
              <w:top w:w="70" w:type="dxa"/>
              <w:start w:w="80" w:type="dxa"/>
              <w:bottom w:w="70" w:type="dxa"/>
              <w:end w:w="80" w:type="dxa"/>
            </w:tcMar>
          </w:tcPr>
          <w:p>
            <w:pPr>
              <w:spacing w:after="0"/>
            </w:pPr>
            <w:r/>
            <w:r>
              <w:rPr>
                <w:rFonts w:ascii="Arial" w:hAnsi="Arial"/>
                <w:b w:val="0"/>
                <w:sz w:val="13"/>
              </w:rPr>
              <w:t>Event platform team</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Stream/batch transformation</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Dataflow</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Beam pipelines, state/windowing, enrichment and distributed batch.</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Service identity, network, template provenance, metrics, replay and cost.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engineering platform</w:t>
            </w:r>
          </w:p>
        </w:tc>
      </w:tr>
      <w:tr>
        <w:tc>
          <w:tcPr>
            <w:tcW w:type="dxa" w:w="1440"/>
            <w:vAlign w:val="center"/>
            <w:tcMar>
              <w:top w:w="70" w:type="dxa"/>
              <w:start w:w="80" w:type="dxa"/>
              <w:bottom w:w="70" w:type="dxa"/>
              <w:end w:w="80" w:type="dxa"/>
            </w:tcMar>
          </w:tcPr>
          <w:p>
            <w:pPr>
              <w:spacing w:after="0"/>
            </w:pPr>
            <w:r/>
            <w:r>
              <w:rPr>
                <w:rFonts w:ascii="Arial" w:hAnsi="Arial"/>
                <w:b w:val="0"/>
                <w:sz w:val="13"/>
              </w:rPr>
              <w:t>SQL transformations</w:t>
            </w:r>
          </w:p>
        </w:tc>
        <w:tc>
          <w:tcPr>
            <w:tcW w:type="dxa" w:w="2088"/>
            <w:vAlign w:val="center"/>
            <w:tcMar>
              <w:top w:w="70" w:type="dxa"/>
              <w:start w:w="80" w:type="dxa"/>
              <w:bottom w:w="70" w:type="dxa"/>
              <w:end w:w="80" w:type="dxa"/>
            </w:tcMar>
          </w:tcPr>
          <w:p>
            <w:pPr>
              <w:spacing w:after="0"/>
            </w:pPr>
            <w:r/>
            <w:r>
              <w:rPr>
                <w:rFonts w:ascii="Arial" w:hAnsi="Arial"/>
                <w:b w:val="0"/>
                <w:sz w:val="13"/>
              </w:rPr>
              <w:t>Dataform and BigQuery</w:t>
            </w:r>
          </w:p>
        </w:tc>
        <w:tc>
          <w:tcPr>
            <w:tcW w:type="dxa" w:w="2448"/>
            <w:vAlign w:val="center"/>
            <w:tcMar>
              <w:top w:w="70" w:type="dxa"/>
              <w:start w:w="80" w:type="dxa"/>
              <w:bottom w:w="70" w:type="dxa"/>
              <w:end w:w="80" w:type="dxa"/>
            </w:tcMar>
          </w:tcPr>
          <w:p>
            <w:pPr>
              <w:spacing w:after="0"/>
            </w:pPr>
            <w:r/>
            <w:r>
              <w:rPr>
                <w:rFonts w:ascii="Arial" w:hAnsi="Arial"/>
                <w:b w:val="0"/>
                <w:sz w:val="13"/>
              </w:rPr>
              <w:t>Versioned dependency graph, assertions and warehouse ELT.</w:t>
            </w:r>
          </w:p>
        </w:tc>
        <w:tc>
          <w:tcPr>
            <w:tcW w:type="dxa" w:w="2952"/>
            <w:vAlign w:val="center"/>
            <w:tcMar>
              <w:top w:w="70" w:type="dxa"/>
              <w:start w:w="80" w:type="dxa"/>
              <w:bottom w:w="70" w:type="dxa"/>
              <w:end w:w="80" w:type="dxa"/>
            </w:tcMar>
          </w:tcPr>
          <w:p>
            <w:pPr>
              <w:spacing w:after="0"/>
            </w:pPr>
            <w:r/>
            <w:r>
              <w:rPr>
                <w:rFonts w:ascii="Arial" w:hAnsi="Arial"/>
                <w:b w:val="0"/>
                <w:sz w:val="13"/>
              </w:rPr>
              <w:t>Protected repositories, release configuration, service identity and audit.</w:t>
            </w:r>
          </w:p>
        </w:tc>
        <w:tc>
          <w:tcPr>
            <w:tcW w:type="dxa" w:w="1152"/>
            <w:vAlign w:val="center"/>
            <w:tcMar>
              <w:top w:w="70" w:type="dxa"/>
              <w:start w:w="80" w:type="dxa"/>
              <w:bottom w:w="70" w:type="dxa"/>
              <w:end w:w="80" w:type="dxa"/>
            </w:tcMar>
          </w:tcPr>
          <w:p>
            <w:pPr>
              <w:spacing w:after="0"/>
            </w:pPr>
            <w:r/>
            <w:r>
              <w:rPr>
                <w:rFonts w:ascii="Arial" w:hAnsi="Arial"/>
                <w:b w:val="0"/>
                <w:sz w:val="13"/>
              </w:rPr>
              <w:t>Analytics engineering</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Spark processing</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Serverless for Apache Spark / Dataproc</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Existing Spark libraries, complex data science and distributed jobs.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Ephemeral compute, network, image/dependency control and cost.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engineering platform</w:t>
            </w:r>
          </w:p>
        </w:tc>
      </w:tr>
      <w:tr>
        <w:tc>
          <w:tcPr>
            <w:tcW w:type="dxa" w:w="1440"/>
            <w:vAlign w:val="center"/>
            <w:tcMar>
              <w:top w:w="70" w:type="dxa"/>
              <w:start w:w="80" w:type="dxa"/>
              <w:bottom w:w="70" w:type="dxa"/>
              <w:end w:w="80" w:type="dxa"/>
            </w:tcMar>
          </w:tcPr>
          <w:p>
            <w:pPr>
              <w:spacing w:after="0"/>
            </w:pPr>
            <w:r/>
            <w:r>
              <w:rPr>
                <w:rFonts w:ascii="Arial" w:hAnsi="Arial"/>
                <w:b w:val="0"/>
                <w:sz w:val="13"/>
              </w:rPr>
              <w:t>Orchestration</w:t>
            </w:r>
          </w:p>
        </w:tc>
        <w:tc>
          <w:tcPr>
            <w:tcW w:type="dxa" w:w="2088"/>
            <w:vAlign w:val="center"/>
            <w:tcMar>
              <w:top w:w="70" w:type="dxa"/>
              <w:start w:w="80" w:type="dxa"/>
              <w:bottom w:w="70" w:type="dxa"/>
              <w:end w:w="80" w:type="dxa"/>
            </w:tcMar>
          </w:tcPr>
          <w:p>
            <w:pPr>
              <w:spacing w:after="0"/>
            </w:pPr>
            <w:r/>
            <w:r>
              <w:rPr>
                <w:rFonts w:ascii="Arial" w:hAnsi="Arial"/>
                <w:b w:val="0"/>
                <w:sz w:val="13"/>
              </w:rPr>
              <w:t>Managed Service for Apache Airflow</w:t>
            </w:r>
          </w:p>
        </w:tc>
        <w:tc>
          <w:tcPr>
            <w:tcW w:type="dxa" w:w="2448"/>
            <w:vAlign w:val="center"/>
            <w:tcMar>
              <w:top w:w="70" w:type="dxa"/>
              <w:start w:w="80" w:type="dxa"/>
              <w:bottom w:w="70" w:type="dxa"/>
              <w:end w:w="80" w:type="dxa"/>
            </w:tcMar>
          </w:tcPr>
          <w:p>
            <w:pPr>
              <w:spacing w:after="0"/>
            </w:pPr>
            <w:r/>
            <w:r>
              <w:rPr>
                <w:rFonts w:ascii="Arial" w:hAnsi="Arial"/>
                <w:b w:val="0"/>
                <w:sz w:val="13"/>
              </w:rPr>
              <w:t>Complex data DAGs and backfills.</w:t>
            </w:r>
          </w:p>
        </w:tc>
        <w:tc>
          <w:tcPr>
            <w:tcW w:type="dxa" w:w="2952"/>
            <w:vAlign w:val="center"/>
            <w:tcMar>
              <w:top w:w="70" w:type="dxa"/>
              <w:start w:w="80" w:type="dxa"/>
              <w:bottom w:w="70" w:type="dxa"/>
              <w:end w:w="80" w:type="dxa"/>
            </w:tcMar>
          </w:tcPr>
          <w:p>
            <w:pPr>
              <w:spacing w:after="0"/>
            </w:pPr>
            <w:r/>
            <w:r>
              <w:rPr>
                <w:rFonts w:ascii="Arial" w:hAnsi="Arial"/>
                <w:b w:val="0"/>
                <w:sz w:val="13"/>
              </w:rPr>
              <w:t>Environment isolation, DAG testing, secret handling, scheduler health.</w:t>
            </w:r>
          </w:p>
        </w:tc>
        <w:tc>
          <w:tcPr>
            <w:tcW w:type="dxa" w:w="1152"/>
            <w:vAlign w:val="center"/>
            <w:tcMar>
              <w:top w:w="70" w:type="dxa"/>
              <w:start w:w="80" w:type="dxa"/>
              <w:bottom w:w="70" w:type="dxa"/>
              <w:end w:w="80" w:type="dxa"/>
            </w:tcMar>
          </w:tcPr>
          <w:p>
            <w:pPr>
              <w:spacing w:after="0"/>
            </w:pPr>
            <w:r/>
            <w:r>
              <w:rPr>
                <w:rFonts w:ascii="Arial" w:hAnsi="Arial"/>
                <w:b w:val="0"/>
                <w:sz w:val="13"/>
              </w:rPr>
              <w:t>Orchestration platform</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Service workflows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Workflows</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API/service coordination and simple state machines.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Least-privilege identity, retry, timeout and traceability.</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Platform/application team</w:t>
            </w:r>
          </w:p>
        </w:tc>
      </w:tr>
      <w:tr>
        <w:tc>
          <w:tcPr>
            <w:tcW w:type="dxa" w:w="1440"/>
            <w:vAlign w:val="center"/>
            <w:tcMar>
              <w:top w:w="70" w:type="dxa"/>
              <w:start w:w="80" w:type="dxa"/>
              <w:bottom w:w="70" w:type="dxa"/>
              <w:end w:w="80" w:type="dxa"/>
            </w:tcMar>
          </w:tcPr>
          <w:p>
            <w:pPr>
              <w:spacing w:after="0"/>
            </w:pPr>
            <w:r/>
            <w:r>
              <w:rPr>
                <w:rFonts w:ascii="Arial" w:hAnsi="Arial"/>
                <w:b w:val="0"/>
                <w:sz w:val="13"/>
              </w:rPr>
              <w:t>Raw and archive</w:t>
            </w:r>
          </w:p>
        </w:tc>
        <w:tc>
          <w:tcPr>
            <w:tcW w:type="dxa" w:w="2088"/>
            <w:vAlign w:val="center"/>
            <w:tcMar>
              <w:top w:w="70" w:type="dxa"/>
              <w:start w:w="80" w:type="dxa"/>
              <w:bottom w:w="70" w:type="dxa"/>
              <w:end w:w="80" w:type="dxa"/>
            </w:tcMar>
          </w:tcPr>
          <w:p>
            <w:pPr>
              <w:spacing w:after="0"/>
            </w:pPr>
            <w:r/>
            <w:r>
              <w:rPr>
                <w:rFonts w:ascii="Arial" w:hAnsi="Arial"/>
                <w:b w:val="0"/>
                <w:sz w:val="13"/>
              </w:rPr>
              <w:t>Cloud Storage</w:t>
            </w:r>
          </w:p>
        </w:tc>
        <w:tc>
          <w:tcPr>
            <w:tcW w:type="dxa" w:w="2448"/>
            <w:vAlign w:val="center"/>
            <w:tcMar>
              <w:top w:w="70" w:type="dxa"/>
              <w:start w:w="80" w:type="dxa"/>
              <w:bottom w:w="70" w:type="dxa"/>
              <w:end w:w="80" w:type="dxa"/>
            </w:tcMar>
          </w:tcPr>
          <w:p>
            <w:pPr>
              <w:spacing w:after="0"/>
            </w:pPr>
            <w:r/>
            <w:r>
              <w:rPr>
                <w:rFonts w:ascii="Arial" w:hAnsi="Arial"/>
                <w:b w:val="0"/>
                <w:sz w:val="13"/>
              </w:rPr>
              <w:t>Landing, quarantine, immutable raw, documents and archive.</w:t>
            </w:r>
          </w:p>
        </w:tc>
        <w:tc>
          <w:tcPr>
            <w:tcW w:type="dxa" w:w="2952"/>
            <w:vAlign w:val="center"/>
            <w:tcMar>
              <w:top w:w="70" w:type="dxa"/>
              <w:start w:w="80" w:type="dxa"/>
              <w:bottom w:w="70" w:type="dxa"/>
              <w:end w:w="80" w:type="dxa"/>
            </w:tcMar>
          </w:tcPr>
          <w:p>
            <w:pPr>
              <w:spacing w:after="0"/>
            </w:pPr>
            <w:r/>
            <w:r>
              <w:rPr>
                <w:rFonts w:ascii="Arial" w:hAnsi="Arial"/>
                <w:b w:val="0"/>
                <w:sz w:val="13"/>
              </w:rPr>
              <w:t>Uniform access, retention, lifecycle, CMEK policy, logging.</w:t>
            </w:r>
          </w:p>
        </w:tc>
        <w:tc>
          <w:tcPr>
            <w:tcW w:type="dxa" w:w="1152"/>
            <w:vAlign w:val="center"/>
            <w:tcMar>
              <w:top w:w="70" w:type="dxa"/>
              <w:start w:w="80" w:type="dxa"/>
              <w:bottom w:w="70" w:type="dxa"/>
              <w:end w:w="80" w:type="dxa"/>
            </w:tcMar>
          </w:tcPr>
          <w:p>
            <w:pPr>
              <w:spacing w:after="0"/>
            </w:pPr>
            <w:r/>
            <w:r>
              <w:rPr>
                <w:rFonts w:ascii="Arial" w:hAnsi="Arial"/>
                <w:b w:val="0"/>
                <w:sz w:val="13"/>
              </w:rPr>
              <w:t>Domain with platform controls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Analytical warehouse</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BigQuery</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Standardized/curated tables, views, SQL serving and sharing.</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Dataset IAM, policy tags, reservations, audit, recovery and cost.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Domain data-product team</w:t>
            </w:r>
          </w:p>
        </w:tc>
      </w:tr>
      <w:tr>
        <w:tc>
          <w:tcPr>
            <w:tcW w:type="dxa" w:w="1440"/>
            <w:vAlign w:val="center"/>
            <w:tcMar>
              <w:top w:w="70" w:type="dxa"/>
              <w:start w:w="80" w:type="dxa"/>
              <w:bottom w:w="70" w:type="dxa"/>
              <w:end w:w="80" w:type="dxa"/>
            </w:tcMar>
          </w:tcPr>
          <w:p>
            <w:pPr>
              <w:spacing w:after="0"/>
            </w:pPr>
            <w:r/>
            <w:r>
              <w:rPr>
                <w:rFonts w:ascii="Arial" w:hAnsi="Arial"/>
                <w:b w:val="0"/>
                <w:sz w:val="13"/>
              </w:rPr>
              <w:t>Open lakehouse</w:t>
            </w:r>
          </w:p>
        </w:tc>
        <w:tc>
          <w:tcPr>
            <w:tcW w:type="dxa" w:w="2088"/>
            <w:vAlign w:val="center"/>
            <w:tcMar>
              <w:top w:w="70" w:type="dxa"/>
              <w:start w:w="80" w:type="dxa"/>
              <w:bottom w:w="70" w:type="dxa"/>
              <w:end w:w="80" w:type="dxa"/>
            </w:tcMar>
          </w:tcPr>
          <w:p>
            <w:pPr>
              <w:spacing w:after="0"/>
            </w:pPr>
            <w:r/>
            <w:r>
              <w:rPr>
                <w:rFonts w:ascii="Arial" w:hAnsi="Arial"/>
                <w:b w:val="0"/>
                <w:sz w:val="13"/>
              </w:rPr>
              <w:t>BigLake</w:t>
            </w:r>
          </w:p>
        </w:tc>
        <w:tc>
          <w:tcPr>
            <w:tcW w:type="dxa" w:w="2448"/>
            <w:vAlign w:val="center"/>
            <w:tcMar>
              <w:top w:w="70" w:type="dxa"/>
              <w:start w:w="80" w:type="dxa"/>
              <w:bottom w:w="70" w:type="dxa"/>
              <w:end w:w="80" w:type="dxa"/>
            </w:tcMar>
          </w:tcPr>
          <w:p>
            <w:pPr>
              <w:spacing w:after="0"/>
            </w:pPr>
            <w:r/>
            <w:r>
              <w:rPr>
                <w:rFonts w:ascii="Arial" w:hAnsi="Arial"/>
                <w:b w:val="0"/>
                <w:sz w:val="13"/>
              </w:rPr>
              <w:t>Managed access to open-format data.</w:t>
            </w:r>
          </w:p>
        </w:tc>
        <w:tc>
          <w:tcPr>
            <w:tcW w:type="dxa" w:w="2952"/>
            <w:vAlign w:val="center"/>
            <w:tcMar>
              <w:top w:w="70" w:type="dxa"/>
              <w:start w:w="80" w:type="dxa"/>
              <w:bottom w:w="70" w:type="dxa"/>
              <w:end w:w="80" w:type="dxa"/>
            </w:tcMar>
          </w:tcPr>
          <w:p>
            <w:pPr>
              <w:spacing w:after="0"/>
            </w:pPr>
            <w:r/>
            <w:r>
              <w:rPr>
                <w:rFonts w:ascii="Arial" w:hAnsi="Arial"/>
                <w:b w:val="0"/>
                <w:sz w:val="13"/>
              </w:rPr>
              <w:t>Metadata, table format, access, compaction and engine validation.</w:t>
            </w:r>
          </w:p>
        </w:tc>
        <w:tc>
          <w:tcPr>
            <w:tcW w:type="dxa" w:w="1152"/>
            <w:vAlign w:val="center"/>
            <w:tcMar>
              <w:top w:w="70" w:type="dxa"/>
              <w:start w:w="80" w:type="dxa"/>
              <w:bottom w:w="70" w:type="dxa"/>
              <w:end w:w="80" w:type="dxa"/>
            </w:tcMar>
          </w:tcPr>
          <w:p>
            <w:pPr>
              <w:spacing w:after="0"/>
            </w:pPr>
            <w:r/>
            <w:r>
              <w:rPr>
                <w:rFonts w:ascii="Arial" w:hAnsi="Arial"/>
                <w:b w:val="0"/>
                <w:sz w:val="13"/>
              </w:rPr>
              <w:t>Platform and domain</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Metadata and discovery</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Knowledge Catalog</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Catalog, glossary, ownership, lineage and product metadata.</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Aspect standards, completeness, stewardship and lifecycle.</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Governance platform</w:t>
            </w:r>
          </w:p>
        </w:tc>
      </w:tr>
      <w:tr>
        <w:tc>
          <w:tcPr>
            <w:tcW w:type="dxa" w:w="1440"/>
            <w:vAlign w:val="center"/>
            <w:tcMar>
              <w:top w:w="70" w:type="dxa"/>
              <w:start w:w="80" w:type="dxa"/>
              <w:bottom w:w="70" w:type="dxa"/>
              <w:end w:w="80" w:type="dxa"/>
            </w:tcMar>
          </w:tcPr>
          <w:p>
            <w:pPr>
              <w:spacing w:after="0"/>
            </w:pPr>
            <w:r/>
            <w:r>
              <w:rPr>
                <w:rFonts w:ascii="Arial" w:hAnsi="Arial"/>
                <w:b w:val="0"/>
                <w:sz w:val="13"/>
              </w:rPr>
              <w:t>Sensitive-data control</w:t>
            </w:r>
          </w:p>
        </w:tc>
        <w:tc>
          <w:tcPr>
            <w:tcW w:type="dxa" w:w="2088"/>
            <w:vAlign w:val="center"/>
            <w:tcMar>
              <w:top w:w="70" w:type="dxa"/>
              <w:start w:w="80" w:type="dxa"/>
              <w:bottom w:w="70" w:type="dxa"/>
              <w:end w:w="80" w:type="dxa"/>
            </w:tcMar>
          </w:tcPr>
          <w:p>
            <w:pPr>
              <w:spacing w:after="0"/>
            </w:pPr>
            <w:r/>
            <w:r>
              <w:rPr>
                <w:rFonts w:ascii="Arial" w:hAnsi="Arial"/>
                <w:b w:val="0"/>
                <w:sz w:val="13"/>
              </w:rPr>
              <w:t>Sensitive Data Protection</w:t>
            </w:r>
          </w:p>
        </w:tc>
        <w:tc>
          <w:tcPr>
            <w:tcW w:type="dxa" w:w="2448"/>
            <w:vAlign w:val="center"/>
            <w:tcMar>
              <w:top w:w="70" w:type="dxa"/>
              <w:start w:w="80" w:type="dxa"/>
              <w:bottom w:w="70" w:type="dxa"/>
              <w:end w:w="80" w:type="dxa"/>
            </w:tcMar>
          </w:tcPr>
          <w:p>
            <w:pPr>
              <w:spacing w:after="0"/>
            </w:pPr>
            <w:r/>
            <w:r>
              <w:rPr>
                <w:rFonts w:ascii="Arial" w:hAnsi="Arial"/>
                <w:b w:val="0"/>
                <w:sz w:val="13"/>
              </w:rPr>
              <w:t>Inspection, classification support and de-identification.</w:t>
            </w:r>
          </w:p>
        </w:tc>
        <w:tc>
          <w:tcPr>
            <w:tcW w:type="dxa" w:w="2952"/>
            <w:vAlign w:val="center"/>
            <w:tcMar>
              <w:top w:w="70" w:type="dxa"/>
              <w:start w:w="80" w:type="dxa"/>
              <w:bottom w:w="70" w:type="dxa"/>
              <w:end w:w="80" w:type="dxa"/>
            </w:tcMar>
          </w:tcPr>
          <w:p>
            <w:pPr>
              <w:spacing w:after="0"/>
            </w:pPr>
            <w:r/>
            <w:r>
              <w:rPr>
                <w:rFonts w:ascii="Arial" w:hAnsi="Arial"/>
                <w:b w:val="0"/>
                <w:sz w:val="13"/>
              </w:rPr>
              <w:t>Detector tuning, sampling, review and policy integration.</w:t>
            </w:r>
          </w:p>
        </w:tc>
        <w:tc>
          <w:tcPr>
            <w:tcW w:type="dxa" w:w="1152"/>
            <w:vAlign w:val="center"/>
            <w:tcMar>
              <w:top w:w="70" w:type="dxa"/>
              <w:start w:w="80" w:type="dxa"/>
              <w:bottom w:w="70" w:type="dxa"/>
              <w:end w:w="80" w:type="dxa"/>
            </w:tcMar>
          </w:tcPr>
          <w:p>
            <w:pPr>
              <w:spacing w:after="0"/>
            </w:pPr>
            <w:r/>
            <w:r>
              <w:rPr>
                <w:rFonts w:ascii="Arial" w:hAnsi="Arial"/>
                <w:b w:val="0"/>
                <w:sz w:val="13"/>
              </w:rPr>
              <w:t>Security and privacy</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Semantic analytics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Looker</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LookML models, governed metrics and analytical applications.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Content governance, access, caching, tests and usage.</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Analytics product team</w:t>
            </w:r>
          </w:p>
        </w:tc>
      </w:tr>
      <w:tr>
        <w:tc>
          <w:tcPr>
            <w:tcW w:type="dxa" w:w="1440"/>
            <w:vAlign w:val="center"/>
            <w:tcMar>
              <w:top w:w="70" w:type="dxa"/>
              <w:start w:w="80" w:type="dxa"/>
              <w:bottom w:w="70" w:type="dxa"/>
              <w:end w:w="80" w:type="dxa"/>
            </w:tcMar>
          </w:tcPr>
          <w:p>
            <w:pPr>
              <w:spacing w:after="0"/>
            </w:pPr>
            <w:r/>
            <w:r>
              <w:rPr>
                <w:rFonts w:ascii="Arial" w:hAnsi="Arial"/>
                <w:b w:val="0"/>
                <w:sz w:val="13"/>
              </w:rPr>
              <w:t>Light BI</w:t>
            </w:r>
          </w:p>
        </w:tc>
        <w:tc>
          <w:tcPr>
            <w:tcW w:type="dxa" w:w="2088"/>
            <w:vAlign w:val="center"/>
            <w:tcMar>
              <w:top w:w="70" w:type="dxa"/>
              <w:start w:w="80" w:type="dxa"/>
              <w:bottom w:w="70" w:type="dxa"/>
              <w:end w:w="80" w:type="dxa"/>
            </w:tcMar>
          </w:tcPr>
          <w:p>
            <w:pPr>
              <w:spacing w:after="0"/>
            </w:pPr>
            <w:r/>
            <w:r>
              <w:rPr>
                <w:rFonts w:ascii="Arial" w:hAnsi="Arial"/>
                <w:b w:val="0"/>
                <w:sz w:val="13"/>
              </w:rPr>
              <w:t>Looker Studio</w:t>
            </w:r>
          </w:p>
        </w:tc>
        <w:tc>
          <w:tcPr>
            <w:tcW w:type="dxa" w:w="2448"/>
            <w:vAlign w:val="center"/>
            <w:tcMar>
              <w:top w:w="70" w:type="dxa"/>
              <w:start w:w="80" w:type="dxa"/>
              <w:bottom w:w="70" w:type="dxa"/>
              <w:end w:w="80" w:type="dxa"/>
            </w:tcMar>
          </w:tcPr>
          <w:p>
            <w:pPr>
              <w:spacing w:after="0"/>
            </w:pPr>
            <w:r/>
            <w:r>
              <w:rPr>
                <w:rFonts w:ascii="Arial" w:hAnsi="Arial"/>
                <w:b w:val="0"/>
                <w:sz w:val="13"/>
              </w:rPr>
              <w:t>Lightweight reports and collaboration.</w:t>
            </w:r>
          </w:p>
        </w:tc>
        <w:tc>
          <w:tcPr>
            <w:tcW w:type="dxa" w:w="2952"/>
            <w:vAlign w:val="center"/>
            <w:tcMar>
              <w:top w:w="70" w:type="dxa"/>
              <w:start w:w="80" w:type="dxa"/>
              <w:bottom w:w="70" w:type="dxa"/>
              <w:end w:w="80" w:type="dxa"/>
            </w:tcMar>
          </w:tcPr>
          <w:p>
            <w:pPr>
              <w:spacing w:after="0"/>
            </w:pPr>
            <w:r/>
            <w:r>
              <w:rPr>
                <w:rFonts w:ascii="Arial" w:hAnsi="Arial"/>
                <w:b w:val="0"/>
                <w:sz w:val="13"/>
              </w:rPr>
              <w:t>Certified data, sharing and lifecycle controls.</w:t>
            </w:r>
          </w:p>
        </w:tc>
        <w:tc>
          <w:tcPr>
            <w:tcW w:type="dxa" w:w="1152"/>
            <w:vAlign w:val="center"/>
            <w:tcMar>
              <w:top w:w="70" w:type="dxa"/>
              <w:start w:w="80" w:type="dxa"/>
              <w:bottom w:w="70" w:type="dxa"/>
              <w:end w:w="80" w:type="dxa"/>
            </w:tcMar>
          </w:tcPr>
          <w:p>
            <w:pPr>
              <w:spacing w:after="0"/>
            </w:pPr>
            <w:r/>
            <w:r>
              <w:rPr>
                <w:rFonts w:ascii="Arial" w:hAnsi="Arial"/>
                <w:b w:val="0"/>
                <w:sz w:val="13"/>
              </w:rPr>
              <w:t>Domain analytics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Spreadsheet analytics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Connected Sheets</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Governed BigQuery access from spreadsheets.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Access inheritance, source certification and query controls.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Business analytics</w:t>
            </w:r>
          </w:p>
        </w:tc>
      </w:tr>
      <w:tr>
        <w:tc>
          <w:tcPr>
            <w:tcW w:type="dxa" w:w="1440"/>
            <w:vAlign w:val="center"/>
            <w:tcMar>
              <w:top w:w="70" w:type="dxa"/>
              <w:start w:w="80" w:type="dxa"/>
              <w:bottom w:w="70" w:type="dxa"/>
              <w:end w:w="80" w:type="dxa"/>
            </w:tcMar>
          </w:tcPr>
          <w:p>
            <w:pPr>
              <w:spacing w:after="0"/>
            </w:pPr>
            <w:r/>
            <w:r>
              <w:rPr>
                <w:rFonts w:ascii="Arial" w:hAnsi="Arial"/>
                <w:b w:val="0"/>
                <w:sz w:val="13"/>
              </w:rPr>
              <w:t>Model lifecycle</w:t>
            </w:r>
          </w:p>
        </w:tc>
        <w:tc>
          <w:tcPr>
            <w:tcW w:type="dxa" w:w="2088"/>
            <w:vAlign w:val="center"/>
            <w:tcMar>
              <w:top w:w="70" w:type="dxa"/>
              <w:start w:w="80" w:type="dxa"/>
              <w:bottom w:w="70" w:type="dxa"/>
              <w:end w:w="80" w:type="dxa"/>
            </w:tcMar>
          </w:tcPr>
          <w:p>
            <w:pPr>
              <w:spacing w:after="0"/>
            </w:pPr>
            <w:r/>
            <w:r>
              <w:rPr>
                <w:rFonts w:ascii="Arial" w:hAnsi="Arial"/>
                <w:b w:val="0"/>
                <w:sz w:val="13"/>
              </w:rPr>
              <w:t>Vertex AI</w:t>
            </w:r>
          </w:p>
        </w:tc>
        <w:tc>
          <w:tcPr>
            <w:tcW w:type="dxa" w:w="2448"/>
            <w:vAlign w:val="center"/>
            <w:tcMar>
              <w:top w:w="70" w:type="dxa"/>
              <w:start w:w="80" w:type="dxa"/>
              <w:bottom w:w="70" w:type="dxa"/>
              <w:end w:w="80" w:type="dxa"/>
            </w:tcMar>
          </w:tcPr>
          <w:p>
            <w:pPr>
              <w:spacing w:after="0"/>
            </w:pPr>
            <w:r/>
            <w:r>
              <w:rPr>
                <w:rFonts w:ascii="Arial" w:hAnsi="Arial"/>
                <w:b w:val="0"/>
                <w:sz w:val="13"/>
              </w:rPr>
              <w:t>Workbench, training, pipelines, registry, endpoints and monitoring.</w:t>
            </w:r>
          </w:p>
        </w:tc>
        <w:tc>
          <w:tcPr>
            <w:tcW w:type="dxa" w:w="2952"/>
            <w:vAlign w:val="center"/>
            <w:tcMar>
              <w:top w:w="70" w:type="dxa"/>
              <w:start w:w="80" w:type="dxa"/>
              <w:bottom w:w="70" w:type="dxa"/>
              <w:end w:w="80" w:type="dxa"/>
            </w:tcMar>
          </w:tcPr>
          <w:p>
            <w:pPr>
              <w:spacing w:after="0"/>
            </w:pPr>
            <w:r/>
            <w:r>
              <w:rPr>
                <w:rFonts w:ascii="Arial" w:hAnsi="Arial"/>
                <w:b w:val="0"/>
                <w:sz w:val="13"/>
              </w:rPr>
              <w:t>AI risk tier, identity, network, evaluations and audit.</w:t>
            </w:r>
          </w:p>
        </w:tc>
        <w:tc>
          <w:tcPr>
            <w:tcW w:type="dxa" w:w="1152"/>
            <w:vAlign w:val="center"/>
            <w:tcMar>
              <w:top w:w="70" w:type="dxa"/>
              <w:start w:w="80" w:type="dxa"/>
              <w:bottom w:w="70" w:type="dxa"/>
              <w:end w:w="80" w:type="dxa"/>
            </w:tcMar>
          </w:tcPr>
          <w:p>
            <w:pPr>
              <w:spacing w:after="0"/>
            </w:pPr>
            <w:r/>
            <w:r>
              <w:rPr>
                <w:rFonts w:ascii="Arial" w:hAnsi="Arial"/>
                <w:b w:val="0"/>
                <w:sz w:val="13"/>
              </w:rPr>
              <w:t>AI platform and model owner</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Generative AI</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Vertex AI Gemini capabilities</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Grounded generation, evaluation and enterprise applications.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Prompt/data controls, safety, citations, red-team and token budget.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AI platform and use-case owner</w:t>
            </w:r>
          </w:p>
        </w:tc>
      </w:tr>
      <w:tr>
        <w:tc>
          <w:tcPr>
            <w:tcW w:type="dxa" w:w="1440"/>
            <w:vAlign w:val="center"/>
            <w:tcMar>
              <w:top w:w="70" w:type="dxa"/>
              <w:start w:w="80" w:type="dxa"/>
              <w:bottom w:w="70" w:type="dxa"/>
              <w:end w:w="80" w:type="dxa"/>
            </w:tcMar>
          </w:tcPr>
          <w:p>
            <w:pPr>
              <w:spacing w:after="0"/>
            </w:pPr>
            <w:r/>
            <w:r>
              <w:rPr>
                <w:rFonts w:ascii="Arial" w:hAnsi="Arial"/>
                <w:b w:val="0"/>
                <w:sz w:val="13"/>
              </w:rPr>
              <w:t>RAG retrieval</w:t>
            </w:r>
          </w:p>
        </w:tc>
        <w:tc>
          <w:tcPr>
            <w:tcW w:type="dxa" w:w="2088"/>
            <w:vAlign w:val="center"/>
            <w:tcMar>
              <w:top w:w="70" w:type="dxa"/>
              <w:start w:w="80" w:type="dxa"/>
              <w:bottom w:w="70" w:type="dxa"/>
              <w:end w:w="80" w:type="dxa"/>
            </w:tcMar>
          </w:tcPr>
          <w:p>
            <w:pPr>
              <w:spacing w:after="0"/>
            </w:pPr>
            <w:r/>
            <w:r>
              <w:rPr>
                <w:rFonts w:ascii="Arial" w:hAnsi="Arial"/>
                <w:b w:val="0"/>
                <w:sz w:val="13"/>
              </w:rPr>
              <w:t>Vector Search / BigQuery vector capabilities</w:t>
            </w:r>
          </w:p>
        </w:tc>
        <w:tc>
          <w:tcPr>
            <w:tcW w:type="dxa" w:w="2448"/>
            <w:vAlign w:val="center"/>
            <w:tcMar>
              <w:top w:w="70" w:type="dxa"/>
              <w:start w:w="80" w:type="dxa"/>
              <w:bottom w:w="70" w:type="dxa"/>
              <w:end w:w="80" w:type="dxa"/>
            </w:tcMar>
          </w:tcPr>
          <w:p>
            <w:pPr>
              <w:spacing w:after="0"/>
            </w:pPr>
            <w:r/>
            <w:r>
              <w:rPr>
                <w:rFonts w:ascii="Arial" w:hAnsi="Arial"/>
                <w:b w:val="0"/>
                <w:sz w:val="13"/>
              </w:rPr>
              <w:t>Embedding indexing and similarity retrieval.</w:t>
            </w:r>
          </w:p>
        </w:tc>
        <w:tc>
          <w:tcPr>
            <w:tcW w:type="dxa" w:w="2952"/>
            <w:vAlign w:val="center"/>
            <w:tcMar>
              <w:top w:w="70" w:type="dxa"/>
              <w:start w:w="80" w:type="dxa"/>
              <w:bottom w:w="70" w:type="dxa"/>
              <w:end w:w="80" w:type="dxa"/>
            </w:tcMar>
          </w:tcPr>
          <w:p>
            <w:pPr>
              <w:spacing w:after="0"/>
            </w:pPr>
            <w:r/>
            <w:r>
              <w:rPr>
                <w:rFonts w:ascii="Arial" w:hAnsi="Arial"/>
                <w:b w:val="0"/>
                <w:sz w:val="13"/>
              </w:rPr>
              <w:t>Embedding/model version, index ACL, freshness and evaluation.</w:t>
            </w:r>
          </w:p>
        </w:tc>
        <w:tc>
          <w:tcPr>
            <w:tcW w:type="dxa" w:w="1152"/>
            <w:vAlign w:val="center"/>
            <w:tcMar>
              <w:top w:w="70" w:type="dxa"/>
              <w:start w:w="80" w:type="dxa"/>
              <w:bottom w:w="70" w:type="dxa"/>
              <w:end w:w="80" w:type="dxa"/>
            </w:tcMar>
          </w:tcPr>
          <w:p>
            <w:pPr>
              <w:spacing w:after="0"/>
            </w:pPr>
            <w:r/>
            <w:r>
              <w:rPr>
                <w:rFonts w:ascii="Arial" w:hAnsi="Arial"/>
                <w:b w:val="0"/>
                <w:sz w:val="13"/>
              </w:rPr>
              <w:t>AI platform</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Data/API services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Cloud Run</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Data APIs, adapters and control services.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Private ingress, service identity, secrets, tracing and autoscaling.</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Application/data platform</w:t>
            </w:r>
          </w:p>
        </w:tc>
      </w:tr>
      <w:tr>
        <w:tc>
          <w:tcPr>
            <w:tcW w:type="dxa" w:w="1440"/>
            <w:vAlign w:val="center"/>
            <w:tcMar>
              <w:top w:w="70" w:type="dxa"/>
              <w:start w:w="80" w:type="dxa"/>
              <w:bottom w:w="70" w:type="dxa"/>
              <w:end w:w="80" w:type="dxa"/>
            </w:tcMar>
          </w:tcPr>
          <w:p>
            <w:pPr>
              <w:spacing w:after="0"/>
            </w:pPr>
            <w:r/>
            <w:r>
              <w:rPr>
                <w:rFonts w:ascii="Arial" w:hAnsi="Arial"/>
                <w:b w:val="0"/>
                <w:sz w:val="13"/>
              </w:rPr>
              <w:t>API governance</w:t>
            </w:r>
          </w:p>
        </w:tc>
        <w:tc>
          <w:tcPr>
            <w:tcW w:type="dxa" w:w="2088"/>
            <w:vAlign w:val="center"/>
            <w:tcMar>
              <w:top w:w="70" w:type="dxa"/>
              <w:start w:w="80" w:type="dxa"/>
              <w:bottom w:w="70" w:type="dxa"/>
              <w:end w:w="80" w:type="dxa"/>
            </w:tcMar>
          </w:tcPr>
          <w:p>
            <w:pPr>
              <w:spacing w:after="0"/>
            </w:pPr>
            <w:r/>
            <w:r>
              <w:rPr>
                <w:rFonts w:ascii="Arial" w:hAnsi="Arial"/>
                <w:b w:val="0"/>
                <w:sz w:val="13"/>
              </w:rPr>
              <w:t>Apigee / API Gateway</w:t>
            </w:r>
          </w:p>
        </w:tc>
        <w:tc>
          <w:tcPr>
            <w:tcW w:type="dxa" w:w="2448"/>
            <w:vAlign w:val="center"/>
            <w:tcMar>
              <w:top w:w="70" w:type="dxa"/>
              <w:start w:w="80" w:type="dxa"/>
              <w:bottom w:w="70" w:type="dxa"/>
              <w:end w:w="80" w:type="dxa"/>
            </w:tcMar>
          </w:tcPr>
          <w:p>
            <w:pPr>
              <w:spacing w:after="0"/>
            </w:pPr>
            <w:r/>
            <w:r>
              <w:rPr>
                <w:rFonts w:ascii="Arial" w:hAnsi="Arial"/>
                <w:b w:val="0"/>
                <w:sz w:val="13"/>
              </w:rPr>
              <w:t>Authentication, policy, quotas and lifecycle for data APIs.</w:t>
            </w:r>
          </w:p>
        </w:tc>
        <w:tc>
          <w:tcPr>
            <w:tcW w:type="dxa" w:w="2952"/>
            <w:vAlign w:val="center"/>
            <w:tcMar>
              <w:top w:w="70" w:type="dxa"/>
              <w:start w:w="80" w:type="dxa"/>
              <w:bottom w:w="70" w:type="dxa"/>
              <w:end w:w="80" w:type="dxa"/>
            </w:tcMar>
          </w:tcPr>
          <w:p>
            <w:pPr>
              <w:spacing w:after="0"/>
            </w:pPr>
            <w:r/>
            <w:r>
              <w:rPr>
                <w:rFonts w:ascii="Arial" w:hAnsi="Arial"/>
                <w:b w:val="0"/>
                <w:sz w:val="13"/>
              </w:rPr>
              <w:t>Threat protection, developer access, audit and availability.</w:t>
            </w:r>
          </w:p>
        </w:tc>
        <w:tc>
          <w:tcPr>
            <w:tcW w:type="dxa" w:w="1152"/>
            <w:vAlign w:val="center"/>
            <w:tcMar>
              <w:top w:w="70" w:type="dxa"/>
              <w:start w:w="80" w:type="dxa"/>
              <w:bottom w:w="70" w:type="dxa"/>
              <w:end w:w="80" w:type="dxa"/>
            </w:tcMar>
          </w:tcPr>
          <w:p>
            <w:pPr>
              <w:spacing w:after="0"/>
            </w:pPr>
            <w:r/>
            <w:r>
              <w:rPr>
                <w:rFonts w:ascii="Arial" w:hAnsi="Arial"/>
                <w:b w:val="0"/>
                <w:sz w:val="13"/>
              </w:rPr>
              <w:t>Integration platform</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Identity</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Cloud IAM, Cloud Identity, Workforce/Workload Identity Federation</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Human and workload authentication/authorization.</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Groups, JIT, impersonation, no long-lived keys, access reviews.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Identity/security</w:t>
            </w:r>
          </w:p>
        </w:tc>
      </w:tr>
      <w:tr>
        <w:tc>
          <w:tcPr>
            <w:tcW w:type="dxa" w:w="1440"/>
            <w:vAlign w:val="center"/>
            <w:tcMar>
              <w:top w:w="70" w:type="dxa"/>
              <w:start w:w="80" w:type="dxa"/>
              <w:bottom w:w="70" w:type="dxa"/>
              <w:end w:w="80" w:type="dxa"/>
            </w:tcMar>
          </w:tcPr>
          <w:p>
            <w:pPr>
              <w:spacing w:after="0"/>
            </w:pPr>
            <w:r/>
            <w:r>
              <w:rPr>
                <w:rFonts w:ascii="Arial" w:hAnsi="Arial"/>
                <w:b w:val="0"/>
                <w:sz w:val="13"/>
              </w:rPr>
              <w:t>Network</w:t>
            </w:r>
          </w:p>
        </w:tc>
        <w:tc>
          <w:tcPr>
            <w:tcW w:type="dxa" w:w="2088"/>
            <w:vAlign w:val="center"/>
            <w:tcMar>
              <w:top w:w="70" w:type="dxa"/>
              <w:start w:w="80" w:type="dxa"/>
              <w:bottom w:w="70" w:type="dxa"/>
              <w:end w:w="80" w:type="dxa"/>
            </w:tcMar>
          </w:tcPr>
          <w:p>
            <w:pPr>
              <w:spacing w:after="0"/>
            </w:pPr>
            <w:r/>
            <w:r>
              <w:rPr>
                <w:rFonts w:ascii="Arial" w:hAnsi="Arial"/>
                <w:b w:val="0"/>
                <w:sz w:val="13"/>
              </w:rPr>
              <w:t>Shared VPC, PSC, Interconnect, VPN, Cloud DNS, firewall policies</w:t>
            </w:r>
          </w:p>
        </w:tc>
        <w:tc>
          <w:tcPr>
            <w:tcW w:type="dxa" w:w="2448"/>
            <w:vAlign w:val="center"/>
            <w:tcMar>
              <w:top w:w="70" w:type="dxa"/>
              <w:start w:w="80" w:type="dxa"/>
              <w:bottom w:w="70" w:type="dxa"/>
              <w:end w:w="80" w:type="dxa"/>
            </w:tcMar>
          </w:tcPr>
          <w:p>
            <w:pPr>
              <w:spacing w:after="0"/>
            </w:pPr>
            <w:r/>
            <w:r>
              <w:rPr>
                <w:rFonts w:ascii="Arial" w:hAnsi="Arial"/>
                <w:b w:val="0"/>
                <w:sz w:val="13"/>
              </w:rPr>
              <w:t>Private connectivity and segmentation.</w:t>
            </w:r>
          </w:p>
        </w:tc>
        <w:tc>
          <w:tcPr>
            <w:tcW w:type="dxa" w:w="2952"/>
            <w:vAlign w:val="center"/>
            <w:tcMar>
              <w:top w:w="70" w:type="dxa"/>
              <w:start w:w="80" w:type="dxa"/>
              <w:bottom w:w="70" w:type="dxa"/>
              <w:end w:w="80" w:type="dxa"/>
            </w:tcMar>
          </w:tcPr>
          <w:p>
            <w:pPr>
              <w:spacing w:after="0"/>
            </w:pPr>
            <w:r/>
            <w:r>
              <w:rPr>
                <w:rFonts w:ascii="Arial" w:hAnsi="Arial"/>
                <w:b w:val="0"/>
                <w:sz w:val="13"/>
              </w:rPr>
              <w:t>Address plan, routing, DNS, firewall hierarchy, flow logs.</w:t>
            </w:r>
          </w:p>
        </w:tc>
        <w:tc>
          <w:tcPr>
            <w:tcW w:type="dxa" w:w="1152"/>
            <w:vAlign w:val="center"/>
            <w:tcMar>
              <w:top w:w="70" w:type="dxa"/>
              <w:start w:w="80" w:type="dxa"/>
              <w:bottom w:w="70" w:type="dxa"/>
              <w:end w:w="80" w:type="dxa"/>
            </w:tcMar>
          </w:tcPr>
          <w:p>
            <w:pPr>
              <w:spacing w:after="0"/>
            </w:pPr>
            <w:r/>
            <w:r>
              <w:rPr>
                <w:rFonts w:ascii="Arial" w:hAnsi="Arial"/>
                <w:b w:val="0"/>
                <w:sz w:val="13"/>
              </w:rPr>
              <w:t>Network platform</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Keys and secrets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Cloud KMS, Cloud HSM, Secret Manager</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Key lifecycle, CMEK and application secrets.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Separation of duties, rotation, access logging and recovery.</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Security platform</w:t>
            </w:r>
          </w:p>
        </w:tc>
      </w:tr>
      <w:tr>
        <w:tc>
          <w:tcPr>
            <w:tcW w:type="dxa" w:w="1440"/>
            <w:vAlign w:val="center"/>
            <w:tcMar>
              <w:top w:w="70" w:type="dxa"/>
              <w:start w:w="80" w:type="dxa"/>
              <w:bottom w:w="70" w:type="dxa"/>
              <w:end w:w="80" w:type="dxa"/>
            </w:tcMar>
          </w:tcPr>
          <w:p>
            <w:pPr>
              <w:spacing w:after="0"/>
            </w:pPr>
            <w:r/>
            <w:r>
              <w:rPr>
                <w:rFonts w:ascii="Arial" w:hAnsi="Arial"/>
                <w:b w:val="0"/>
                <w:sz w:val="13"/>
              </w:rPr>
              <w:t>Security posture</w:t>
            </w:r>
          </w:p>
        </w:tc>
        <w:tc>
          <w:tcPr>
            <w:tcW w:type="dxa" w:w="2088"/>
            <w:vAlign w:val="center"/>
            <w:tcMar>
              <w:top w:w="70" w:type="dxa"/>
              <w:start w:w="80" w:type="dxa"/>
              <w:bottom w:w="70" w:type="dxa"/>
              <w:end w:w="80" w:type="dxa"/>
            </w:tcMar>
          </w:tcPr>
          <w:p>
            <w:pPr>
              <w:spacing w:after="0"/>
            </w:pPr>
            <w:r/>
            <w:r>
              <w:rPr>
                <w:rFonts w:ascii="Arial" w:hAnsi="Arial"/>
                <w:b w:val="0"/>
                <w:sz w:val="13"/>
              </w:rPr>
              <w:t>Security Command Center</w:t>
            </w:r>
          </w:p>
        </w:tc>
        <w:tc>
          <w:tcPr>
            <w:tcW w:type="dxa" w:w="2448"/>
            <w:vAlign w:val="center"/>
            <w:tcMar>
              <w:top w:w="70" w:type="dxa"/>
              <w:start w:w="80" w:type="dxa"/>
              <w:bottom w:w="70" w:type="dxa"/>
              <w:end w:w="80" w:type="dxa"/>
            </w:tcMar>
          </w:tcPr>
          <w:p>
            <w:pPr>
              <w:spacing w:after="0"/>
            </w:pPr>
            <w:r/>
            <w:r>
              <w:rPr>
                <w:rFonts w:ascii="Arial" w:hAnsi="Arial"/>
                <w:b w:val="0"/>
                <w:sz w:val="13"/>
              </w:rPr>
              <w:t>Findings, threat detection and cloud posture.</w:t>
            </w:r>
          </w:p>
        </w:tc>
        <w:tc>
          <w:tcPr>
            <w:tcW w:type="dxa" w:w="2952"/>
            <w:vAlign w:val="center"/>
            <w:tcMar>
              <w:top w:w="70" w:type="dxa"/>
              <w:start w:w="80" w:type="dxa"/>
              <w:bottom w:w="70" w:type="dxa"/>
              <w:end w:w="80" w:type="dxa"/>
            </w:tcMar>
          </w:tcPr>
          <w:p>
            <w:pPr>
              <w:spacing w:after="0"/>
            </w:pPr>
            <w:r/>
            <w:r>
              <w:rPr>
                <w:rFonts w:ascii="Arial" w:hAnsi="Arial"/>
                <w:b w:val="0"/>
                <w:sz w:val="13"/>
              </w:rPr>
              <w:t>Organization enablement, triage, SIEM export and remediation.</w:t>
            </w:r>
          </w:p>
        </w:tc>
        <w:tc>
          <w:tcPr>
            <w:tcW w:type="dxa" w:w="1152"/>
            <w:vAlign w:val="center"/>
            <w:tcMar>
              <w:top w:w="70" w:type="dxa"/>
              <w:start w:w="80" w:type="dxa"/>
              <w:bottom w:w="70" w:type="dxa"/>
              <w:end w:w="80" w:type="dxa"/>
            </w:tcMar>
          </w:tcPr>
          <w:p>
            <w:pPr>
              <w:spacing w:after="0"/>
            </w:pPr>
            <w:r/>
            <w:r>
              <w:rPr>
                <w:rFonts w:ascii="Arial" w:hAnsi="Arial"/>
                <w:b w:val="0"/>
                <w:sz w:val="13"/>
              </w:rPr>
              <w:t>Security operations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Observability</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Cloud Monitoring, Cloud Logging, Trace and Error Reporting</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Metrics, logs, traces, alerts and SLOs.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Log routing, retention, alert ownership and cost.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SRE/platform</w:t>
            </w:r>
          </w:p>
        </w:tc>
      </w:tr>
      <w:tr>
        <w:tc>
          <w:tcPr>
            <w:tcW w:type="dxa" w:w="1440"/>
            <w:vAlign w:val="center"/>
            <w:tcMar>
              <w:top w:w="70" w:type="dxa"/>
              <w:start w:w="80" w:type="dxa"/>
              <w:bottom w:w="70" w:type="dxa"/>
              <w:end w:w="80" w:type="dxa"/>
            </w:tcMar>
          </w:tcPr>
          <w:p>
            <w:pPr>
              <w:spacing w:after="0"/>
            </w:pPr>
            <w:r/>
            <w:r>
              <w:rPr>
                <w:rFonts w:ascii="Arial" w:hAnsi="Arial"/>
                <w:b w:val="0"/>
                <w:sz w:val="13"/>
              </w:rPr>
              <w:t>Delivery automation</w:t>
            </w:r>
          </w:p>
        </w:tc>
        <w:tc>
          <w:tcPr>
            <w:tcW w:type="dxa" w:w="2088"/>
            <w:vAlign w:val="center"/>
            <w:tcMar>
              <w:top w:w="70" w:type="dxa"/>
              <w:start w:w="80" w:type="dxa"/>
              <w:bottom w:w="70" w:type="dxa"/>
              <w:end w:w="80" w:type="dxa"/>
            </w:tcMar>
          </w:tcPr>
          <w:p>
            <w:pPr>
              <w:spacing w:after="0"/>
            </w:pPr>
            <w:r/>
            <w:r>
              <w:rPr>
                <w:rFonts w:ascii="Arial" w:hAnsi="Arial"/>
                <w:b w:val="0"/>
                <w:sz w:val="13"/>
              </w:rPr>
              <w:t>Terraform, Cloud Build/GitHub Actions, Artifact Registry, Cloud Deploy where relevant</w:t>
            </w:r>
          </w:p>
        </w:tc>
        <w:tc>
          <w:tcPr>
            <w:tcW w:type="dxa" w:w="2448"/>
            <w:vAlign w:val="center"/>
            <w:tcMar>
              <w:top w:w="70" w:type="dxa"/>
              <w:start w:w="80" w:type="dxa"/>
              <w:bottom w:w="70" w:type="dxa"/>
              <w:end w:w="80" w:type="dxa"/>
            </w:tcMar>
          </w:tcPr>
          <w:p>
            <w:pPr>
              <w:spacing w:after="0"/>
            </w:pPr>
            <w:r/>
            <w:r>
              <w:rPr>
                <w:rFonts w:ascii="Arial" w:hAnsi="Arial"/>
                <w:b w:val="0"/>
                <w:sz w:val="13"/>
              </w:rPr>
              <w:t>Infrastructure and application delivery.</w:t>
            </w:r>
          </w:p>
        </w:tc>
        <w:tc>
          <w:tcPr>
            <w:tcW w:type="dxa" w:w="2952"/>
            <w:vAlign w:val="center"/>
            <w:tcMar>
              <w:top w:w="70" w:type="dxa"/>
              <w:start w:w="80" w:type="dxa"/>
              <w:bottom w:w="70" w:type="dxa"/>
              <w:end w:w="80" w:type="dxa"/>
            </w:tcMar>
          </w:tcPr>
          <w:p>
            <w:pPr>
              <w:spacing w:after="0"/>
            </w:pPr>
            <w:r/>
            <w:r>
              <w:rPr>
                <w:rFonts w:ascii="Arial" w:hAnsi="Arial"/>
                <w:b w:val="0"/>
                <w:sz w:val="13"/>
              </w:rPr>
              <w:t>WIF, provenance, policy, immutable artifacts, approvals and rollback.</w:t>
            </w:r>
          </w:p>
        </w:tc>
        <w:tc>
          <w:tcPr>
            <w:tcW w:type="dxa" w:w="1152"/>
            <w:vAlign w:val="center"/>
            <w:tcMar>
              <w:top w:w="70" w:type="dxa"/>
              <w:start w:w="80" w:type="dxa"/>
              <w:bottom w:w="70" w:type="dxa"/>
              <w:end w:w="80" w:type="dxa"/>
            </w:tcMar>
          </w:tcPr>
          <w:p>
            <w:pPr>
              <w:spacing w:after="0"/>
            </w:pPr>
            <w:r/>
            <w:r>
              <w:rPr>
                <w:rFonts w:ascii="Arial" w:hAnsi="Arial"/>
                <w:b w:val="0"/>
                <w:sz w:val="13"/>
              </w:rPr>
              <w:t>DevSecOps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3"/>
              </w:rPr>
              <w:t>FinOps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Cloud Billing export, BigQuery, dashboards and reservations</w:t>
            </w:r>
          </w:p>
        </w:tc>
        <w:tc>
          <w:tcPr>
            <w:tcW w:type="dxa" w:w="2448"/>
            <w:vAlign w:val="center"/>
            <w:tcMar>
              <w:top w:w="70" w:type="dxa"/>
              <w:start w:w="80" w:type="dxa"/>
              <w:bottom w:w="70" w:type="dxa"/>
              <w:end w:w="80" w:type="dxa"/>
            </w:tcMar>
            <w:shd w:fill="F8F9FA"/>
          </w:tcPr>
          <w:p>
            <w:pPr>
              <w:spacing w:after="0"/>
            </w:pPr>
            <w:r/>
            <w:r>
              <w:rPr>
                <w:rFonts w:ascii="Arial" w:hAnsi="Arial"/>
                <w:b w:val="0"/>
                <w:sz w:val="13"/>
              </w:rPr>
              <w:t>Allocation, forecast, optimization and unit economics.</w:t>
            </w:r>
          </w:p>
        </w:tc>
        <w:tc>
          <w:tcPr>
            <w:tcW w:type="dxa" w:w="2952"/>
            <w:vAlign w:val="center"/>
            <w:tcMar>
              <w:top w:w="70" w:type="dxa"/>
              <w:start w:w="80" w:type="dxa"/>
              <w:bottom w:w="70" w:type="dxa"/>
              <w:end w:w="80" w:type="dxa"/>
            </w:tcMar>
            <w:shd w:fill="F8F9FA"/>
          </w:tcPr>
          <w:p>
            <w:pPr>
              <w:spacing w:after="0"/>
            </w:pPr>
            <w:r/>
            <w:r>
              <w:rPr>
                <w:rFonts w:ascii="Arial" w:hAnsi="Arial"/>
                <w:b w:val="0"/>
                <w:sz w:val="13"/>
              </w:rPr>
              <w:t>Labels/tags, ownership, data quality and review cadence.</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FinOps</w:t>
            </w:r>
          </w:p>
        </w:tc>
      </w:tr>
    </w:tbl>
    <w:p>
      <w:pPr>
        <w:spacing w:after="20"/>
      </w:pPr>
    </w:p>
    <w:p>
      <w:pPr>
        <w:pStyle w:val="Heading2"/>
      </w:pPr>
      <w:r>
        <w:t>10.1 Service-use Rules</w:t>
      </w:r>
    </w:p>
    <w:p>
      <w:pPr>
        <w:pStyle w:val="ListBullet"/>
        <w:spacing w:after="40"/>
      </w:pPr>
      <w:r>
        <w:t>Service enablement occurs through approved project and Terraform modules, not ad hoc console use.</w:t>
      </w:r>
    </w:p>
    <w:p>
      <w:pPr>
        <w:pStyle w:val="ListBullet"/>
        <w:spacing w:after="40"/>
      </w:pPr>
      <w:r>
        <w:t>Each service instance or logical deployment has an owner, environment, classification, cost center and support tier.</w:t>
      </w:r>
    </w:p>
    <w:p>
      <w:pPr>
        <w:pStyle w:val="ListBullet"/>
        <w:spacing w:after="40"/>
      </w:pPr>
      <w:r>
        <w:t>Private access, service perimeter, CMEK and region behavior are validated for the exact service capability used.</w:t>
      </w:r>
    </w:p>
    <w:p>
      <w:pPr>
        <w:pStyle w:val="ListBullet"/>
        <w:spacing w:after="40"/>
      </w:pPr>
      <w:r>
        <w:t>Audit, operational and cost telemetry are routed to enterprise platforms before production acceptance.</w:t>
      </w:r>
    </w:p>
    <w:p>
      <w:pPr>
        <w:pStyle w:val="ListBullet"/>
        <w:spacing w:after="40"/>
      </w:pPr>
      <w:r>
        <w:t>Services that store or process business data are registered in the architecture repository and data catalog as applicable.</w:t>
      </w:r>
    </w:p>
    <w:p>
      <w:pPr>
        <w:pStyle w:val="ListBullet"/>
        <w:spacing w:after="40"/>
      </w:pPr>
      <w:r>
        <w:t>Unsupported or preview capabilities require explicit risk acceptance and cannot silently underpin Tier 0 commitments.</w:t>
      </w:r>
    </w:p>
    <w:p>
      <w:r>
        <w:br w:type="page"/>
      </w:r>
    </w:p>
    <w:p>
      <w:pPr>
        <w:pStyle w:val="Heading1"/>
      </w:pPr>
      <w:r>
        <w:t>11. Enterprise Capability Matrix</w:t>
      </w:r>
    </w:p>
    <w:p>
      <w:pPr>
        <w:pStyle w:val="Lead"/>
      </w:pPr>
      <w:r>
        <w:t>The capability matrix defines what the platform must enable and the maturity expected over the transformation. It is used for investment planning, architecture assurance and quarterly maturity reviews.</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Capability scope; Current-to-target maturity; Accountability; Evidence.</w:t>
            </w:r>
          </w:p>
        </w:tc>
      </w:tr>
    </w:tbl>
    <w:p>
      <w:pPr>
        <w:spacing w:after="20"/>
      </w:pP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656"/>
            <w:vAlign w:val="center"/>
            <w:tcMar>
              <w:top w:w="70" w:type="dxa"/>
              <w:start w:w="80" w:type="dxa"/>
              <w:bottom w:w="70" w:type="dxa"/>
              <w:end w:w="80" w:type="dxa"/>
            </w:tcMar>
            <w:shd w:fill="1A73E8"/>
          </w:tcPr>
          <w:p>
            <w:pPr>
              <w:spacing w:after="0"/>
            </w:pPr>
            <w:r/>
            <w:r>
              <w:rPr>
                <w:rFonts w:ascii="Arial" w:hAnsi="Arial"/>
                <w:b/>
                <w:color w:val="FFFFFF"/>
                <w:sz w:val="16"/>
              </w:rPr>
              <w:t>Domain</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Capability</w:t>
            </w:r>
          </w:p>
        </w:tc>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Current maturity</w:t>
            </w:r>
          </w:p>
        </w:tc>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Target maturity</w:t>
            </w:r>
          </w:p>
        </w:tc>
        <w:tc>
          <w:tcPr>
            <w:tcW w:type="dxa" w:w="3456"/>
            <w:vAlign w:val="center"/>
            <w:tcMar>
              <w:top w:w="70" w:type="dxa"/>
              <w:start w:w="80" w:type="dxa"/>
              <w:bottom w:w="70" w:type="dxa"/>
              <w:end w:w="80" w:type="dxa"/>
            </w:tcMar>
            <w:shd w:fill="1A73E8"/>
          </w:tcPr>
          <w:p>
            <w:pPr>
              <w:spacing w:after="0"/>
            </w:pPr>
            <w:r/>
            <w:r>
              <w:rPr>
                <w:rFonts w:ascii="Arial" w:hAnsi="Arial"/>
                <w:b/>
                <w:color w:val="FFFFFF"/>
                <w:sz w:val="16"/>
              </w:rPr>
              <w:t>Target-state evidence</w:t>
            </w:r>
          </w:p>
        </w:tc>
        <w:tc>
          <w:tcPr>
            <w:tcW w:type="dxa" w:w="1152"/>
            <w:vAlign w:val="center"/>
            <w:tcMar>
              <w:top w:w="70" w:type="dxa"/>
              <w:start w:w="80" w:type="dxa"/>
              <w:bottom w:w="70" w:type="dxa"/>
              <w:end w:w="80" w:type="dxa"/>
            </w:tcMar>
            <w:shd w:fill="1A73E8"/>
          </w:tcPr>
          <w:p>
            <w:pPr>
              <w:spacing w:after="0"/>
            </w:pPr>
            <w:r/>
            <w:r>
              <w:rPr>
                <w:rFonts w:ascii="Arial" w:hAnsi="Arial"/>
                <w:b/>
                <w:color w:val="FFFFFF"/>
                <w:sz w:val="16"/>
              </w:rPr>
              <w:t>Accountable owner</w:t>
            </w:r>
          </w:p>
        </w:tc>
      </w:tr>
      <w:tr>
        <w:tc>
          <w:tcPr>
            <w:tcW w:type="dxa" w:w="1656"/>
            <w:vAlign w:val="center"/>
            <w:tcMar>
              <w:top w:w="70" w:type="dxa"/>
              <w:start w:w="80" w:type="dxa"/>
              <w:bottom w:w="70" w:type="dxa"/>
              <w:end w:w="80" w:type="dxa"/>
            </w:tcMar>
          </w:tcPr>
          <w:p>
            <w:pPr>
              <w:spacing w:after="0"/>
            </w:pPr>
            <w:r/>
            <w:r>
              <w:rPr>
                <w:rFonts w:ascii="Arial" w:hAnsi="Arial"/>
                <w:b w:val="0"/>
                <w:sz w:val="13"/>
              </w:rPr>
              <w:t>Strategy and governance</w:t>
            </w:r>
          </w:p>
        </w:tc>
        <w:tc>
          <w:tcPr>
            <w:tcW w:type="dxa" w:w="2232"/>
            <w:vAlign w:val="center"/>
            <w:tcMar>
              <w:top w:w="70" w:type="dxa"/>
              <w:start w:w="80" w:type="dxa"/>
              <w:bottom w:w="70" w:type="dxa"/>
              <w:end w:w="80" w:type="dxa"/>
            </w:tcMar>
          </w:tcPr>
          <w:p>
            <w:pPr>
              <w:spacing w:after="0"/>
            </w:pPr>
            <w:r/>
            <w:r>
              <w:rPr>
                <w:rFonts w:ascii="Arial" w:hAnsi="Arial"/>
                <w:b w:val="0"/>
                <w:sz w:val="13"/>
              </w:rPr>
              <w:t>Platform product management</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Funded roadmap, adoption telemetry and quarterly value review.</w:t>
            </w:r>
          </w:p>
        </w:tc>
        <w:tc>
          <w:tcPr>
            <w:tcW w:type="dxa" w:w="1152"/>
            <w:vAlign w:val="center"/>
            <w:tcMar>
              <w:top w:w="70" w:type="dxa"/>
              <w:start w:w="80" w:type="dxa"/>
              <w:bottom w:w="70" w:type="dxa"/>
              <w:end w:w="80" w:type="dxa"/>
            </w:tcMar>
          </w:tcPr>
          <w:p>
            <w:pPr>
              <w:spacing w:after="0"/>
            </w:pPr>
            <w:r/>
            <w:r>
              <w:rPr>
                <w:rFonts w:ascii="Arial" w:hAnsi="Arial"/>
                <w:b w:val="0"/>
                <w:sz w:val="13"/>
              </w:rPr>
              <w:t>Platform Product Owner</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Strategy and governance</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Architecture governance</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Strategic service catalog, ADRs, exception lifecycle and conformance reporting.</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Chief Architect</w:t>
            </w:r>
          </w:p>
        </w:tc>
      </w:tr>
      <w:tr>
        <w:tc>
          <w:tcPr>
            <w:tcW w:type="dxa" w:w="1656"/>
            <w:vAlign w:val="center"/>
            <w:tcMar>
              <w:top w:w="70" w:type="dxa"/>
              <w:start w:w="80" w:type="dxa"/>
              <w:bottom w:w="70" w:type="dxa"/>
              <w:end w:w="80" w:type="dxa"/>
            </w:tcMar>
          </w:tcPr>
          <w:p>
            <w:pPr>
              <w:spacing w:after="0"/>
            </w:pPr>
            <w:r/>
            <w:r>
              <w:rPr>
                <w:rFonts w:ascii="Arial" w:hAnsi="Arial"/>
                <w:b w:val="0"/>
                <w:sz w:val="13"/>
              </w:rPr>
              <w:t>Strategy and governance</w:t>
            </w:r>
          </w:p>
        </w:tc>
        <w:tc>
          <w:tcPr>
            <w:tcW w:type="dxa" w:w="2232"/>
            <w:vAlign w:val="center"/>
            <w:tcMar>
              <w:top w:w="70" w:type="dxa"/>
              <w:start w:w="80" w:type="dxa"/>
              <w:bottom w:w="70" w:type="dxa"/>
              <w:end w:w="80" w:type="dxa"/>
            </w:tcMar>
          </w:tcPr>
          <w:p>
            <w:pPr>
              <w:spacing w:after="0"/>
            </w:pPr>
            <w:r/>
            <w:r>
              <w:rPr>
                <w:rFonts w:ascii="Arial" w:hAnsi="Arial"/>
                <w:b w:val="0"/>
                <w:sz w:val="13"/>
              </w:rPr>
              <w:t>Data governance council</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Decision rights, glossary, classification and domain accountability.</w:t>
            </w:r>
          </w:p>
        </w:tc>
        <w:tc>
          <w:tcPr>
            <w:tcW w:type="dxa" w:w="1152"/>
            <w:vAlign w:val="center"/>
            <w:tcMar>
              <w:top w:w="70" w:type="dxa"/>
              <w:start w:w="80" w:type="dxa"/>
              <w:bottom w:w="70" w:type="dxa"/>
              <w:end w:w="80" w:type="dxa"/>
            </w:tcMar>
          </w:tcPr>
          <w:p>
            <w:pPr>
              <w:spacing w:after="0"/>
            </w:pPr>
            <w:r/>
            <w:r>
              <w:rPr>
                <w:rFonts w:ascii="Arial" w:hAnsi="Arial"/>
                <w:b w:val="0"/>
                <w:sz w:val="13"/>
              </w:rPr>
              <w:t>CDO</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Foundation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Organization and policy hierarchy</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5</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Automated folder/project deployment and policy assurance.</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Cloud Platform</w:t>
            </w:r>
          </w:p>
        </w:tc>
      </w:tr>
      <w:tr>
        <w:tc>
          <w:tcPr>
            <w:tcW w:type="dxa" w:w="1656"/>
            <w:vAlign w:val="center"/>
            <w:tcMar>
              <w:top w:w="70" w:type="dxa"/>
              <w:start w:w="80" w:type="dxa"/>
              <w:bottom w:w="70" w:type="dxa"/>
              <w:end w:w="80" w:type="dxa"/>
            </w:tcMar>
          </w:tcPr>
          <w:p>
            <w:pPr>
              <w:spacing w:after="0"/>
            </w:pPr>
            <w:r/>
            <w:r>
              <w:rPr>
                <w:rFonts w:ascii="Arial" w:hAnsi="Arial"/>
                <w:b w:val="0"/>
                <w:sz w:val="13"/>
              </w:rPr>
              <w:t>Foundation</w:t>
            </w:r>
          </w:p>
        </w:tc>
        <w:tc>
          <w:tcPr>
            <w:tcW w:type="dxa" w:w="2232"/>
            <w:vAlign w:val="center"/>
            <w:tcMar>
              <w:top w:w="70" w:type="dxa"/>
              <w:start w:w="80" w:type="dxa"/>
              <w:bottom w:w="70" w:type="dxa"/>
              <w:end w:w="80" w:type="dxa"/>
            </w:tcMar>
          </w:tcPr>
          <w:p>
            <w:pPr>
              <w:spacing w:after="0"/>
            </w:pPr>
            <w:r/>
            <w:r>
              <w:rPr>
                <w:rFonts w:ascii="Arial" w:hAnsi="Arial"/>
                <w:b w:val="0"/>
                <w:sz w:val="13"/>
              </w:rPr>
              <w:t>Project factory</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Self-service governed projects delivered within two working days.</w:t>
            </w:r>
          </w:p>
        </w:tc>
        <w:tc>
          <w:tcPr>
            <w:tcW w:type="dxa" w:w="1152"/>
            <w:vAlign w:val="center"/>
            <w:tcMar>
              <w:top w:w="70" w:type="dxa"/>
              <w:start w:w="80" w:type="dxa"/>
              <w:bottom w:w="70" w:type="dxa"/>
              <w:end w:w="80" w:type="dxa"/>
            </w:tcMar>
          </w:tcPr>
          <w:p>
            <w:pPr>
              <w:spacing w:after="0"/>
            </w:pPr>
            <w:r/>
            <w:r>
              <w:rPr>
                <w:rFonts w:ascii="Arial" w:hAnsi="Arial"/>
                <w:b w:val="0"/>
                <w:sz w:val="13"/>
              </w:rPr>
              <w:t>Cloud Platform</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Foundation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Hybrid connectivity</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Resilient private connectivity, routing, DNS and monitoring.</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Network Platform</w:t>
            </w:r>
          </w:p>
        </w:tc>
      </w:tr>
      <w:tr>
        <w:tc>
          <w:tcPr>
            <w:tcW w:type="dxa" w:w="1656"/>
            <w:vAlign w:val="center"/>
            <w:tcMar>
              <w:top w:w="70" w:type="dxa"/>
              <w:start w:w="80" w:type="dxa"/>
              <w:bottom w:w="70" w:type="dxa"/>
              <w:end w:w="80" w:type="dxa"/>
            </w:tcMar>
          </w:tcPr>
          <w:p>
            <w:pPr>
              <w:spacing w:after="0"/>
            </w:pPr>
            <w:r/>
            <w:r>
              <w:rPr>
                <w:rFonts w:ascii="Arial" w:hAnsi="Arial"/>
                <w:b w:val="0"/>
                <w:sz w:val="13"/>
              </w:rPr>
              <w:t>Foundation</w:t>
            </w:r>
          </w:p>
        </w:tc>
        <w:tc>
          <w:tcPr>
            <w:tcW w:type="dxa" w:w="2232"/>
            <w:vAlign w:val="center"/>
            <w:tcMar>
              <w:top w:w="70" w:type="dxa"/>
              <w:start w:w="80" w:type="dxa"/>
              <w:bottom w:w="70" w:type="dxa"/>
              <w:end w:w="80" w:type="dxa"/>
            </w:tcMar>
          </w:tcPr>
          <w:p>
            <w:pPr>
              <w:spacing w:after="0"/>
            </w:pPr>
            <w:r/>
            <w:r>
              <w:rPr>
                <w:rFonts w:ascii="Arial" w:hAnsi="Arial"/>
                <w:b w:val="0"/>
                <w:sz w:val="13"/>
              </w:rPr>
              <w:t>Identity and privileged access</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Federation, JIT privilege, WIF and key-elimination evidence.</w:t>
            </w:r>
          </w:p>
        </w:tc>
        <w:tc>
          <w:tcPr>
            <w:tcW w:type="dxa" w:w="1152"/>
            <w:vAlign w:val="center"/>
            <w:tcMar>
              <w:top w:w="70" w:type="dxa"/>
              <w:start w:w="80" w:type="dxa"/>
              <w:bottom w:w="70" w:type="dxa"/>
              <w:end w:w="80" w:type="dxa"/>
            </w:tcMar>
          </w:tcPr>
          <w:p>
            <w:pPr>
              <w:spacing w:after="0"/>
            </w:pPr>
            <w:r/>
            <w:r>
              <w:rPr>
                <w:rFonts w:ascii="Arial" w:hAnsi="Arial"/>
                <w:b w:val="0"/>
                <w:sz w:val="13"/>
              </w:rPr>
              <w:t>Security/Identity</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Foundation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Service perimeter and egress governance</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Dry-run validation, controlled rules and exfiltration monitoring.</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Security/Network</w:t>
            </w:r>
          </w:p>
        </w:tc>
      </w:tr>
      <w:tr>
        <w:tc>
          <w:tcPr>
            <w:tcW w:type="dxa" w:w="1656"/>
            <w:vAlign w:val="center"/>
            <w:tcMar>
              <w:top w:w="70" w:type="dxa"/>
              <w:start w:w="80" w:type="dxa"/>
              <w:bottom w:w="70" w:type="dxa"/>
              <w:end w:w="80" w:type="dxa"/>
            </w:tcMar>
          </w:tcPr>
          <w:p>
            <w:pPr>
              <w:spacing w:after="0"/>
            </w:pPr>
            <w:r/>
            <w:r>
              <w:rPr>
                <w:rFonts w:ascii="Arial" w:hAnsi="Arial"/>
                <w:b w:val="0"/>
                <w:sz w:val="13"/>
              </w:rPr>
              <w:t>Data acquisition</w:t>
            </w:r>
          </w:p>
        </w:tc>
        <w:tc>
          <w:tcPr>
            <w:tcW w:type="dxa" w:w="2232"/>
            <w:vAlign w:val="center"/>
            <w:tcMar>
              <w:top w:w="70" w:type="dxa"/>
              <w:start w:w="80" w:type="dxa"/>
              <w:bottom w:w="70" w:type="dxa"/>
              <w:end w:w="80" w:type="dxa"/>
            </w:tcMar>
          </w:tcPr>
          <w:p>
            <w:pPr>
              <w:spacing w:after="0"/>
            </w:pPr>
            <w:r/>
            <w:r>
              <w:rPr>
                <w:rFonts w:ascii="Arial" w:hAnsi="Arial"/>
                <w:b w:val="0"/>
                <w:sz w:val="13"/>
              </w:rPr>
              <w:t>Batch ingestion</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Reusable manifest, validation, quarantine and reconciliation pattern.</w:t>
            </w:r>
          </w:p>
        </w:tc>
        <w:tc>
          <w:tcPr>
            <w:tcW w:type="dxa" w:w="1152"/>
            <w:vAlign w:val="center"/>
            <w:tcMar>
              <w:top w:w="70" w:type="dxa"/>
              <w:start w:w="80" w:type="dxa"/>
              <w:bottom w:w="70" w:type="dxa"/>
              <w:end w:w="80" w:type="dxa"/>
            </w:tcMar>
          </w:tcPr>
          <w:p>
            <w:pPr>
              <w:spacing w:after="0"/>
            </w:pPr>
            <w:r/>
            <w:r>
              <w:rPr>
                <w:rFonts w:ascii="Arial" w:hAnsi="Arial"/>
                <w:b w:val="0"/>
                <w:sz w:val="13"/>
              </w:rPr>
              <w:t>Data Platform</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Data acquisition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CDC</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Supported source factory with schema handling and replay/reconciliation.</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Platform</w:t>
            </w:r>
          </w:p>
        </w:tc>
      </w:tr>
      <w:tr>
        <w:tc>
          <w:tcPr>
            <w:tcW w:type="dxa" w:w="1656"/>
            <w:vAlign w:val="center"/>
            <w:tcMar>
              <w:top w:w="70" w:type="dxa"/>
              <w:start w:w="80" w:type="dxa"/>
              <w:bottom w:w="70" w:type="dxa"/>
              <w:end w:w="80" w:type="dxa"/>
            </w:tcMar>
          </w:tcPr>
          <w:p>
            <w:pPr>
              <w:spacing w:after="0"/>
            </w:pPr>
            <w:r/>
            <w:r>
              <w:rPr>
                <w:rFonts w:ascii="Arial" w:hAnsi="Arial"/>
                <w:b w:val="0"/>
                <w:sz w:val="13"/>
              </w:rPr>
              <w:t>Data acquisition</w:t>
            </w:r>
          </w:p>
        </w:tc>
        <w:tc>
          <w:tcPr>
            <w:tcW w:type="dxa" w:w="2232"/>
            <w:vAlign w:val="center"/>
            <w:tcMar>
              <w:top w:w="70" w:type="dxa"/>
              <w:start w:w="80" w:type="dxa"/>
              <w:bottom w:w="70" w:type="dxa"/>
              <w:end w:w="80" w:type="dxa"/>
            </w:tcMar>
          </w:tcPr>
          <w:p>
            <w:pPr>
              <w:spacing w:after="0"/>
            </w:pPr>
            <w:r/>
            <w:r>
              <w:rPr>
                <w:rFonts w:ascii="Arial" w:hAnsi="Arial"/>
                <w:b w:val="0"/>
                <w:sz w:val="13"/>
              </w:rPr>
              <w:t>Streaming events</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Contracted events, DLQ, replay, backlog SLO and templates.</w:t>
            </w:r>
          </w:p>
        </w:tc>
        <w:tc>
          <w:tcPr>
            <w:tcW w:type="dxa" w:w="1152"/>
            <w:vAlign w:val="center"/>
            <w:tcMar>
              <w:top w:w="70" w:type="dxa"/>
              <w:start w:w="80" w:type="dxa"/>
              <w:bottom w:w="70" w:type="dxa"/>
              <w:end w:w="80" w:type="dxa"/>
            </w:tcMar>
          </w:tcPr>
          <w:p>
            <w:pPr>
              <w:spacing w:after="0"/>
            </w:pPr>
            <w:r/>
            <w:r>
              <w:rPr>
                <w:rFonts w:ascii="Arial" w:hAnsi="Arial"/>
                <w:b w:val="0"/>
                <w:sz w:val="13"/>
              </w:rPr>
              <w:t>Event Platform</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Data acquisition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API/SaaS integration</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Approved adapter patterns, secrets, retries and source telemetry.</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Integration Platform</w:t>
            </w:r>
          </w:p>
        </w:tc>
      </w:tr>
      <w:tr>
        <w:tc>
          <w:tcPr>
            <w:tcW w:type="dxa" w:w="1656"/>
            <w:vAlign w:val="center"/>
            <w:tcMar>
              <w:top w:w="70" w:type="dxa"/>
              <w:start w:w="80" w:type="dxa"/>
              <w:bottom w:w="70" w:type="dxa"/>
              <w:end w:w="80" w:type="dxa"/>
            </w:tcMar>
          </w:tcPr>
          <w:p>
            <w:pPr>
              <w:spacing w:after="0"/>
            </w:pPr>
            <w:r/>
            <w:r>
              <w:rPr>
                <w:rFonts w:ascii="Arial" w:hAnsi="Arial"/>
                <w:b w:val="0"/>
                <w:sz w:val="13"/>
              </w:rPr>
              <w:t>Data foundation</w:t>
            </w:r>
          </w:p>
        </w:tc>
        <w:tc>
          <w:tcPr>
            <w:tcW w:type="dxa" w:w="2232"/>
            <w:vAlign w:val="center"/>
            <w:tcMar>
              <w:top w:w="70" w:type="dxa"/>
              <w:start w:w="80" w:type="dxa"/>
              <w:bottom w:w="70" w:type="dxa"/>
              <w:end w:w="80" w:type="dxa"/>
            </w:tcMar>
          </w:tcPr>
          <w:p>
            <w:pPr>
              <w:spacing w:after="0"/>
            </w:pPr>
            <w:r/>
            <w:r>
              <w:rPr>
                <w:rFonts w:ascii="Arial" w:hAnsi="Arial"/>
                <w:b w:val="0"/>
                <w:sz w:val="13"/>
              </w:rPr>
              <w:t>Raw and archive management</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Immutable raw standards, lifecycle, legal hold and recovery.</w:t>
            </w:r>
          </w:p>
        </w:tc>
        <w:tc>
          <w:tcPr>
            <w:tcW w:type="dxa" w:w="1152"/>
            <w:vAlign w:val="center"/>
            <w:tcMar>
              <w:top w:w="70" w:type="dxa"/>
              <w:start w:w="80" w:type="dxa"/>
              <w:bottom w:w="70" w:type="dxa"/>
              <w:end w:w="80" w:type="dxa"/>
            </w:tcMar>
          </w:tcPr>
          <w:p>
            <w:pPr>
              <w:spacing w:after="0"/>
            </w:pPr>
            <w:r/>
            <w:r>
              <w:rPr>
                <w:rFonts w:ascii="Arial" w:hAnsi="Arial"/>
                <w:b w:val="0"/>
                <w:sz w:val="13"/>
              </w:rPr>
              <w:t>Data Platform</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Data foundation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BigQuery analytical products</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5</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Domain datasets, performance standards, access and recovery.</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Domain/Product Teams</w:t>
            </w:r>
          </w:p>
        </w:tc>
      </w:tr>
      <w:tr>
        <w:tc>
          <w:tcPr>
            <w:tcW w:type="dxa" w:w="1656"/>
            <w:vAlign w:val="center"/>
            <w:tcMar>
              <w:top w:w="70" w:type="dxa"/>
              <w:start w:w="80" w:type="dxa"/>
              <w:bottom w:w="70" w:type="dxa"/>
              <w:end w:w="80" w:type="dxa"/>
            </w:tcMar>
          </w:tcPr>
          <w:p>
            <w:pPr>
              <w:spacing w:after="0"/>
            </w:pPr>
            <w:r/>
            <w:r>
              <w:rPr>
                <w:rFonts w:ascii="Arial" w:hAnsi="Arial"/>
                <w:b w:val="0"/>
                <w:sz w:val="13"/>
              </w:rPr>
              <w:t>Data foundation</w:t>
            </w:r>
          </w:p>
        </w:tc>
        <w:tc>
          <w:tcPr>
            <w:tcW w:type="dxa" w:w="2232"/>
            <w:vAlign w:val="center"/>
            <w:tcMar>
              <w:top w:w="70" w:type="dxa"/>
              <w:start w:w="80" w:type="dxa"/>
              <w:bottom w:w="70" w:type="dxa"/>
              <w:end w:w="80" w:type="dxa"/>
            </w:tcMar>
          </w:tcPr>
          <w:p>
            <w:pPr>
              <w:spacing w:after="0"/>
            </w:pPr>
            <w:r/>
            <w:r>
              <w:rPr>
                <w:rFonts w:ascii="Arial" w:hAnsi="Arial"/>
                <w:b w:val="0"/>
                <w:sz w:val="13"/>
              </w:rPr>
              <w:t>Open lakehouse</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3</w:t>
            </w:r>
          </w:p>
        </w:tc>
        <w:tc>
          <w:tcPr>
            <w:tcW w:type="dxa" w:w="3456"/>
            <w:vAlign w:val="center"/>
            <w:tcMar>
              <w:top w:w="70" w:type="dxa"/>
              <w:start w:w="80" w:type="dxa"/>
              <w:bottom w:w="70" w:type="dxa"/>
              <w:end w:w="80" w:type="dxa"/>
            </w:tcMar>
          </w:tcPr>
          <w:p>
            <w:pPr>
              <w:spacing w:after="0"/>
            </w:pPr>
            <w:r/>
            <w:r>
              <w:rPr>
                <w:rFonts w:ascii="Arial" w:hAnsi="Arial"/>
                <w:b w:val="0"/>
                <w:sz w:val="13"/>
              </w:rPr>
              <w:t>Approved BigLake/Iceberg use cases and interoperability tests.</w:t>
            </w:r>
          </w:p>
        </w:tc>
        <w:tc>
          <w:tcPr>
            <w:tcW w:type="dxa" w:w="1152"/>
            <w:vAlign w:val="center"/>
            <w:tcMar>
              <w:top w:w="70" w:type="dxa"/>
              <w:start w:w="80" w:type="dxa"/>
              <w:bottom w:w="70" w:type="dxa"/>
              <w:end w:w="80" w:type="dxa"/>
            </w:tcMar>
          </w:tcPr>
          <w:p>
            <w:pPr>
              <w:spacing w:after="0"/>
            </w:pPr>
            <w:r/>
            <w:r>
              <w:rPr>
                <w:rFonts w:ascii="Arial" w:hAnsi="Arial"/>
                <w:b w:val="0"/>
                <w:sz w:val="13"/>
              </w:rPr>
              <w:t>Data Platform</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Data foundation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Reference/master data integration</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Authoritative sources, survivorship interface and product contracts.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Governance</w:t>
            </w:r>
          </w:p>
        </w:tc>
      </w:tr>
      <w:tr>
        <w:tc>
          <w:tcPr>
            <w:tcW w:type="dxa" w:w="1656"/>
            <w:vAlign w:val="center"/>
            <w:tcMar>
              <w:top w:w="70" w:type="dxa"/>
              <w:start w:w="80" w:type="dxa"/>
              <w:bottom w:w="70" w:type="dxa"/>
              <w:end w:w="80" w:type="dxa"/>
            </w:tcMar>
          </w:tcPr>
          <w:p>
            <w:pPr>
              <w:spacing w:after="0"/>
            </w:pPr>
            <w:r/>
            <w:r>
              <w:rPr>
                <w:rFonts w:ascii="Arial" w:hAnsi="Arial"/>
                <w:b w:val="0"/>
                <w:sz w:val="13"/>
              </w:rPr>
              <w:t>Engineering</w:t>
            </w:r>
          </w:p>
        </w:tc>
        <w:tc>
          <w:tcPr>
            <w:tcW w:type="dxa" w:w="2232"/>
            <w:vAlign w:val="center"/>
            <w:tcMar>
              <w:top w:w="70" w:type="dxa"/>
              <w:start w:w="80" w:type="dxa"/>
              <w:bottom w:w="70" w:type="dxa"/>
              <w:end w:w="80" w:type="dxa"/>
            </w:tcMar>
          </w:tcPr>
          <w:p>
            <w:pPr>
              <w:spacing w:after="0"/>
            </w:pPr>
            <w:r/>
            <w:r>
              <w:rPr>
                <w:rFonts w:ascii="Arial" w:hAnsi="Arial"/>
                <w:b w:val="0"/>
                <w:sz w:val="13"/>
              </w:rPr>
              <w:t>SQL ELT</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Dataform repositories, assertions, CI and release standards.</w:t>
            </w:r>
          </w:p>
        </w:tc>
        <w:tc>
          <w:tcPr>
            <w:tcW w:type="dxa" w:w="1152"/>
            <w:vAlign w:val="center"/>
            <w:tcMar>
              <w:top w:w="70" w:type="dxa"/>
              <w:start w:w="80" w:type="dxa"/>
              <w:bottom w:w="70" w:type="dxa"/>
              <w:end w:w="80" w:type="dxa"/>
            </w:tcMar>
          </w:tcPr>
          <w:p>
            <w:pPr>
              <w:spacing w:after="0"/>
            </w:pPr>
            <w:r/>
            <w:r>
              <w:rPr>
                <w:rFonts w:ascii="Arial" w:hAnsi="Arial"/>
                <w:b w:val="0"/>
                <w:sz w:val="13"/>
              </w:rPr>
              <w:t>Analytics Engineering</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Engineering</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Streaming processing</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Dataflow templates, load tests, state standards and runbooks.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Engineering</w:t>
            </w:r>
          </w:p>
        </w:tc>
      </w:tr>
      <w:tr>
        <w:tc>
          <w:tcPr>
            <w:tcW w:type="dxa" w:w="1656"/>
            <w:vAlign w:val="center"/>
            <w:tcMar>
              <w:top w:w="70" w:type="dxa"/>
              <w:start w:w="80" w:type="dxa"/>
              <w:bottom w:w="70" w:type="dxa"/>
              <w:end w:w="80" w:type="dxa"/>
            </w:tcMar>
          </w:tcPr>
          <w:p>
            <w:pPr>
              <w:spacing w:after="0"/>
            </w:pPr>
            <w:r/>
            <w:r>
              <w:rPr>
                <w:rFonts w:ascii="Arial" w:hAnsi="Arial"/>
                <w:b w:val="0"/>
                <w:sz w:val="13"/>
              </w:rPr>
              <w:t>Engineering</w:t>
            </w:r>
          </w:p>
        </w:tc>
        <w:tc>
          <w:tcPr>
            <w:tcW w:type="dxa" w:w="2232"/>
            <w:vAlign w:val="center"/>
            <w:tcMar>
              <w:top w:w="70" w:type="dxa"/>
              <w:start w:w="80" w:type="dxa"/>
              <w:bottom w:w="70" w:type="dxa"/>
              <w:end w:w="80" w:type="dxa"/>
            </w:tcMar>
          </w:tcPr>
          <w:p>
            <w:pPr>
              <w:spacing w:after="0"/>
            </w:pPr>
            <w:r/>
            <w:r>
              <w:rPr>
                <w:rFonts w:ascii="Arial" w:hAnsi="Arial"/>
                <w:b w:val="0"/>
                <w:sz w:val="13"/>
              </w:rPr>
              <w:t>Spark processing</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Serverless job templates, dependencies, cost and operational standards.</w:t>
            </w:r>
          </w:p>
        </w:tc>
        <w:tc>
          <w:tcPr>
            <w:tcW w:type="dxa" w:w="1152"/>
            <w:vAlign w:val="center"/>
            <w:tcMar>
              <w:top w:w="70" w:type="dxa"/>
              <w:start w:w="80" w:type="dxa"/>
              <w:bottom w:w="70" w:type="dxa"/>
              <w:end w:w="80" w:type="dxa"/>
            </w:tcMar>
          </w:tcPr>
          <w:p>
            <w:pPr>
              <w:spacing w:after="0"/>
            </w:pPr>
            <w:r/>
            <w:r>
              <w:rPr>
                <w:rFonts w:ascii="Arial" w:hAnsi="Arial"/>
                <w:b w:val="0"/>
                <w:sz w:val="13"/>
              </w:rPr>
              <w:t>Data Engineering</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Engineering</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Orchestration</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Decision tree, DAG standards, monitoring and backfill procedures.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Platform</w:t>
            </w:r>
          </w:p>
        </w:tc>
      </w:tr>
      <w:tr>
        <w:tc>
          <w:tcPr>
            <w:tcW w:type="dxa" w:w="1656"/>
            <w:vAlign w:val="center"/>
            <w:tcMar>
              <w:top w:w="70" w:type="dxa"/>
              <w:start w:w="80" w:type="dxa"/>
              <w:bottom w:w="70" w:type="dxa"/>
              <w:end w:w="80" w:type="dxa"/>
            </w:tcMar>
          </w:tcPr>
          <w:p>
            <w:pPr>
              <w:spacing w:after="0"/>
            </w:pPr>
            <w:r/>
            <w:r>
              <w:rPr>
                <w:rFonts w:ascii="Arial" w:hAnsi="Arial"/>
                <w:b w:val="0"/>
                <w:sz w:val="13"/>
              </w:rPr>
              <w:t>Governance</w:t>
            </w:r>
          </w:p>
        </w:tc>
        <w:tc>
          <w:tcPr>
            <w:tcW w:type="dxa" w:w="2232"/>
            <w:vAlign w:val="center"/>
            <w:tcMar>
              <w:top w:w="70" w:type="dxa"/>
              <w:start w:w="80" w:type="dxa"/>
              <w:bottom w:w="70" w:type="dxa"/>
              <w:end w:w="80" w:type="dxa"/>
            </w:tcMar>
          </w:tcPr>
          <w:p>
            <w:pPr>
              <w:spacing w:after="0"/>
            </w:pPr>
            <w:r/>
            <w:r>
              <w:rPr>
                <w:rFonts w:ascii="Arial" w:hAnsi="Arial"/>
                <w:b w:val="0"/>
                <w:sz w:val="13"/>
              </w:rPr>
              <w:t>Enterprise catalog and glossary</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Automated asset inventory, product metadata and governed definitions.</w:t>
            </w:r>
          </w:p>
        </w:tc>
        <w:tc>
          <w:tcPr>
            <w:tcW w:type="dxa" w:w="1152"/>
            <w:vAlign w:val="center"/>
            <w:tcMar>
              <w:top w:w="70" w:type="dxa"/>
              <w:start w:w="80" w:type="dxa"/>
              <w:bottom w:w="70" w:type="dxa"/>
              <w:end w:w="80" w:type="dxa"/>
            </w:tcMar>
          </w:tcPr>
          <w:p>
            <w:pPr>
              <w:spacing w:after="0"/>
            </w:pPr>
            <w:r/>
            <w:r>
              <w:rPr>
                <w:rFonts w:ascii="Arial" w:hAnsi="Arial"/>
                <w:b w:val="0"/>
                <w:sz w:val="13"/>
              </w:rPr>
              <w:t>Data Governance</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Governance</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Lineage</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Critical source-to-consumer lineage and change impact.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Governance</w:t>
            </w:r>
          </w:p>
        </w:tc>
      </w:tr>
      <w:tr>
        <w:tc>
          <w:tcPr>
            <w:tcW w:type="dxa" w:w="1656"/>
            <w:vAlign w:val="center"/>
            <w:tcMar>
              <w:top w:w="70" w:type="dxa"/>
              <w:start w:w="80" w:type="dxa"/>
              <w:bottom w:w="70" w:type="dxa"/>
              <w:end w:w="80" w:type="dxa"/>
            </w:tcMar>
          </w:tcPr>
          <w:p>
            <w:pPr>
              <w:spacing w:after="0"/>
            </w:pPr>
            <w:r/>
            <w:r>
              <w:rPr>
                <w:rFonts w:ascii="Arial" w:hAnsi="Arial"/>
                <w:b w:val="0"/>
                <w:sz w:val="13"/>
              </w:rPr>
              <w:t>Governance</w:t>
            </w:r>
          </w:p>
        </w:tc>
        <w:tc>
          <w:tcPr>
            <w:tcW w:type="dxa" w:w="2232"/>
            <w:vAlign w:val="center"/>
            <w:tcMar>
              <w:top w:w="70" w:type="dxa"/>
              <w:start w:w="80" w:type="dxa"/>
              <w:bottom w:w="70" w:type="dxa"/>
              <w:end w:w="80" w:type="dxa"/>
            </w:tcMar>
          </w:tcPr>
          <w:p>
            <w:pPr>
              <w:spacing w:after="0"/>
            </w:pPr>
            <w:r/>
            <w:r>
              <w:rPr>
                <w:rFonts w:ascii="Arial" w:hAnsi="Arial"/>
                <w:b w:val="0"/>
                <w:sz w:val="13"/>
              </w:rPr>
              <w:t>Data quality</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Rule framework, scorecards, certification and issue workflow.</w:t>
            </w:r>
          </w:p>
        </w:tc>
        <w:tc>
          <w:tcPr>
            <w:tcW w:type="dxa" w:w="1152"/>
            <w:vAlign w:val="center"/>
            <w:tcMar>
              <w:top w:w="70" w:type="dxa"/>
              <w:start w:w="80" w:type="dxa"/>
              <w:bottom w:w="70" w:type="dxa"/>
              <w:end w:w="80" w:type="dxa"/>
            </w:tcMar>
          </w:tcPr>
          <w:p>
            <w:pPr>
              <w:spacing w:after="0"/>
            </w:pPr>
            <w:r/>
            <w:r>
              <w:rPr>
                <w:rFonts w:ascii="Arial" w:hAnsi="Arial"/>
                <w:b w:val="0"/>
                <w:sz w:val="13"/>
              </w:rPr>
              <w:t>Domain Stewards</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Governance</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Data contracts</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Versioned schemas, compatibility gates and consumer notifications.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Data Product Owners</w:t>
            </w:r>
          </w:p>
        </w:tc>
      </w:tr>
      <w:tr>
        <w:tc>
          <w:tcPr>
            <w:tcW w:type="dxa" w:w="1656"/>
            <w:vAlign w:val="center"/>
            <w:tcMar>
              <w:top w:w="70" w:type="dxa"/>
              <w:start w:w="80" w:type="dxa"/>
              <w:bottom w:w="70" w:type="dxa"/>
              <w:end w:w="80" w:type="dxa"/>
            </w:tcMar>
          </w:tcPr>
          <w:p>
            <w:pPr>
              <w:spacing w:after="0"/>
            </w:pPr>
            <w:r/>
            <w:r>
              <w:rPr>
                <w:rFonts w:ascii="Arial" w:hAnsi="Arial"/>
                <w:b w:val="0"/>
                <w:sz w:val="13"/>
              </w:rPr>
              <w:t>Governance</w:t>
            </w:r>
          </w:p>
        </w:tc>
        <w:tc>
          <w:tcPr>
            <w:tcW w:type="dxa" w:w="2232"/>
            <w:vAlign w:val="center"/>
            <w:tcMar>
              <w:top w:w="70" w:type="dxa"/>
              <w:start w:w="80" w:type="dxa"/>
              <w:bottom w:w="70" w:type="dxa"/>
              <w:end w:w="80" w:type="dxa"/>
            </w:tcMar>
          </w:tcPr>
          <w:p>
            <w:pPr>
              <w:spacing w:after="0"/>
            </w:pPr>
            <w:r/>
            <w:r>
              <w:rPr>
                <w:rFonts w:ascii="Arial" w:hAnsi="Arial"/>
                <w:b w:val="0"/>
                <w:sz w:val="13"/>
              </w:rPr>
              <w:t>Data marketplace and sharing</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Certified listings, subscriber controls and usage telemetry.</w:t>
            </w:r>
          </w:p>
        </w:tc>
        <w:tc>
          <w:tcPr>
            <w:tcW w:type="dxa" w:w="1152"/>
            <w:vAlign w:val="center"/>
            <w:tcMar>
              <w:top w:w="70" w:type="dxa"/>
              <w:start w:w="80" w:type="dxa"/>
              <w:bottom w:w="70" w:type="dxa"/>
              <w:end w:w="80" w:type="dxa"/>
            </w:tcMar>
          </w:tcPr>
          <w:p>
            <w:pPr>
              <w:spacing w:after="0"/>
            </w:pPr>
            <w:r/>
            <w:r>
              <w:rPr>
                <w:rFonts w:ascii="Arial" w:hAnsi="Arial"/>
                <w:b w:val="0"/>
                <w:sz w:val="13"/>
              </w:rPr>
              <w:t>Data Governance</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Analytics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Semantic metrics</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5</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Approved KPI layer, tests, ownership and consumption patterns.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Analytics COE</w:t>
            </w:r>
          </w:p>
        </w:tc>
      </w:tr>
      <w:tr>
        <w:tc>
          <w:tcPr>
            <w:tcW w:type="dxa" w:w="1656"/>
            <w:vAlign w:val="center"/>
            <w:tcMar>
              <w:top w:w="70" w:type="dxa"/>
              <w:start w:w="80" w:type="dxa"/>
              <w:bottom w:w="70" w:type="dxa"/>
              <w:end w:w="80" w:type="dxa"/>
            </w:tcMar>
          </w:tcPr>
          <w:p>
            <w:pPr>
              <w:spacing w:after="0"/>
            </w:pPr>
            <w:r/>
            <w:r>
              <w:rPr>
                <w:rFonts w:ascii="Arial" w:hAnsi="Arial"/>
                <w:b w:val="0"/>
                <w:sz w:val="13"/>
              </w:rPr>
              <w:t>Analytics</w:t>
            </w:r>
          </w:p>
        </w:tc>
        <w:tc>
          <w:tcPr>
            <w:tcW w:type="dxa" w:w="2232"/>
            <w:vAlign w:val="center"/>
            <w:tcMar>
              <w:top w:w="70" w:type="dxa"/>
              <w:start w:w="80" w:type="dxa"/>
              <w:bottom w:w="70" w:type="dxa"/>
              <w:end w:w="80" w:type="dxa"/>
            </w:tcMar>
          </w:tcPr>
          <w:p>
            <w:pPr>
              <w:spacing w:after="0"/>
            </w:pPr>
            <w:r/>
            <w:r>
              <w:rPr>
                <w:rFonts w:ascii="Arial" w:hAnsi="Arial"/>
                <w:b w:val="0"/>
                <w:sz w:val="13"/>
              </w:rPr>
              <w:t>Self-service BI</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Persona-based access, certified content and adoption support.</w:t>
            </w:r>
          </w:p>
        </w:tc>
        <w:tc>
          <w:tcPr>
            <w:tcW w:type="dxa" w:w="1152"/>
            <w:vAlign w:val="center"/>
            <w:tcMar>
              <w:top w:w="70" w:type="dxa"/>
              <w:start w:w="80" w:type="dxa"/>
              <w:bottom w:w="70" w:type="dxa"/>
              <w:end w:w="80" w:type="dxa"/>
            </w:tcMar>
          </w:tcPr>
          <w:p>
            <w:pPr>
              <w:spacing w:after="0"/>
            </w:pPr>
            <w:r/>
            <w:r>
              <w:rPr>
                <w:rFonts w:ascii="Arial" w:hAnsi="Arial"/>
                <w:b w:val="0"/>
                <w:sz w:val="13"/>
              </w:rPr>
              <w:t>Analytics COE</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AI</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Managed MLOps</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Pipelines, registry, deployment, monitoring and governance.</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AI Platform</w:t>
            </w:r>
          </w:p>
        </w:tc>
      </w:tr>
      <w:tr>
        <w:tc>
          <w:tcPr>
            <w:tcW w:type="dxa" w:w="1656"/>
            <w:vAlign w:val="center"/>
            <w:tcMar>
              <w:top w:w="70" w:type="dxa"/>
              <w:start w:w="80" w:type="dxa"/>
              <w:bottom w:w="70" w:type="dxa"/>
              <w:end w:w="80" w:type="dxa"/>
            </w:tcMar>
          </w:tcPr>
          <w:p>
            <w:pPr>
              <w:spacing w:after="0"/>
            </w:pPr>
            <w:r/>
            <w:r>
              <w:rPr>
                <w:rFonts w:ascii="Arial" w:hAnsi="Arial"/>
                <w:b w:val="0"/>
                <w:sz w:val="13"/>
              </w:rPr>
              <w:t>AI</w:t>
            </w:r>
          </w:p>
        </w:tc>
        <w:tc>
          <w:tcPr>
            <w:tcW w:type="dxa" w:w="2232"/>
            <w:vAlign w:val="center"/>
            <w:tcMar>
              <w:top w:w="70" w:type="dxa"/>
              <w:start w:w="80" w:type="dxa"/>
              <w:bottom w:w="70" w:type="dxa"/>
              <w:end w:w="80" w:type="dxa"/>
            </w:tcMar>
          </w:tcPr>
          <w:p>
            <w:pPr>
              <w:spacing w:after="0"/>
            </w:pPr>
            <w:r/>
            <w:r>
              <w:rPr>
                <w:rFonts w:ascii="Arial" w:hAnsi="Arial"/>
                <w:b w:val="0"/>
                <w:sz w:val="13"/>
              </w:rPr>
              <w:t>Enterprise RAG and LLMOps</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Document lineage, retrieval evaluation, safety, citations and cost.</w:t>
            </w:r>
          </w:p>
        </w:tc>
        <w:tc>
          <w:tcPr>
            <w:tcW w:type="dxa" w:w="1152"/>
            <w:vAlign w:val="center"/>
            <w:tcMar>
              <w:top w:w="70" w:type="dxa"/>
              <w:start w:w="80" w:type="dxa"/>
              <w:bottom w:w="70" w:type="dxa"/>
              <w:end w:w="80" w:type="dxa"/>
            </w:tcMar>
          </w:tcPr>
          <w:p>
            <w:pPr>
              <w:spacing w:after="0"/>
            </w:pPr>
            <w:r/>
            <w:r>
              <w:rPr>
                <w:rFonts w:ascii="Arial" w:hAnsi="Arial"/>
                <w:b w:val="0"/>
                <w:sz w:val="13"/>
              </w:rPr>
              <w:t>AI Platform</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Security</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Data classification and DLP</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5</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Automated discovery, policy tags and classified-product controls.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Security/Privacy</w:t>
            </w:r>
          </w:p>
        </w:tc>
      </w:tr>
      <w:tr>
        <w:tc>
          <w:tcPr>
            <w:tcW w:type="dxa" w:w="1656"/>
            <w:vAlign w:val="center"/>
            <w:tcMar>
              <w:top w:w="70" w:type="dxa"/>
              <w:start w:w="80" w:type="dxa"/>
              <w:bottom w:w="70" w:type="dxa"/>
              <w:end w:w="80" w:type="dxa"/>
            </w:tcMar>
          </w:tcPr>
          <w:p>
            <w:pPr>
              <w:spacing w:after="0"/>
            </w:pPr>
            <w:r/>
            <w:r>
              <w:rPr>
                <w:rFonts w:ascii="Arial" w:hAnsi="Arial"/>
                <w:b w:val="0"/>
                <w:sz w:val="13"/>
              </w:rPr>
              <w:t>Security</w:t>
            </w:r>
          </w:p>
        </w:tc>
        <w:tc>
          <w:tcPr>
            <w:tcW w:type="dxa" w:w="2232"/>
            <w:vAlign w:val="center"/>
            <w:tcMar>
              <w:top w:w="70" w:type="dxa"/>
              <w:start w:w="80" w:type="dxa"/>
              <w:bottom w:w="70" w:type="dxa"/>
              <w:end w:w="80" w:type="dxa"/>
            </w:tcMar>
          </w:tcPr>
          <w:p>
            <w:pPr>
              <w:spacing w:after="0"/>
            </w:pPr>
            <w:r/>
            <w:r>
              <w:rPr>
                <w:rFonts w:ascii="Arial" w:hAnsi="Arial"/>
                <w:b w:val="0"/>
                <w:sz w:val="13"/>
              </w:rPr>
              <w:t>Key and secret management</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CMEK policy, rotation, deletion protection and secret lifecycle.</w:t>
            </w:r>
          </w:p>
        </w:tc>
        <w:tc>
          <w:tcPr>
            <w:tcW w:type="dxa" w:w="1152"/>
            <w:vAlign w:val="center"/>
            <w:tcMar>
              <w:top w:w="70" w:type="dxa"/>
              <w:start w:w="80" w:type="dxa"/>
              <w:bottom w:w="70" w:type="dxa"/>
              <w:end w:w="80" w:type="dxa"/>
            </w:tcMar>
          </w:tcPr>
          <w:p>
            <w:pPr>
              <w:spacing w:after="0"/>
            </w:pPr>
            <w:r/>
            <w:r>
              <w:rPr>
                <w:rFonts w:ascii="Arial" w:hAnsi="Arial"/>
                <w:b w:val="0"/>
                <w:sz w:val="13"/>
              </w:rPr>
              <w:t>Security Platform</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Operations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Product SLOs and observability</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5</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Standard SLIs, dashboards, alerts, runbooks and error budgets.</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SRE</w:t>
            </w:r>
          </w:p>
        </w:tc>
      </w:tr>
      <w:tr>
        <w:tc>
          <w:tcPr>
            <w:tcW w:type="dxa" w:w="1656"/>
            <w:vAlign w:val="center"/>
            <w:tcMar>
              <w:top w:w="70" w:type="dxa"/>
              <w:start w:w="80" w:type="dxa"/>
              <w:bottom w:w="70" w:type="dxa"/>
              <w:end w:w="80" w:type="dxa"/>
            </w:tcMar>
          </w:tcPr>
          <w:p>
            <w:pPr>
              <w:spacing w:after="0"/>
            </w:pPr>
            <w:r/>
            <w:r>
              <w:rPr>
                <w:rFonts w:ascii="Arial" w:hAnsi="Arial"/>
                <w:b w:val="0"/>
                <w:sz w:val="13"/>
              </w:rPr>
              <w:t>Operations</w:t>
            </w:r>
          </w:p>
        </w:tc>
        <w:tc>
          <w:tcPr>
            <w:tcW w:type="dxa" w:w="2232"/>
            <w:vAlign w:val="center"/>
            <w:tcMar>
              <w:top w:w="70" w:type="dxa"/>
              <w:start w:w="80" w:type="dxa"/>
              <w:bottom w:w="70" w:type="dxa"/>
              <w:end w:w="80" w:type="dxa"/>
            </w:tcMar>
          </w:tcPr>
          <w:p>
            <w:pPr>
              <w:spacing w:after="0"/>
            </w:pPr>
            <w:r/>
            <w:r>
              <w:rPr>
                <w:rFonts w:ascii="Arial" w:hAnsi="Arial"/>
                <w:b w:val="0"/>
                <w:sz w:val="13"/>
              </w:rPr>
              <w:t>Incident and problem management</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On-call, incident command, post-incident review and trend actions.</w:t>
            </w:r>
          </w:p>
        </w:tc>
        <w:tc>
          <w:tcPr>
            <w:tcW w:type="dxa" w:w="1152"/>
            <w:vAlign w:val="center"/>
            <w:tcMar>
              <w:top w:w="70" w:type="dxa"/>
              <w:start w:w="80" w:type="dxa"/>
              <w:bottom w:w="70" w:type="dxa"/>
              <w:end w:w="80" w:type="dxa"/>
            </w:tcMar>
          </w:tcPr>
          <w:p>
            <w:pPr>
              <w:spacing w:after="0"/>
            </w:pPr>
            <w:r/>
            <w:r>
              <w:rPr>
                <w:rFonts w:ascii="Arial" w:hAnsi="Arial"/>
                <w:b w:val="0"/>
                <w:sz w:val="13"/>
              </w:rPr>
              <w:t>SRE</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Operations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Disaster recovery</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Tiered recovery designs, scheduled tests and evidence.</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BCDR/SRE</w:t>
            </w:r>
          </w:p>
        </w:tc>
      </w:tr>
      <w:tr>
        <w:tc>
          <w:tcPr>
            <w:tcW w:type="dxa" w:w="1656"/>
            <w:vAlign w:val="center"/>
            <w:tcMar>
              <w:top w:w="70" w:type="dxa"/>
              <w:start w:w="80" w:type="dxa"/>
              <w:bottom w:w="70" w:type="dxa"/>
              <w:end w:w="80" w:type="dxa"/>
            </w:tcMar>
          </w:tcPr>
          <w:p>
            <w:pPr>
              <w:spacing w:after="0"/>
            </w:pPr>
            <w:r/>
            <w:r>
              <w:rPr>
                <w:rFonts w:ascii="Arial" w:hAnsi="Arial"/>
                <w:b w:val="0"/>
                <w:sz w:val="13"/>
              </w:rPr>
              <w:t>Economics</w:t>
            </w:r>
          </w:p>
        </w:tc>
        <w:tc>
          <w:tcPr>
            <w:tcW w:type="dxa" w:w="2232"/>
            <w:vAlign w:val="center"/>
            <w:tcMar>
              <w:top w:w="70" w:type="dxa"/>
              <w:start w:w="80" w:type="dxa"/>
              <w:bottom w:w="70" w:type="dxa"/>
              <w:end w:w="80" w:type="dxa"/>
            </w:tcMar>
          </w:tcPr>
          <w:p>
            <w:pPr>
              <w:spacing w:after="0"/>
            </w:pPr>
            <w:r/>
            <w:r>
              <w:rPr>
                <w:rFonts w:ascii="Arial" w:hAnsi="Arial"/>
                <w:b w:val="0"/>
                <w:sz w:val="13"/>
              </w:rPr>
              <w:t>FinOps and allocation</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Product/domain showback, forecasts, reservations and unit metrics.</w:t>
            </w:r>
          </w:p>
        </w:tc>
        <w:tc>
          <w:tcPr>
            <w:tcW w:type="dxa" w:w="1152"/>
            <w:vAlign w:val="center"/>
            <w:tcMar>
              <w:top w:w="70" w:type="dxa"/>
              <w:start w:w="80" w:type="dxa"/>
              <w:bottom w:w="70" w:type="dxa"/>
              <w:end w:w="80" w:type="dxa"/>
            </w:tcMar>
          </w:tcPr>
          <w:p>
            <w:pPr>
              <w:spacing w:after="0"/>
            </w:pPr>
            <w:r/>
            <w:r>
              <w:rPr>
                <w:rFonts w:ascii="Arial" w:hAnsi="Arial"/>
                <w:b w:val="0"/>
                <w:sz w:val="13"/>
              </w:rPr>
              <w:t>FinOps</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Delivery</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Infrastructure as Code</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5</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Golden modules, controlled state, policy tests and drift detection.</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DevSecOps</w:t>
            </w:r>
          </w:p>
        </w:tc>
      </w:tr>
      <w:tr>
        <w:tc>
          <w:tcPr>
            <w:tcW w:type="dxa" w:w="1656"/>
            <w:vAlign w:val="center"/>
            <w:tcMar>
              <w:top w:w="70" w:type="dxa"/>
              <w:start w:w="80" w:type="dxa"/>
              <w:bottom w:w="70" w:type="dxa"/>
              <w:end w:w="80" w:type="dxa"/>
            </w:tcMar>
          </w:tcPr>
          <w:p>
            <w:pPr>
              <w:spacing w:after="0"/>
            </w:pPr>
            <w:r/>
            <w:r>
              <w:rPr>
                <w:rFonts w:ascii="Arial" w:hAnsi="Arial"/>
                <w:b w:val="0"/>
                <w:sz w:val="13"/>
              </w:rPr>
              <w:t>Delivery</w:t>
            </w:r>
          </w:p>
        </w:tc>
        <w:tc>
          <w:tcPr>
            <w:tcW w:type="dxa" w:w="2232"/>
            <w:vAlign w:val="center"/>
            <w:tcMar>
              <w:top w:w="70" w:type="dxa"/>
              <w:start w:w="80" w:type="dxa"/>
              <w:bottom w:w="70" w:type="dxa"/>
              <w:end w:w="80" w:type="dxa"/>
            </w:tcMar>
          </w:tcPr>
          <w:p>
            <w:pPr>
              <w:spacing w:after="0"/>
            </w:pPr>
            <w:r/>
            <w:r>
              <w:rPr>
                <w:rFonts w:ascii="Arial" w:hAnsi="Arial"/>
                <w:b w:val="0"/>
                <w:sz w:val="13"/>
              </w:rPr>
              <w:t>CI/CD and software supply chain</w:t>
            </w:r>
          </w:p>
        </w:tc>
        <w:tc>
          <w:tcPr>
            <w:tcW w:type="dxa" w:w="936"/>
            <w:vAlign w:val="center"/>
            <w:tcMar>
              <w:top w:w="70" w:type="dxa"/>
              <w:start w:w="80" w:type="dxa"/>
              <w:bottom w:w="70" w:type="dxa"/>
              <w:end w:w="80" w:type="dxa"/>
            </w:tcMar>
          </w:tcPr>
          <w:p>
            <w:pPr>
              <w:spacing w:after="0"/>
            </w:pPr>
            <w:r/>
            <w:r>
              <w:rPr>
                <w:rFonts w:ascii="Arial" w:hAnsi="Arial"/>
                <w:b w:val="0"/>
                <w:sz w:val="13"/>
              </w:rPr>
              <w:t>2</w:t>
            </w:r>
          </w:p>
        </w:tc>
        <w:tc>
          <w:tcPr>
            <w:tcW w:type="dxa" w:w="936"/>
            <w:vAlign w:val="center"/>
            <w:tcMar>
              <w:top w:w="70" w:type="dxa"/>
              <w:start w:w="80" w:type="dxa"/>
              <w:bottom w:w="70" w:type="dxa"/>
              <w:end w:w="80" w:type="dxa"/>
            </w:tcMar>
          </w:tcPr>
          <w:p>
            <w:pPr>
              <w:spacing w:after="0"/>
            </w:pPr>
            <w:r/>
            <w:r>
              <w:rPr>
                <w:rFonts w:ascii="Arial" w:hAnsi="Arial"/>
                <w:b w:val="0"/>
                <w:sz w:val="13"/>
              </w:rPr>
              <w:t>5</w:t>
            </w:r>
          </w:p>
        </w:tc>
        <w:tc>
          <w:tcPr>
            <w:tcW w:type="dxa" w:w="3456"/>
            <w:vAlign w:val="center"/>
            <w:tcMar>
              <w:top w:w="70" w:type="dxa"/>
              <w:start w:w="80" w:type="dxa"/>
              <w:bottom w:w="70" w:type="dxa"/>
              <w:end w:w="80" w:type="dxa"/>
            </w:tcMar>
          </w:tcPr>
          <w:p>
            <w:pPr>
              <w:spacing w:after="0"/>
            </w:pPr>
            <w:r/>
            <w:r>
              <w:rPr>
                <w:rFonts w:ascii="Arial" w:hAnsi="Arial"/>
                <w:b w:val="0"/>
                <w:sz w:val="13"/>
              </w:rPr>
              <w:t>WIF, immutable artifacts, scans, approvals, provenance and rollback.</w:t>
            </w:r>
          </w:p>
        </w:tc>
        <w:tc>
          <w:tcPr>
            <w:tcW w:type="dxa" w:w="1152"/>
            <w:vAlign w:val="center"/>
            <w:tcMar>
              <w:top w:w="70" w:type="dxa"/>
              <w:start w:w="80" w:type="dxa"/>
              <w:bottom w:w="70" w:type="dxa"/>
              <w:end w:w="80" w:type="dxa"/>
            </w:tcMar>
          </w:tcPr>
          <w:p>
            <w:pPr>
              <w:spacing w:after="0"/>
            </w:pPr>
            <w:r/>
            <w:r>
              <w:rPr>
                <w:rFonts w:ascii="Arial" w:hAnsi="Arial"/>
                <w:b w:val="0"/>
                <w:sz w:val="13"/>
              </w:rPr>
              <w:t>DevSecOps</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3"/>
              </w:rPr>
              <w:t>Organization</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Domain product ownership</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4</w:t>
            </w:r>
          </w:p>
        </w:tc>
        <w:tc>
          <w:tcPr>
            <w:tcW w:type="dxa" w:w="3456"/>
            <w:vAlign w:val="center"/>
            <w:tcMar>
              <w:top w:w="70" w:type="dxa"/>
              <w:start w:w="80" w:type="dxa"/>
              <w:bottom w:w="70" w:type="dxa"/>
              <w:end w:w="80" w:type="dxa"/>
            </w:tcMar>
            <w:shd w:fill="F8F9FA"/>
          </w:tcPr>
          <w:p>
            <w:pPr>
              <w:spacing w:after="0"/>
            </w:pPr>
            <w:r/>
            <w:r>
              <w:rPr>
                <w:rFonts w:ascii="Arial" w:hAnsi="Arial"/>
                <w:b w:val="0"/>
                <w:sz w:val="13"/>
              </w:rPr>
              <w:t>Named owners, contracts, SLOs, roadmap and consumer review.</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Domain Executives</w:t>
            </w:r>
          </w:p>
        </w:tc>
      </w:tr>
      <w:tr>
        <w:tc>
          <w:tcPr>
            <w:tcW w:type="dxa" w:w="1656"/>
            <w:vAlign w:val="center"/>
            <w:tcMar>
              <w:top w:w="70" w:type="dxa"/>
              <w:start w:w="80" w:type="dxa"/>
              <w:bottom w:w="70" w:type="dxa"/>
              <w:end w:w="80" w:type="dxa"/>
            </w:tcMar>
          </w:tcPr>
          <w:p>
            <w:pPr>
              <w:spacing w:after="0"/>
            </w:pPr>
            <w:r/>
            <w:r>
              <w:rPr>
                <w:rFonts w:ascii="Arial" w:hAnsi="Arial"/>
                <w:b w:val="0"/>
                <w:sz w:val="13"/>
              </w:rPr>
              <w:t>Organization</w:t>
            </w:r>
          </w:p>
        </w:tc>
        <w:tc>
          <w:tcPr>
            <w:tcW w:type="dxa" w:w="2232"/>
            <w:vAlign w:val="center"/>
            <w:tcMar>
              <w:top w:w="70" w:type="dxa"/>
              <w:start w:w="80" w:type="dxa"/>
              <w:bottom w:w="70" w:type="dxa"/>
              <w:end w:w="80" w:type="dxa"/>
            </w:tcMar>
          </w:tcPr>
          <w:p>
            <w:pPr>
              <w:spacing w:after="0"/>
            </w:pPr>
            <w:r/>
            <w:r>
              <w:rPr>
                <w:rFonts w:ascii="Arial" w:hAnsi="Arial"/>
                <w:b w:val="0"/>
                <w:sz w:val="13"/>
              </w:rPr>
              <w:t>Skills and community</w:t>
            </w:r>
          </w:p>
        </w:tc>
        <w:tc>
          <w:tcPr>
            <w:tcW w:type="dxa" w:w="936"/>
            <w:vAlign w:val="center"/>
            <w:tcMar>
              <w:top w:w="70" w:type="dxa"/>
              <w:start w:w="80" w:type="dxa"/>
              <w:bottom w:w="70" w:type="dxa"/>
              <w:end w:w="80" w:type="dxa"/>
            </w:tcMar>
          </w:tcPr>
          <w:p>
            <w:pPr>
              <w:spacing w:after="0"/>
            </w:pPr>
            <w:r/>
            <w:r>
              <w:rPr>
                <w:rFonts w:ascii="Arial" w:hAnsi="Arial"/>
                <w:b w:val="0"/>
                <w:sz w:val="13"/>
              </w:rPr>
              <w:t>1</w:t>
            </w:r>
          </w:p>
        </w:tc>
        <w:tc>
          <w:tcPr>
            <w:tcW w:type="dxa" w:w="936"/>
            <w:vAlign w:val="center"/>
            <w:tcMar>
              <w:top w:w="70" w:type="dxa"/>
              <w:start w:w="80" w:type="dxa"/>
              <w:bottom w:w="70" w:type="dxa"/>
              <w:end w:w="80" w:type="dxa"/>
            </w:tcMar>
          </w:tcPr>
          <w:p>
            <w:pPr>
              <w:spacing w:after="0"/>
            </w:pPr>
            <w:r/>
            <w:r>
              <w:rPr>
                <w:rFonts w:ascii="Arial" w:hAnsi="Arial"/>
                <w:b w:val="0"/>
                <w:sz w:val="13"/>
              </w:rPr>
              <w:t>4</w:t>
            </w:r>
          </w:p>
        </w:tc>
        <w:tc>
          <w:tcPr>
            <w:tcW w:type="dxa" w:w="3456"/>
            <w:vAlign w:val="center"/>
            <w:tcMar>
              <w:top w:w="70" w:type="dxa"/>
              <w:start w:w="80" w:type="dxa"/>
              <w:bottom w:w="70" w:type="dxa"/>
              <w:end w:w="80" w:type="dxa"/>
            </w:tcMar>
          </w:tcPr>
          <w:p>
            <w:pPr>
              <w:spacing w:after="0"/>
            </w:pPr>
            <w:r/>
            <w:r>
              <w:rPr>
                <w:rFonts w:ascii="Arial" w:hAnsi="Arial"/>
                <w:b w:val="0"/>
                <w:sz w:val="13"/>
              </w:rPr>
              <w:t>Role-based learning, communities of practice and internal ownership.</w:t>
            </w:r>
          </w:p>
        </w:tc>
        <w:tc>
          <w:tcPr>
            <w:tcW w:type="dxa" w:w="1152"/>
            <w:vAlign w:val="center"/>
            <w:tcMar>
              <w:top w:w="70" w:type="dxa"/>
              <w:start w:w="80" w:type="dxa"/>
              <w:bottom w:w="70" w:type="dxa"/>
              <w:end w:w="80" w:type="dxa"/>
            </w:tcMar>
          </w:tcPr>
          <w:p>
            <w:pPr>
              <w:spacing w:after="0"/>
            </w:pPr>
            <w:r/>
            <w:r>
              <w:rPr>
                <w:rFonts w:ascii="Arial" w:hAnsi="Arial"/>
                <w:b w:val="0"/>
                <w:sz w:val="13"/>
              </w:rPr>
              <w:t>Transformation Office</w:t>
            </w:r>
          </w:p>
        </w:tc>
      </w:tr>
    </w:tbl>
    <w:p>
      <w:pPr>
        <w:spacing w:after="20"/>
      </w:pPr>
    </w:p>
    <w:p>
      <w:pPr>
        <w:pStyle w:val="Heading2"/>
      </w:pPr>
      <w:r>
        <w:t>11.1 Maturity Scale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70" w:type="dxa"/>
              <w:start w:w="80" w:type="dxa"/>
              <w:bottom w:w="70" w:type="dxa"/>
              <w:end w:w="80" w:type="dxa"/>
            </w:tcMar>
            <w:shd w:fill="1A73E8"/>
          </w:tcPr>
          <w:p>
            <w:pPr>
              <w:spacing w:after="0"/>
            </w:pPr>
            <w:r/>
            <w:r>
              <w:rPr>
                <w:rFonts w:ascii="Arial" w:hAnsi="Arial"/>
                <w:b/>
                <w:color w:val="FFFFFF"/>
                <w:sz w:val="16"/>
              </w:rPr>
              <w:t>Level</w:t>
            </w:r>
          </w:p>
        </w:tc>
        <w:tc>
          <w:tcPr>
            <w:tcW w:type="dxa" w:w="1512"/>
            <w:vAlign w:val="center"/>
            <w:tcMar>
              <w:top w:w="70" w:type="dxa"/>
              <w:start w:w="80" w:type="dxa"/>
              <w:bottom w:w="70" w:type="dxa"/>
              <w:end w:w="80" w:type="dxa"/>
            </w:tcMar>
            <w:shd w:fill="1A73E8"/>
          </w:tcPr>
          <w:p>
            <w:pPr>
              <w:spacing w:after="0"/>
            </w:pPr>
            <w:r/>
            <w:r>
              <w:rPr>
                <w:rFonts w:ascii="Arial" w:hAnsi="Arial"/>
                <w:b/>
                <w:color w:val="FFFFFF"/>
                <w:sz w:val="16"/>
              </w:rPr>
              <w:t>Name</w:t>
            </w:r>
          </w:p>
        </w:tc>
        <w:tc>
          <w:tcPr>
            <w:tcW w:type="dxa" w:w="7776"/>
            <w:vAlign w:val="center"/>
            <w:tcMar>
              <w:top w:w="70" w:type="dxa"/>
              <w:start w:w="80" w:type="dxa"/>
              <w:bottom w:w="70" w:type="dxa"/>
              <w:end w:w="80" w:type="dxa"/>
            </w:tcMar>
            <w:shd w:fill="1A73E8"/>
          </w:tcPr>
          <w:p>
            <w:pPr>
              <w:spacing w:after="0"/>
            </w:pPr>
            <w:r/>
            <w:r>
              <w:rPr>
                <w:rFonts w:ascii="Arial" w:hAnsi="Arial"/>
                <w:b/>
                <w:color w:val="FFFFFF"/>
                <w:sz w:val="16"/>
              </w:rPr>
              <w:t>Characteristics</w:t>
            </w:r>
          </w:p>
        </w:tc>
      </w:tr>
      <w:tr>
        <w:tc>
          <w:tcPr>
            <w:tcW w:type="dxa" w:w="792"/>
            <w:vAlign w:val="center"/>
            <w:tcMar>
              <w:top w:w="70" w:type="dxa"/>
              <w:start w:w="80" w:type="dxa"/>
              <w:bottom w:w="70" w:type="dxa"/>
              <w:end w:w="80" w:type="dxa"/>
            </w:tcMar>
          </w:tcPr>
          <w:p>
            <w:pPr>
              <w:spacing w:after="0"/>
            </w:pPr>
            <w:r/>
            <w:r>
              <w:rPr>
                <w:rFonts w:ascii="Arial" w:hAnsi="Arial"/>
                <w:b w:val="0"/>
                <w:sz w:val="16"/>
              </w:rPr>
              <w:t>0</w:t>
            </w:r>
          </w:p>
        </w:tc>
        <w:tc>
          <w:tcPr>
            <w:tcW w:type="dxa" w:w="1512"/>
            <w:vAlign w:val="center"/>
            <w:tcMar>
              <w:top w:w="70" w:type="dxa"/>
              <w:start w:w="80" w:type="dxa"/>
              <w:bottom w:w="70" w:type="dxa"/>
              <w:end w:w="80" w:type="dxa"/>
            </w:tcMar>
          </w:tcPr>
          <w:p>
            <w:pPr>
              <w:spacing w:after="0"/>
            </w:pPr>
            <w:r/>
            <w:r>
              <w:rPr>
                <w:rFonts w:ascii="Arial" w:hAnsi="Arial"/>
                <w:b w:val="0"/>
                <w:sz w:val="16"/>
              </w:rPr>
              <w:t>Absent</w:t>
            </w:r>
          </w:p>
        </w:tc>
        <w:tc>
          <w:tcPr>
            <w:tcW w:type="dxa" w:w="7776"/>
            <w:vAlign w:val="center"/>
            <w:tcMar>
              <w:top w:w="70" w:type="dxa"/>
              <w:start w:w="80" w:type="dxa"/>
              <w:bottom w:w="70" w:type="dxa"/>
              <w:end w:w="80" w:type="dxa"/>
            </w:tcMar>
          </w:tcPr>
          <w:p>
            <w:pPr>
              <w:spacing w:after="0"/>
            </w:pPr>
            <w:r/>
            <w:r>
              <w:rPr>
                <w:rFonts w:ascii="Arial" w:hAnsi="Arial"/>
                <w:b w:val="0"/>
                <w:sz w:val="16"/>
              </w:rPr>
              <w:t>No recognized capability, owner or repeatable outcome.</w:t>
            </w:r>
          </w:p>
        </w:tc>
      </w:tr>
      <w:tr>
        <w:tc>
          <w:tcPr>
            <w:tcW w:type="dxa" w:w="792"/>
            <w:vAlign w:val="center"/>
            <w:tcMar>
              <w:top w:w="70" w:type="dxa"/>
              <w:start w:w="80" w:type="dxa"/>
              <w:bottom w:w="70" w:type="dxa"/>
              <w:end w:w="80" w:type="dxa"/>
            </w:tcMar>
            <w:shd w:fill="F8F9FA"/>
          </w:tcPr>
          <w:p>
            <w:pPr>
              <w:spacing w:after="0"/>
            </w:pPr>
            <w:r/>
            <w:r>
              <w:rPr>
                <w:rFonts w:ascii="Arial" w:hAnsi="Arial"/>
                <w:b w:val="0"/>
                <w:sz w:val="16"/>
              </w:rPr>
              <w:t>1</w:t>
            </w:r>
          </w:p>
        </w:tc>
        <w:tc>
          <w:tcPr>
            <w:tcW w:type="dxa" w:w="1512"/>
            <w:vAlign w:val="center"/>
            <w:tcMar>
              <w:top w:w="70" w:type="dxa"/>
              <w:start w:w="80" w:type="dxa"/>
              <w:bottom w:w="70" w:type="dxa"/>
              <w:end w:w="80" w:type="dxa"/>
            </w:tcMar>
            <w:shd w:fill="F8F9FA"/>
          </w:tcPr>
          <w:p>
            <w:pPr>
              <w:spacing w:after="0"/>
            </w:pPr>
            <w:r/>
            <w:r>
              <w:rPr>
                <w:rFonts w:ascii="Arial" w:hAnsi="Arial"/>
                <w:b w:val="0"/>
                <w:sz w:val="16"/>
              </w:rPr>
              <w:t>Initial</w:t>
            </w:r>
          </w:p>
        </w:tc>
        <w:tc>
          <w:tcPr>
            <w:tcW w:type="dxa" w:w="7776"/>
            <w:vAlign w:val="center"/>
            <w:tcMar>
              <w:top w:w="70" w:type="dxa"/>
              <w:start w:w="80" w:type="dxa"/>
              <w:bottom w:w="70" w:type="dxa"/>
              <w:end w:w="80" w:type="dxa"/>
            </w:tcMar>
            <w:shd w:fill="F8F9FA"/>
          </w:tcPr>
          <w:p>
            <w:pPr>
              <w:spacing w:after="0"/>
            </w:pPr>
            <w:r/>
            <w:r>
              <w:rPr>
                <w:rFonts w:ascii="Arial" w:hAnsi="Arial"/>
                <w:b w:val="0"/>
                <w:sz w:val="16"/>
              </w:rPr>
              <w:t>Ad hoc delivery, individual knowledge and inconsistent controls.</w:t>
            </w:r>
          </w:p>
        </w:tc>
      </w:tr>
      <w:tr>
        <w:tc>
          <w:tcPr>
            <w:tcW w:type="dxa" w:w="792"/>
            <w:vAlign w:val="center"/>
            <w:tcMar>
              <w:top w:w="70" w:type="dxa"/>
              <w:start w:w="80" w:type="dxa"/>
              <w:bottom w:w="70" w:type="dxa"/>
              <w:end w:w="80" w:type="dxa"/>
            </w:tcMar>
          </w:tcPr>
          <w:p>
            <w:pPr>
              <w:spacing w:after="0"/>
            </w:pPr>
            <w:r/>
            <w:r>
              <w:rPr>
                <w:rFonts w:ascii="Arial" w:hAnsi="Arial"/>
                <w:b w:val="0"/>
                <w:sz w:val="16"/>
              </w:rPr>
              <w:t>2</w:t>
            </w:r>
          </w:p>
        </w:tc>
        <w:tc>
          <w:tcPr>
            <w:tcW w:type="dxa" w:w="1512"/>
            <w:vAlign w:val="center"/>
            <w:tcMar>
              <w:top w:w="70" w:type="dxa"/>
              <w:start w:w="80" w:type="dxa"/>
              <w:bottom w:w="70" w:type="dxa"/>
              <w:end w:w="80" w:type="dxa"/>
            </w:tcMar>
          </w:tcPr>
          <w:p>
            <w:pPr>
              <w:spacing w:after="0"/>
            </w:pPr>
            <w:r/>
            <w:r>
              <w:rPr>
                <w:rFonts w:ascii="Arial" w:hAnsi="Arial"/>
                <w:b w:val="0"/>
                <w:sz w:val="16"/>
              </w:rPr>
              <w:t>Repeatable</w:t>
            </w:r>
          </w:p>
        </w:tc>
        <w:tc>
          <w:tcPr>
            <w:tcW w:type="dxa" w:w="7776"/>
            <w:vAlign w:val="center"/>
            <w:tcMar>
              <w:top w:w="70" w:type="dxa"/>
              <w:start w:w="80" w:type="dxa"/>
              <w:bottom w:w="70" w:type="dxa"/>
              <w:end w:w="80" w:type="dxa"/>
            </w:tcMar>
          </w:tcPr>
          <w:p>
            <w:pPr>
              <w:spacing w:after="0"/>
            </w:pPr>
            <w:r/>
            <w:r>
              <w:rPr>
                <w:rFonts w:ascii="Arial" w:hAnsi="Arial"/>
                <w:b w:val="0"/>
                <w:sz w:val="16"/>
              </w:rPr>
              <w:t>Documented pattern used by multiple teams but with manual steps or variable evidence.</w:t>
            </w:r>
          </w:p>
        </w:tc>
      </w:tr>
      <w:tr>
        <w:tc>
          <w:tcPr>
            <w:tcW w:type="dxa" w:w="792"/>
            <w:vAlign w:val="center"/>
            <w:tcMar>
              <w:top w:w="70" w:type="dxa"/>
              <w:start w:w="80" w:type="dxa"/>
              <w:bottom w:w="70" w:type="dxa"/>
              <w:end w:w="80" w:type="dxa"/>
            </w:tcMar>
            <w:shd w:fill="F8F9FA"/>
          </w:tcPr>
          <w:p>
            <w:pPr>
              <w:spacing w:after="0"/>
            </w:pPr>
            <w:r/>
            <w:r>
              <w:rPr>
                <w:rFonts w:ascii="Arial" w:hAnsi="Arial"/>
                <w:b w:val="0"/>
                <w:sz w:val="16"/>
              </w:rPr>
              <w:t>3</w:t>
            </w:r>
          </w:p>
        </w:tc>
        <w:tc>
          <w:tcPr>
            <w:tcW w:type="dxa" w:w="1512"/>
            <w:vAlign w:val="center"/>
            <w:tcMar>
              <w:top w:w="70" w:type="dxa"/>
              <w:start w:w="80" w:type="dxa"/>
              <w:bottom w:w="70" w:type="dxa"/>
              <w:end w:w="80" w:type="dxa"/>
            </w:tcMar>
            <w:shd w:fill="F8F9FA"/>
          </w:tcPr>
          <w:p>
            <w:pPr>
              <w:spacing w:after="0"/>
            </w:pPr>
            <w:r/>
            <w:r>
              <w:rPr>
                <w:rFonts w:ascii="Arial" w:hAnsi="Arial"/>
                <w:b w:val="0"/>
                <w:sz w:val="16"/>
              </w:rPr>
              <w:t>Defined</w:t>
            </w:r>
          </w:p>
        </w:tc>
        <w:tc>
          <w:tcPr>
            <w:tcW w:type="dxa" w:w="7776"/>
            <w:vAlign w:val="center"/>
            <w:tcMar>
              <w:top w:w="70" w:type="dxa"/>
              <w:start w:w="80" w:type="dxa"/>
              <w:bottom w:w="70" w:type="dxa"/>
              <w:end w:w="80" w:type="dxa"/>
            </w:tcMar>
            <w:shd w:fill="F8F9FA"/>
          </w:tcPr>
          <w:p>
            <w:pPr>
              <w:spacing w:after="0"/>
            </w:pPr>
            <w:r/>
            <w:r>
              <w:rPr>
                <w:rFonts w:ascii="Arial" w:hAnsi="Arial"/>
                <w:b w:val="0"/>
                <w:sz w:val="16"/>
              </w:rPr>
              <w:t>Enterprise standard, named owner, training, templates and measurable adoption.</w:t>
            </w:r>
          </w:p>
        </w:tc>
      </w:tr>
      <w:tr>
        <w:tc>
          <w:tcPr>
            <w:tcW w:type="dxa" w:w="792"/>
            <w:vAlign w:val="center"/>
            <w:tcMar>
              <w:top w:w="70" w:type="dxa"/>
              <w:start w:w="80" w:type="dxa"/>
              <w:bottom w:w="70" w:type="dxa"/>
              <w:end w:w="80" w:type="dxa"/>
            </w:tcMar>
          </w:tcPr>
          <w:p>
            <w:pPr>
              <w:spacing w:after="0"/>
            </w:pPr>
            <w:r/>
            <w:r>
              <w:rPr>
                <w:rFonts w:ascii="Arial" w:hAnsi="Arial"/>
                <w:b w:val="0"/>
                <w:sz w:val="16"/>
              </w:rPr>
              <w:t>4</w:t>
            </w:r>
          </w:p>
        </w:tc>
        <w:tc>
          <w:tcPr>
            <w:tcW w:type="dxa" w:w="1512"/>
            <w:vAlign w:val="center"/>
            <w:tcMar>
              <w:top w:w="70" w:type="dxa"/>
              <w:start w:w="80" w:type="dxa"/>
              <w:bottom w:w="70" w:type="dxa"/>
              <w:end w:w="80" w:type="dxa"/>
            </w:tcMar>
          </w:tcPr>
          <w:p>
            <w:pPr>
              <w:spacing w:after="0"/>
            </w:pPr>
            <w:r/>
            <w:r>
              <w:rPr>
                <w:rFonts w:ascii="Arial" w:hAnsi="Arial"/>
                <w:b w:val="0"/>
                <w:sz w:val="16"/>
              </w:rPr>
              <w:t>Managed</w:t>
            </w:r>
          </w:p>
        </w:tc>
        <w:tc>
          <w:tcPr>
            <w:tcW w:type="dxa" w:w="7776"/>
            <w:vAlign w:val="center"/>
            <w:tcMar>
              <w:top w:w="70" w:type="dxa"/>
              <w:start w:w="80" w:type="dxa"/>
              <w:bottom w:w="70" w:type="dxa"/>
              <w:end w:w="80" w:type="dxa"/>
            </w:tcMar>
          </w:tcPr>
          <w:p>
            <w:pPr>
              <w:spacing w:after="0"/>
            </w:pPr>
            <w:r/>
            <w:r>
              <w:rPr>
                <w:rFonts w:ascii="Arial" w:hAnsi="Arial"/>
                <w:b w:val="0"/>
                <w:sz w:val="16"/>
              </w:rPr>
              <w:t>Automated controls, SLOs, conformance and continuous improvement using telemetry.</w:t>
            </w:r>
          </w:p>
        </w:tc>
      </w:tr>
      <w:tr>
        <w:tc>
          <w:tcPr>
            <w:tcW w:type="dxa" w:w="792"/>
            <w:vAlign w:val="center"/>
            <w:tcMar>
              <w:top w:w="70" w:type="dxa"/>
              <w:start w:w="80" w:type="dxa"/>
              <w:bottom w:w="70" w:type="dxa"/>
              <w:end w:w="80" w:type="dxa"/>
            </w:tcMar>
            <w:shd w:fill="F8F9FA"/>
          </w:tcPr>
          <w:p>
            <w:pPr>
              <w:spacing w:after="0"/>
            </w:pPr>
            <w:r/>
            <w:r>
              <w:rPr>
                <w:rFonts w:ascii="Arial" w:hAnsi="Arial"/>
                <w:b w:val="0"/>
                <w:sz w:val="16"/>
              </w:rPr>
              <w:t>5</w:t>
            </w:r>
          </w:p>
        </w:tc>
        <w:tc>
          <w:tcPr>
            <w:tcW w:type="dxa" w:w="1512"/>
            <w:vAlign w:val="center"/>
            <w:tcMar>
              <w:top w:w="70" w:type="dxa"/>
              <w:start w:w="80" w:type="dxa"/>
              <w:bottom w:w="70" w:type="dxa"/>
              <w:end w:w="80" w:type="dxa"/>
            </w:tcMar>
            <w:shd w:fill="F8F9FA"/>
          </w:tcPr>
          <w:p>
            <w:pPr>
              <w:spacing w:after="0"/>
            </w:pPr>
            <w:r/>
            <w:r>
              <w:rPr>
                <w:rFonts w:ascii="Arial" w:hAnsi="Arial"/>
                <w:b w:val="0"/>
                <w:sz w:val="16"/>
              </w:rPr>
              <w:t>Optimizing</w:t>
            </w:r>
          </w:p>
        </w:tc>
        <w:tc>
          <w:tcPr>
            <w:tcW w:type="dxa" w:w="7776"/>
            <w:vAlign w:val="center"/>
            <w:tcMar>
              <w:top w:w="70" w:type="dxa"/>
              <w:start w:w="80" w:type="dxa"/>
              <w:bottom w:w="70" w:type="dxa"/>
              <w:end w:w="80" w:type="dxa"/>
            </w:tcMar>
            <w:shd w:fill="F8F9FA"/>
          </w:tcPr>
          <w:p>
            <w:pPr>
              <w:spacing w:after="0"/>
            </w:pPr>
            <w:r/>
            <w:r>
              <w:rPr>
                <w:rFonts w:ascii="Arial" w:hAnsi="Arial"/>
                <w:b w:val="0"/>
                <w:sz w:val="16"/>
              </w:rPr>
              <w:t>Self-service, predictive operations, policy automation and demonstrated business unit economics.</w:t>
            </w:r>
          </w:p>
        </w:tc>
      </w:tr>
    </w:tbl>
    <w:p>
      <w:pPr>
        <w:spacing w:after="20"/>
      </w:pPr>
    </w:p>
    <w:p>
      <w:pPr>
        <w:pStyle w:val="Heading2"/>
      </w:pPr>
      <w:r>
        <w:t>11.2 Capability Dependencies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tcMar>
              <w:top w:w="70" w:type="dxa"/>
              <w:start w:w="80" w:type="dxa"/>
              <w:bottom w:w="70" w:type="dxa"/>
              <w:end w:w="80" w:type="dxa"/>
            </w:tcMar>
            <w:shd w:fill="1A73E8"/>
          </w:tcPr>
          <w:p>
            <w:pPr>
              <w:spacing w:after="0"/>
            </w:pPr>
            <w:r/>
            <w:r>
              <w:rPr>
                <w:rFonts w:ascii="Arial" w:hAnsi="Arial"/>
                <w:b/>
                <w:color w:val="FFFFFF"/>
                <w:sz w:val="16"/>
              </w:rPr>
              <w:t>Outcome capability</w:t>
            </w:r>
          </w:p>
        </w:tc>
        <w:tc>
          <w:tcPr>
            <w:tcW w:type="dxa" w:w="5112"/>
            <w:vAlign w:val="center"/>
            <w:tcMar>
              <w:top w:w="70" w:type="dxa"/>
              <w:start w:w="80" w:type="dxa"/>
              <w:bottom w:w="70" w:type="dxa"/>
              <w:end w:w="80" w:type="dxa"/>
            </w:tcMar>
            <w:shd w:fill="1A73E8"/>
          </w:tcPr>
          <w:p>
            <w:pPr>
              <w:spacing w:after="0"/>
            </w:pPr>
            <w:r/>
            <w:r>
              <w:rPr>
                <w:rFonts w:ascii="Arial" w:hAnsi="Arial"/>
                <w:b/>
                <w:color w:val="FFFFFF"/>
                <w:sz w:val="16"/>
              </w:rPr>
              <w:t>Critical dependencies</w:t>
            </w:r>
          </w:p>
        </w:tc>
        <w:tc>
          <w:tcPr>
            <w:tcW w:type="dxa" w:w="2808"/>
            <w:vAlign w:val="center"/>
            <w:tcMar>
              <w:top w:w="70" w:type="dxa"/>
              <w:start w:w="80" w:type="dxa"/>
              <w:bottom w:w="70" w:type="dxa"/>
              <w:end w:w="80" w:type="dxa"/>
            </w:tcMar>
            <w:shd w:fill="1A73E8"/>
          </w:tcPr>
          <w:p>
            <w:pPr>
              <w:spacing w:after="0"/>
            </w:pPr>
            <w:r/>
            <w:r>
              <w:rPr>
                <w:rFonts w:ascii="Arial" w:hAnsi="Arial"/>
                <w:b/>
                <w:color w:val="FFFFFF"/>
                <w:sz w:val="16"/>
              </w:rPr>
              <w:t>Failure if dependency is weak</w:t>
            </w:r>
          </w:p>
        </w:tc>
      </w:tr>
      <w:tr>
        <w:tc>
          <w:tcPr>
            <w:tcW w:type="dxa" w:w="2160"/>
            <w:vAlign w:val="center"/>
            <w:tcMar>
              <w:top w:w="70" w:type="dxa"/>
              <w:start w:w="80" w:type="dxa"/>
              <w:bottom w:w="70" w:type="dxa"/>
              <w:end w:w="80" w:type="dxa"/>
            </w:tcMar>
          </w:tcPr>
          <w:p>
            <w:pPr>
              <w:spacing w:after="0"/>
            </w:pPr>
            <w:r/>
            <w:r>
              <w:rPr>
                <w:rFonts w:ascii="Arial" w:hAnsi="Arial"/>
                <w:b w:val="0"/>
                <w:sz w:val="15"/>
              </w:rPr>
              <w:t>Certified data products</w:t>
            </w:r>
          </w:p>
        </w:tc>
        <w:tc>
          <w:tcPr>
            <w:tcW w:type="dxa" w:w="5112"/>
            <w:vAlign w:val="center"/>
            <w:tcMar>
              <w:top w:w="70" w:type="dxa"/>
              <w:start w:w="80" w:type="dxa"/>
              <w:bottom w:w="70" w:type="dxa"/>
              <w:end w:w="80" w:type="dxa"/>
            </w:tcMar>
          </w:tcPr>
          <w:p>
            <w:pPr>
              <w:spacing w:after="0"/>
            </w:pPr>
            <w:r/>
            <w:r>
              <w:rPr>
                <w:rFonts w:ascii="Arial" w:hAnsi="Arial"/>
                <w:b w:val="0"/>
                <w:sz w:val="15"/>
              </w:rPr>
              <w:t>Domain ownership, contracts, catalog, quality, IAM and SLOs.</w:t>
            </w:r>
          </w:p>
        </w:tc>
        <w:tc>
          <w:tcPr>
            <w:tcW w:type="dxa" w:w="2808"/>
            <w:vAlign w:val="center"/>
            <w:tcMar>
              <w:top w:w="70" w:type="dxa"/>
              <w:start w:w="80" w:type="dxa"/>
              <w:bottom w:w="70" w:type="dxa"/>
              <w:end w:w="80" w:type="dxa"/>
            </w:tcMar>
          </w:tcPr>
          <w:p>
            <w:pPr>
              <w:spacing w:after="0"/>
            </w:pPr>
            <w:r/>
            <w:r>
              <w:rPr>
                <w:rFonts w:ascii="Arial" w:hAnsi="Arial"/>
                <w:b w:val="0"/>
                <w:sz w:val="15"/>
              </w:rPr>
              <w:t>Products exist technically but are not trusted, supported or reusable.</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5"/>
              </w:rPr>
              <w:t>Real-time decisions</w:t>
            </w:r>
          </w:p>
        </w:tc>
        <w:tc>
          <w:tcPr>
            <w:tcW w:type="dxa" w:w="5112"/>
            <w:vAlign w:val="center"/>
            <w:tcMar>
              <w:top w:w="70" w:type="dxa"/>
              <w:start w:w="80" w:type="dxa"/>
              <w:bottom w:w="70" w:type="dxa"/>
              <w:end w:w="80" w:type="dxa"/>
            </w:tcMar>
            <w:shd w:fill="F8F9FA"/>
          </w:tcPr>
          <w:p>
            <w:pPr>
              <w:spacing w:after="0"/>
            </w:pPr>
            <w:r/>
            <w:r>
              <w:rPr>
                <w:rFonts w:ascii="Arial" w:hAnsi="Arial"/>
                <w:b w:val="0"/>
                <w:sz w:val="15"/>
              </w:rPr>
              <w:t>Event contracts, Pub/Sub, Dataflow, source timestamps, monitoring and consumer actions.</w:t>
            </w:r>
          </w:p>
        </w:tc>
        <w:tc>
          <w:tcPr>
            <w:tcW w:type="dxa" w:w="2808"/>
            <w:vAlign w:val="center"/>
            <w:tcMar>
              <w:top w:w="70" w:type="dxa"/>
              <w:start w:w="80" w:type="dxa"/>
              <w:bottom w:w="70" w:type="dxa"/>
              <w:end w:w="80" w:type="dxa"/>
            </w:tcMar>
            <w:shd w:fill="F8F9FA"/>
          </w:tcPr>
          <w:p>
            <w:pPr>
              <w:spacing w:after="0"/>
            </w:pPr>
            <w:r/>
            <w:r>
              <w:rPr>
                <w:rFonts w:ascii="Arial" w:hAnsi="Arial"/>
                <w:b w:val="0"/>
                <w:sz w:val="15"/>
              </w:rPr>
              <w:t>Fast pipelines deliver ambiguous or unreliable data.</w:t>
            </w:r>
          </w:p>
        </w:tc>
      </w:tr>
      <w:tr>
        <w:tc>
          <w:tcPr>
            <w:tcW w:type="dxa" w:w="2160"/>
            <w:vAlign w:val="center"/>
            <w:tcMar>
              <w:top w:w="70" w:type="dxa"/>
              <w:start w:w="80" w:type="dxa"/>
              <w:bottom w:w="70" w:type="dxa"/>
              <w:end w:w="80" w:type="dxa"/>
            </w:tcMar>
          </w:tcPr>
          <w:p>
            <w:pPr>
              <w:spacing w:after="0"/>
            </w:pPr>
            <w:r/>
            <w:r>
              <w:rPr>
                <w:rFonts w:ascii="Arial" w:hAnsi="Arial"/>
                <w:b w:val="0"/>
                <w:sz w:val="15"/>
              </w:rPr>
              <w:t>Self-service analytics</w:t>
            </w:r>
          </w:p>
        </w:tc>
        <w:tc>
          <w:tcPr>
            <w:tcW w:type="dxa" w:w="5112"/>
            <w:vAlign w:val="center"/>
            <w:tcMar>
              <w:top w:w="70" w:type="dxa"/>
              <w:start w:w="80" w:type="dxa"/>
              <w:bottom w:w="70" w:type="dxa"/>
              <w:end w:w="80" w:type="dxa"/>
            </w:tcMar>
          </w:tcPr>
          <w:p>
            <w:pPr>
              <w:spacing w:after="0"/>
            </w:pPr>
            <w:r/>
            <w:r>
              <w:rPr>
                <w:rFonts w:ascii="Arial" w:hAnsi="Arial"/>
                <w:b w:val="0"/>
                <w:sz w:val="15"/>
              </w:rPr>
              <w:t>Curated products, semantic layer, identity and education.</w:t>
            </w:r>
          </w:p>
        </w:tc>
        <w:tc>
          <w:tcPr>
            <w:tcW w:type="dxa" w:w="2808"/>
            <w:vAlign w:val="center"/>
            <w:tcMar>
              <w:top w:w="70" w:type="dxa"/>
              <w:start w:w="80" w:type="dxa"/>
              <w:bottom w:w="70" w:type="dxa"/>
              <w:end w:w="80" w:type="dxa"/>
            </w:tcMar>
          </w:tcPr>
          <w:p>
            <w:pPr>
              <w:spacing w:after="0"/>
            </w:pPr>
            <w:r/>
            <w:r>
              <w:rPr>
                <w:rFonts w:ascii="Arial" w:hAnsi="Arial"/>
                <w:b w:val="0"/>
                <w:sz w:val="15"/>
              </w:rPr>
              <w:t>Users revert to uncontrolled extracts and duplicate metrics.</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5"/>
              </w:rPr>
              <w:t>Enterprise RAG</w:t>
            </w:r>
          </w:p>
        </w:tc>
        <w:tc>
          <w:tcPr>
            <w:tcW w:type="dxa" w:w="5112"/>
            <w:vAlign w:val="center"/>
            <w:tcMar>
              <w:top w:w="70" w:type="dxa"/>
              <w:start w:w="80" w:type="dxa"/>
              <w:bottom w:w="70" w:type="dxa"/>
              <w:end w:w="80" w:type="dxa"/>
            </w:tcMar>
            <w:shd w:fill="F8F9FA"/>
          </w:tcPr>
          <w:p>
            <w:pPr>
              <w:spacing w:after="0"/>
            </w:pPr>
            <w:r/>
            <w:r>
              <w:rPr>
                <w:rFonts w:ascii="Arial" w:hAnsi="Arial"/>
                <w:b w:val="0"/>
                <w:sz w:val="15"/>
              </w:rPr>
              <w:t>Governed documents, classification, chunk lineage, embeddings, retrieval evaluation and model controls.</w:t>
            </w:r>
          </w:p>
        </w:tc>
        <w:tc>
          <w:tcPr>
            <w:tcW w:type="dxa" w:w="2808"/>
            <w:vAlign w:val="center"/>
            <w:tcMar>
              <w:top w:w="70" w:type="dxa"/>
              <w:start w:w="80" w:type="dxa"/>
              <w:bottom w:w="70" w:type="dxa"/>
              <w:end w:w="80" w:type="dxa"/>
            </w:tcMar>
            <w:shd w:fill="F8F9FA"/>
          </w:tcPr>
          <w:p>
            <w:pPr>
              <w:spacing w:after="0"/>
            </w:pPr>
            <w:r/>
            <w:r>
              <w:rPr>
                <w:rFonts w:ascii="Arial" w:hAnsi="Arial"/>
                <w:b w:val="0"/>
                <w:sz w:val="15"/>
              </w:rPr>
              <w:t>Responses lack traceability or expose restricted information.</w:t>
            </w:r>
          </w:p>
        </w:tc>
      </w:tr>
      <w:tr>
        <w:tc>
          <w:tcPr>
            <w:tcW w:type="dxa" w:w="2160"/>
            <w:vAlign w:val="center"/>
            <w:tcMar>
              <w:top w:w="70" w:type="dxa"/>
              <w:start w:w="80" w:type="dxa"/>
              <w:bottom w:w="70" w:type="dxa"/>
              <w:end w:w="80" w:type="dxa"/>
            </w:tcMar>
          </w:tcPr>
          <w:p>
            <w:pPr>
              <w:spacing w:after="0"/>
            </w:pPr>
            <w:r/>
            <w:r>
              <w:rPr>
                <w:rFonts w:ascii="Arial" w:hAnsi="Arial"/>
                <w:b w:val="0"/>
                <w:sz w:val="15"/>
              </w:rPr>
              <w:t>Regional resilience</w:t>
            </w:r>
          </w:p>
        </w:tc>
        <w:tc>
          <w:tcPr>
            <w:tcW w:type="dxa" w:w="5112"/>
            <w:vAlign w:val="center"/>
            <w:tcMar>
              <w:top w:w="70" w:type="dxa"/>
              <w:start w:w="80" w:type="dxa"/>
              <w:bottom w:w="70" w:type="dxa"/>
              <w:end w:w="80" w:type="dxa"/>
            </w:tcMar>
          </w:tcPr>
          <w:p>
            <w:pPr>
              <w:spacing w:after="0"/>
            </w:pPr>
            <w:r/>
            <w:r>
              <w:rPr>
                <w:rFonts w:ascii="Arial" w:hAnsi="Arial"/>
                <w:b w:val="0"/>
                <w:sz w:val="15"/>
              </w:rPr>
              <w:t>Tier classification, region design, replication/replay, IaC and tested runbooks.</w:t>
            </w:r>
          </w:p>
        </w:tc>
        <w:tc>
          <w:tcPr>
            <w:tcW w:type="dxa" w:w="2808"/>
            <w:vAlign w:val="center"/>
            <w:tcMar>
              <w:top w:w="70" w:type="dxa"/>
              <w:start w:w="80" w:type="dxa"/>
              <w:bottom w:w="70" w:type="dxa"/>
              <w:end w:w="80" w:type="dxa"/>
            </w:tcMar>
          </w:tcPr>
          <w:p>
            <w:pPr>
              <w:spacing w:after="0"/>
            </w:pPr>
            <w:r/>
            <w:r>
              <w:rPr>
                <w:rFonts w:ascii="Arial" w:hAnsi="Arial"/>
                <w:b w:val="0"/>
                <w:sz w:val="15"/>
              </w:rPr>
              <w:t>Recovery plan cannot meet business objectives.</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5"/>
              </w:rPr>
              <w:t>Chargeback</w:t>
            </w:r>
          </w:p>
        </w:tc>
        <w:tc>
          <w:tcPr>
            <w:tcW w:type="dxa" w:w="5112"/>
            <w:vAlign w:val="center"/>
            <w:tcMar>
              <w:top w:w="70" w:type="dxa"/>
              <w:start w:w="80" w:type="dxa"/>
              <w:bottom w:w="70" w:type="dxa"/>
              <w:end w:w="80" w:type="dxa"/>
            </w:tcMar>
            <w:shd w:fill="F8F9FA"/>
          </w:tcPr>
          <w:p>
            <w:pPr>
              <w:spacing w:after="0"/>
            </w:pPr>
            <w:r/>
            <w:r>
              <w:rPr>
                <w:rFonts w:ascii="Arial" w:hAnsi="Arial"/>
                <w:b w:val="0"/>
                <w:sz w:val="15"/>
              </w:rPr>
              <w:t>Complete labels, product ownership, shared-cost policy and trusted billing data.</w:t>
            </w:r>
          </w:p>
        </w:tc>
        <w:tc>
          <w:tcPr>
            <w:tcW w:type="dxa" w:w="2808"/>
            <w:vAlign w:val="center"/>
            <w:tcMar>
              <w:top w:w="70" w:type="dxa"/>
              <w:start w:w="80" w:type="dxa"/>
              <w:bottom w:w="70" w:type="dxa"/>
              <w:end w:w="80" w:type="dxa"/>
            </w:tcMar>
            <w:shd w:fill="F8F9FA"/>
          </w:tcPr>
          <w:p>
            <w:pPr>
              <w:spacing w:after="0"/>
            </w:pPr>
            <w:r/>
            <w:r>
              <w:rPr>
                <w:rFonts w:ascii="Arial" w:hAnsi="Arial"/>
                <w:b w:val="0"/>
                <w:sz w:val="15"/>
              </w:rPr>
              <w:t>Financial disputes and counterproductive behavior.</w:t>
            </w:r>
          </w:p>
        </w:tc>
      </w:tr>
      <w:tr>
        <w:tc>
          <w:tcPr>
            <w:tcW w:type="dxa" w:w="2160"/>
            <w:vAlign w:val="center"/>
            <w:tcMar>
              <w:top w:w="70" w:type="dxa"/>
              <w:start w:w="80" w:type="dxa"/>
              <w:bottom w:w="70" w:type="dxa"/>
              <w:end w:w="80" w:type="dxa"/>
            </w:tcMar>
          </w:tcPr>
          <w:p>
            <w:pPr>
              <w:spacing w:after="0"/>
            </w:pPr>
            <w:r/>
            <w:r>
              <w:rPr>
                <w:rFonts w:ascii="Arial" w:hAnsi="Arial"/>
                <w:b w:val="0"/>
                <w:sz w:val="15"/>
              </w:rPr>
              <w:t>Domain scale-out</w:t>
            </w:r>
          </w:p>
        </w:tc>
        <w:tc>
          <w:tcPr>
            <w:tcW w:type="dxa" w:w="5112"/>
            <w:vAlign w:val="center"/>
            <w:tcMar>
              <w:top w:w="70" w:type="dxa"/>
              <w:start w:w="80" w:type="dxa"/>
              <w:bottom w:w="70" w:type="dxa"/>
              <w:end w:w="80" w:type="dxa"/>
            </w:tcMar>
          </w:tcPr>
          <w:p>
            <w:pPr>
              <w:spacing w:after="0"/>
            </w:pPr>
            <w:r/>
            <w:r>
              <w:rPr>
                <w:rFonts w:ascii="Arial" w:hAnsi="Arial"/>
                <w:b w:val="0"/>
                <w:sz w:val="15"/>
              </w:rPr>
              <w:t>Project factory, golden templates, delegated governance and internal skills.</w:t>
            </w:r>
          </w:p>
        </w:tc>
        <w:tc>
          <w:tcPr>
            <w:tcW w:type="dxa" w:w="2808"/>
            <w:vAlign w:val="center"/>
            <w:tcMar>
              <w:top w:w="70" w:type="dxa"/>
              <w:start w:w="80" w:type="dxa"/>
              <w:bottom w:w="70" w:type="dxa"/>
              <w:end w:w="80" w:type="dxa"/>
            </w:tcMar>
          </w:tcPr>
          <w:p>
            <w:pPr>
              <w:spacing w:after="0"/>
            </w:pPr>
            <w:r/>
            <w:r>
              <w:rPr>
                <w:rFonts w:ascii="Arial" w:hAnsi="Arial"/>
                <w:b w:val="0"/>
                <w:sz w:val="15"/>
              </w:rPr>
              <w:t>Central platform becomes the throughput constraint.</w:t>
            </w:r>
          </w:p>
        </w:tc>
      </w:tr>
    </w:tbl>
    <w:p>
      <w:pPr>
        <w:spacing w:after="20"/>
      </w:pPr>
    </w:p>
    <w:p>
      <w:pPr>
        <w:pStyle w:val="Heading2"/>
      </w:pPr>
      <w:r>
        <w:t>11.3 Quarterly Capability Review</w:t>
      </w:r>
    </w:p>
    <w:p>
      <w:pPr>
        <w:pStyle w:val="ListBullet"/>
        <w:spacing w:after="40"/>
      </w:pPr>
      <w:r>
        <w:t>Score maturity using objective evidence, not project-completion status.</w:t>
      </w:r>
    </w:p>
    <w:p>
      <w:pPr>
        <w:pStyle w:val="ListBullet"/>
        <w:spacing w:after="40"/>
      </w:pPr>
      <w:r>
        <w:t>Identify capability constraints that block multiple domains and fund them as platform priorities.</w:t>
      </w:r>
    </w:p>
    <w:p>
      <w:pPr>
        <w:pStyle w:val="ListBullet"/>
        <w:spacing w:after="40"/>
      </w:pPr>
      <w:r>
        <w:t>Retire capabilities and tools whose strategic purpose has ended.</w:t>
      </w:r>
    </w:p>
    <w:p>
      <w:pPr>
        <w:pStyle w:val="ListBullet"/>
        <w:spacing w:after="40"/>
      </w:pPr>
      <w:r>
        <w:t>Track adoption, reliability, risk, lead time and unit economics together.</w:t>
      </w:r>
    </w:p>
    <w:p>
      <w:pPr>
        <w:pStyle w:val="ListBullet"/>
        <w:spacing w:after="40"/>
      </w:pPr>
      <w:r>
        <w:t>Escalate capability ownership gaps to the executive steering committee.</w:t>
      </w:r>
    </w:p>
    <w:p>
      <w:r>
        <w:br w:type="page"/>
      </w:r>
    </w:p>
    <w:p>
      <w:pPr>
        <w:pStyle w:val="Heading1"/>
      </w:pPr>
      <w:r>
        <w:t>12. Architecture and Transformation Roadmap</w:t>
      </w:r>
    </w:p>
    <w:p>
      <w:pPr>
        <w:pStyle w:val="Lead"/>
      </w:pPr>
      <w:r>
        <w:t>The roadmap sequences foundation, platform, domain adoption, migration, AI enablement and optimization. Timing is indicative and must be re-baselined after discovery, but the dependency order should remain unless risk is explicitly accepted.</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Phased delivery; Entry and exit criteria; Measurable outcomes; Decision gates.</w:t>
            </w:r>
          </w:p>
        </w:tc>
      </w:tr>
    </w:tbl>
    <w:p>
      <w:pPr>
        <w:spacing w:after="20"/>
      </w:pPr>
    </w:p>
    <w:p>
      <w:pPr>
        <w:jc w:val="center"/>
      </w:pPr>
      <w:r>
        <w:drawing>
          <wp:inline xmlns:a="http://schemas.openxmlformats.org/drawingml/2006/main" xmlns:pic="http://schemas.openxmlformats.org/drawingml/2006/picture">
            <wp:extent cx="6309360" cy="352341"/>
            <wp:docPr id="5" name="Picture 5"/>
            <wp:cNvGraphicFramePr>
              <a:graphicFrameLocks noChangeAspect="1"/>
            </wp:cNvGraphicFramePr>
            <a:graphic>
              <a:graphicData uri="http://schemas.openxmlformats.org/drawingml/2006/picture">
                <pic:pic>
                  <pic:nvPicPr>
                    <pic:cNvPr id="0" name="05_architecture_roadmap.png"/>
                    <pic:cNvPicPr/>
                  </pic:nvPicPr>
                  <pic:blipFill>
                    <a:blip r:embed="rId14"/>
                    <a:stretch>
                      <a:fillRect/>
                    </a:stretch>
                  </pic:blipFill>
                  <pic:spPr>
                    <a:xfrm>
                      <a:off x="0" y="0"/>
                      <a:ext cx="6309360" cy="352341"/>
                    </a:xfrm>
                    <a:prstGeom prst="rect"/>
                  </pic:spPr>
                </pic:pic>
              </a:graphicData>
            </a:graphic>
          </wp:inline>
        </w:drawing>
      </w:r>
    </w:p>
    <w:p>
      <w:pPr>
        <w:spacing w:after="160"/>
        <w:jc w:val="center"/>
      </w:pPr>
      <w:r>
        <w:rPr>
          <w:b/>
          <w:color w:val="5F6368"/>
          <w:sz w:val="17"/>
        </w:rPr>
        <w:t>Figure 12-1. Multi-wave architecture roadmap from mobilization through scaled domain adoption and optimization.</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12"/>
            <w:vAlign w:val="center"/>
            <w:tcMar>
              <w:top w:w="70" w:type="dxa"/>
              <w:start w:w="80" w:type="dxa"/>
              <w:bottom w:w="70" w:type="dxa"/>
              <w:end w:w="80" w:type="dxa"/>
            </w:tcMar>
            <w:shd w:fill="1A73E8"/>
          </w:tcPr>
          <w:p>
            <w:pPr>
              <w:spacing w:after="0"/>
            </w:pPr>
            <w:r/>
            <w:r>
              <w:rPr>
                <w:rFonts w:ascii="Arial" w:hAnsi="Arial"/>
                <w:b/>
                <w:color w:val="FFFFFF"/>
                <w:sz w:val="16"/>
              </w:rPr>
              <w:t>Phase</w:t>
            </w:r>
          </w:p>
        </w:tc>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Timing</w:t>
            </w:r>
          </w:p>
        </w:tc>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Objectives</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Primary deliverables</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Entry criteria</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Exit criteria</w:t>
            </w:r>
          </w:p>
        </w:tc>
      </w:tr>
      <w:tr>
        <w:tc>
          <w:tcPr>
            <w:tcW w:type="dxa" w:w="1512"/>
            <w:vAlign w:val="center"/>
            <w:tcMar>
              <w:top w:w="70" w:type="dxa"/>
              <w:start w:w="80" w:type="dxa"/>
              <w:bottom w:w="70" w:type="dxa"/>
              <w:end w:w="80" w:type="dxa"/>
            </w:tcMar>
          </w:tcPr>
          <w:p>
            <w:pPr>
              <w:spacing w:after="0"/>
            </w:pPr>
            <w:r/>
            <w:r>
              <w:rPr>
                <w:rFonts w:ascii="Arial" w:hAnsi="Arial"/>
                <w:b w:val="0"/>
                <w:sz w:val="13"/>
              </w:rPr>
              <w:t>Phase 0 — Mobilize and baseline</w:t>
            </w:r>
          </w:p>
        </w:tc>
        <w:tc>
          <w:tcPr>
            <w:tcW w:type="dxa" w:w="936"/>
            <w:vAlign w:val="center"/>
            <w:tcMar>
              <w:top w:w="70" w:type="dxa"/>
              <w:start w:w="80" w:type="dxa"/>
              <w:bottom w:w="70" w:type="dxa"/>
              <w:end w:w="80" w:type="dxa"/>
            </w:tcMar>
          </w:tcPr>
          <w:p>
            <w:pPr>
              <w:spacing w:after="0"/>
            </w:pPr>
            <w:r/>
            <w:r>
              <w:rPr>
                <w:rFonts w:ascii="Arial" w:hAnsi="Arial"/>
                <w:b w:val="0"/>
                <w:sz w:val="13"/>
              </w:rPr>
              <w:t>0–2 months</w:t>
            </w:r>
          </w:p>
        </w:tc>
        <w:tc>
          <w:tcPr>
            <w:tcW w:type="dxa" w:w="2088"/>
            <w:vAlign w:val="center"/>
            <w:tcMar>
              <w:top w:w="70" w:type="dxa"/>
              <w:start w:w="80" w:type="dxa"/>
              <w:bottom w:w="70" w:type="dxa"/>
              <w:end w:w="80" w:type="dxa"/>
            </w:tcMar>
          </w:tcPr>
          <w:p>
            <w:pPr>
              <w:spacing w:after="0"/>
            </w:pPr>
            <w:r/>
            <w:r>
              <w:rPr>
                <w:rFonts w:ascii="Arial" w:hAnsi="Arial"/>
                <w:b w:val="0"/>
                <w:sz w:val="13"/>
              </w:rPr>
              <w:t>Approve charter, executive sponsorship, platform product ownership, assumptions, requirements, strategic ADRs and prioritized pilot domain.</w:t>
            </w:r>
          </w:p>
        </w:tc>
        <w:tc>
          <w:tcPr>
            <w:tcW w:type="dxa" w:w="2232"/>
            <w:vAlign w:val="center"/>
            <w:tcMar>
              <w:top w:w="70" w:type="dxa"/>
              <w:start w:w="80" w:type="dxa"/>
              <w:bottom w:w="70" w:type="dxa"/>
              <w:end w:w="80" w:type="dxa"/>
            </w:tcMar>
          </w:tcPr>
          <w:p>
            <w:pPr>
              <w:spacing w:after="0"/>
            </w:pPr>
            <w:r/>
            <w:r>
              <w:rPr>
                <w:rFonts w:ascii="Arial" w:hAnsi="Arial"/>
                <w:b w:val="0"/>
                <w:sz w:val="13"/>
              </w:rPr>
              <w:t>Funding, decision rights, baseline architecture, source inventory, risk register and delivery backlog.</w:t>
            </w:r>
          </w:p>
        </w:tc>
        <w:tc>
          <w:tcPr>
            <w:tcW w:type="dxa" w:w="1728"/>
            <w:vAlign w:val="center"/>
            <w:tcMar>
              <w:top w:w="70" w:type="dxa"/>
              <w:start w:w="80" w:type="dxa"/>
              <w:bottom w:w="70" w:type="dxa"/>
              <w:end w:w="80" w:type="dxa"/>
            </w:tcMar>
          </w:tcPr>
          <w:p>
            <w:pPr>
              <w:spacing w:after="0"/>
            </w:pPr>
            <w:r/>
            <w:r>
              <w:rPr>
                <w:rFonts w:ascii="Arial" w:hAnsi="Arial"/>
                <w:b w:val="0"/>
                <w:sz w:val="13"/>
              </w:rPr>
              <w:t>Sponsor and product owner named; critical decisions resolved; pilot has business owner and sources.</w:t>
            </w:r>
          </w:p>
        </w:tc>
        <w:tc>
          <w:tcPr>
            <w:tcW w:type="dxa" w:w="1800"/>
            <w:vAlign w:val="center"/>
            <w:tcMar>
              <w:top w:w="70" w:type="dxa"/>
              <w:start w:w="80" w:type="dxa"/>
              <w:bottom w:w="70" w:type="dxa"/>
              <w:end w:w="80" w:type="dxa"/>
            </w:tcMar>
          </w:tcPr>
          <w:p>
            <w:pPr>
              <w:spacing w:after="0"/>
            </w:pPr>
            <w:r/>
            <w:r>
              <w:rPr>
                <w:rFonts w:ascii="Arial" w:hAnsi="Arial"/>
                <w:b w:val="0"/>
                <w:sz w:val="13"/>
              </w:rPr>
              <w:t>Mobilization complete; implementation teams can begin without unresolved identity, region or funding ambiguity.</w:t>
            </w:r>
          </w:p>
        </w:tc>
      </w:tr>
      <w:tr>
        <w:tc>
          <w:tcPr>
            <w:tcW w:type="dxa" w:w="1512"/>
            <w:vAlign w:val="center"/>
            <w:tcMar>
              <w:top w:w="70" w:type="dxa"/>
              <w:start w:w="80" w:type="dxa"/>
              <w:bottom w:w="70" w:type="dxa"/>
              <w:end w:w="80" w:type="dxa"/>
            </w:tcMar>
            <w:shd w:fill="F8F9FA"/>
          </w:tcPr>
          <w:p>
            <w:pPr>
              <w:spacing w:after="0"/>
            </w:pPr>
            <w:r/>
            <w:r>
              <w:rPr>
                <w:rFonts w:ascii="Arial" w:hAnsi="Arial"/>
                <w:b w:val="0"/>
                <w:sz w:val="13"/>
              </w:rPr>
              <w:t>Phase 1 — Secure cloud foundation</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2–5 months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Deploy organization/folder/project patterns, Shared VPC, hybrid connectivity, identity federation, KMS, central logging, CI/CD bootstrap and policy guardrails.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Project factory, network products, IAM model, security baseline, evidence repository and Terraform state platform.</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Approved landing-zone design; connectivity and identity dependencies available.</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Security assurance passed; development and production projects provision through code.</w:t>
            </w:r>
          </w:p>
        </w:tc>
      </w:tr>
      <w:tr>
        <w:tc>
          <w:tcPr>
            <w:tcW w:type="dxa" w:w="1512"/>
            <w:vAlign w:val="center"/>
            <w:tcMar>
              <w:top w:w="70" w:type="dxa"/>
              <w:start w:w="80" w:type="dxa"/>
              <w:bottom w:w="70" w:type="dxa"/>
              <w:end w:w="80" w:type="dxa"/>
            </w:tcMar>
          </w:tcPr>
          <w:p>
            <w:pPr>
              <w:spacing w:after="0"/>
            </w:pPr>
            <w:r/>
            <w:r>
              <w:rPr>
                <w:rFonts w:ascii="Arial" w:hAnsi="Arial"/>
                <w:b w:val="0"/>
                <w:sz w:val="13"/>
              </w:rPr>
              <w:t>Phase 2 — Minimum viable data platform</w:t>
            </w:r>
          </w:p>
        </w:tc>
        <w:tc>
          <w:tcPr>
            <w:tcW w:type="dxa" w:w="936"/>
            <w:vAlign w:val="center"/>
            <w:tcMar>
              <w:top w:w="70" w:type="dxa"/>
              <w:start w:w="80" w:type="dxa"/>
              <w:bottom w:w="70" w:type="dxa"/>
              <w:end w:w="80" w:type="dxa"/>
            </w:tcMar>
          </w:tcPr>
          <w:p>
            <w:pPr>
              <w:spacing w:after="0"/>
            </w:pPr>
            <w:r/>
            <w:r>
              <w:rPr>
                <w:rFonts w:ascii="Arial" w:hAnsi="Arial"/>
                <w:b w:val="0"/>
                <w:sz w:val="13"/>
              </w:rPr>
              <w:t>4–8 months</w:t>
            </w:r>
          </w:p>
        </w:tc>
        <w:tc>
          <w:tcPr>
            <w:tcW w:type="dxa" w:w="2088"/>
            <w:vAlign w:val="center"/>
            <w:tcMar>
              <w:top w:w="70" w:type="dxa"/>
              <w:start w:w="80" w:type="dxa"/>
              <w:bottom w:w="70" w:type="dxa"/>
              <w:end w:w="80" w:type="dxa"/>
            </w:tcMar>
          </w:tcPr>
          <w:p>
            <w:pPr>
              <w:spacing w:after="0"/>
            </w:pPr>
            <w:r/>
            <w:r>
              <w:rPr>
                <w:rFonts w:ascii="Arial" w:hAnsi="Arial"/>
                <w:b w:val="0"/>
                <w:sz w:val="13"/>
              </w:rPr>
              <w:t>Implement landing/raw/quarantine/curated patterns, BigQuery standards, batch/CDC/streaming references, Dataform, orchestration, catalog, quality, monitoring and showback.</w:t>
            </w:r>
          </w:p>
        </w:tc>
        <w:tc>
          <w:tcPr>
            <w:tcW w:type="dxa" w:w="2232"/>
            <w:vAlign w:val="center"/>
            <w:tcMar>
              <w:top w:w="70" w:type="dxa"/>
              <w:start w:w="80" w:type="dxa"/>
              <w:bottom w:w="70" w:type="dxa"/>
              <w:end w:w="80" w:type="dxa"/>
            </w:tcMar>
          </w:tcPr>
          <w:p>
            <w:pPr>
              <w:spacing w:after="0"/>
            </w:pPr>
            <w:r/>
            <w:r>
              <w:rPr>
                <w:rFonts w:ascii="Arial" w:hAnsi="Arial"/>
                <w:b w:val="0"/>
                <w:sz w:val="13"/>
              </w:rPr>
              <w:t>Golden modules, pipeline templates, metadata schema, SLO catalog, dashboards and first product environment.</w:t>
            </w:r>
          </w:p>
        </w:tc>
        <w:tc>
          <w:tcPr>
            <w:tcW w:type="dxa" w:w="1728"/>
            <w:vAlign w:val="center"/>
            <w:tcMar>
              <w:top w:w="70" w:type="dxa"/>
              <w:start w:w="80" w:type="dxa"/>
              <w:bottom w:w="70" w:type="dxa"/>
              <w:end w:w="80" w:type="dxa"/>
            </w:tcMar>
          </w:tcPr>
          <w:p>
            <w:pPr>
              <w:spacing w:after="0"/>
            </w:pPr>
            <w:r/>
            <w:r>
              <w:rPr>
                <w:rFonts w:ascii="Arial" w:hAnsi="Arial"/>
                <w:b w:val="0"/>
                <w:sz w:val="13"/>
              </w:rPr>
              <w:t>Foundation stable; first-domain source and consumer contracts agreed.</w:t>
            </w:r>
          </w:p>
        </w:tc>
        <w:tc>
          <w:tcPr>
            <w:tcW w:type="dxa" w:w="1800"/>
            <w:vAlign w:val="center"/>
            <w:tcMar>
              <w:top w:w="70" w:type="dxa"/>
              <w:start w:w="80" w:type="dxa"/>
              <w:bottom w:w="70" w:type="dxa"/>
              <w:end w:w="80" w:type="dxa"/>
            </w:tcMar>
          </w:tcPr>
          <w:p>
            <w:pPr>
              <w:spacing w:after="0"/>
            </w:pPr>
            <w:r/>
            <w:r>
              <w:rPr>
                <w:rFonts w:ascii="Arial" w:hAnsi="Arial"/>
                <w:b w:val="0"/>
                <w:sz w:val="13"/>
              </w:rPr>
              <w:t>Reference patterns pass performance, security, recovery and operational tests.</w:t>
            </w:r>
          </w:p>
        </w:tc>
      </w:tr>
      <w:tr>
        <w:tc>
          <w:tcPr>
            <w:tcW w:type="dxa" w:w="1512"/>
            <w:vAlign w:val="center"/>
            <w:tcMar>
              <w:top w:w="70" w:type="dxa"/>
              <w:start w:w="80" w:type="dxa"/>
              <w:bottom w:w="70" w:type="dxa"/>
              <w:end w:w="80" w:type="dxa"/>
            </w:tcMar>
            <w:shd w:fill="F8F9FA"/>
          </w:tcPr>
          <w:p>
            <w:pPr>
              <w:spacing w:after="0"/>
            </w:pPr>
            <w:r/>
            <w:r>
              <w:rPr>
                <w:rFonts w:ascii="Arial" w:hAnsi="Arial"/>
                <w:b w:val="0"/>
                <w:sz w:val="13"/>
              </w:rPr>
              <w:t>Phase 3 — First production domain</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6–10 months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Deliver three to five certified products for a bounded domain, migrate priority consumers, operate SLOs and complete a recovery exercise.</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Production products, Looker semantic model, runbooks, support model, product review and measured business outcome.</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Product owner, stewards and engineers allocated; acceptance datasets and users available.</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Three months stable operation; target adoption, quality and freshness achieved.</w:t>
            </w:r>
          </w:p>
        </w:tc>
      </w:tr>
      <w:tr>
        <w:tc>
          <w:tcPr>
            <w:tcW w:type="dxa" w:w="1512"/>
            <w:vAlign w:val="center"/>
            <w:tcMar>
              <w:top w:w="70" w:type="dxa"/>
              <w:start w:w="80" w:type="dxa"/>
              <w:bottom w:w="70" w:type="dxa"/>
              <w:end w:w="80" w:type="dxa"/>
            </w:tcMar>
          </w:tcPr>
          <w:p>
            <w:pPr>
              <w:spacing w:after="0"/>
            </w:pPr>
            <w:r/>
            <w:r>
              <w:rPr>
                <w:rFonts w:ascii="Arial" w:hAnsi="Arial"/>
                <w:b w:val="0"/>
                <w:sz w:val="13"/>
              </w:rPr>
              <w:t>Phase 4 — Scale and federate</w:t>
            </w:r>
          </w:p>
        </w:tc>
        <w:tc>
          <w:tcPr>
            <w:tcW w:type="dxa" w:w="936"/>
            <w:vAlign w:val="center"/>
            <w:tcMar>
              <w:top w:w="70" w:type="dxa"/>
              <w:start w:w="80" w:type="dxa"/>
              <w:bottom w:w="70" w:type="dxa"/>
              <w:end w:w="80" w:type="dxa"/>
            </w:tcMar>
          </w:tcPr>
          <w:p>
            <w:pPr>
              <w:spacing w:after="0"/>
            </w:pPr>
            <w:r/>
            <w:r>
              <w:rPr>
                <w:rFonts w:ascii="Arial" w:hAnsi="Arial"/>
                <w:b w:val="0"/>
                <w:sz w:val="13"/>
              </w:rPr>
              <w:t>9–24 months</w:t>
            </w:r>
          </w:p>
        </w:tc>
        <w:tc>
          <w:tcPr>
            <w:tcW w:type="dxa" w:w="2088"/>
            <w:vAlign w:val="center"/>
            <w:tcMar>
              <w:top w:w="70" w:type="dxa"/>
              <w:start w:w="80" w:type="dxa"/>
              <w:bottom w:w="70" w:type="dxa"/>
              <w:end w:w="80" w:type="dxa"/>
            </w:tcMar>
          </w:tcPr>
          <w:p>
            <w:pPr>
              <w:spacing w:after="0"/>
            </w:pPr>
            <w:r/>
            <w:r>
              <w:rPr>
                <w:rFonts w:ascii="Arial" w:hAnsi="Arial"/>
                <w:b w:val="0"/>
                <w:sz w:val="13"/>
              </w:rPr>
              <w:t>Onboard additional domains through standardized waves, delegate governance, expand shared capabilities, introduce reservations and mature FinOps.</w:t>
            </w:r>
          </w:p>
        </w:tc>
        <w:tc>
          <w:tcPr>
            <w:tcW w:type="dxa" w:w="2232"/>
            <w:vAlign w:val="center"/>
            <w:tcMar>
              <w:top w:w="70" w:type="dxa"/>
              <w:start w:w="80" w:type="dxa"/>
              <w:bottom w:w="70" w:type="dxa"/>
              <w:end w:w="80" w:type="dxa"/>
            </w:tcMar>
          </w:tcPr>
          <w:p>
            <w:pPr>
              <w:spacing w:after="0"/>
            </w:pPr>
            <w:r/>
            <w:r>
              <w:rPr>
                <w:rFonts w:ascii="Arial" w:hAnsi="Arial"/>
                <w:b w:val="0"/>
                <w:sz w:val="13"/>
              </w:rPr>
              <w:t>Domain factories, marketplace, governance conformance, expanded pipeline/catalog coverage and cost allocation.</w:t>
            </w:r>
          </w:p>
        </w:tc>
        <w:tc>
          <w:tcPr>
            <w:tcW w:type="dxa" w:w="1728"/>
            <w:vAlign w:val="center"/>
            <w:tcMar>
              <w:top w:w="70" w:type="dxa"/>
              <w:start w:w="80" w:type="dxa"/>
              <w:bottom w:w="70" w:type="dxa"/>
              <w:end w:w="80" w:type="dxa"/>
            </w:tcMar>
          </w:tcPr>
          <w:p>
            <w:pPr>
              <w:spacing w:after="0"/>
            </w:pPr>
            <w:r/>
            <w:r>
              <w:rPr>
                <w:rFonts w:ascii="Arial" w:hAnsi="Arial"/>
                <w:b w:val="0"/>
                <w:sz w:val="13"/>
              </w:rPr>
              <w:t>Pilot operating model accepted; platform backlog and support capacity funded.</w:t>
            </w:r>
          </w:p>
        </w:tc>
        <w:tc>
          <w:tcPr>
            <w:tcW w:type="dxa" w:w="1800"/>
            <w:vAlign w:val="center"/>
            <w:tcMar>
              <w:top w:w="70" w:type="dxa"/>
              <w:start w:w="80" w:type="dxa"/>
              <w:bottom w:w="70" w:type="dxa"/>
              <w:end w:w="80" w:type="dxa"/>
            </w:tcMar>
          </w:tcPr>
          <w:p>
            <w:pPr>
              <w:spacing w:after="0"/>
            </w:pPr>
            <w:r/>
            <w:r>
              <w:rPr>
                <w:rFonts w:ascii="Arial" w:hAnsi="Arial"/>
                <w:b w:val="0"/>
                <w:sz w:val="13"/>
              </w:rPr>
              <w:t>Repeatable onboarding lead time; majority of new products use strategic patterns.</w:t>
            </w:r>
          </w:p>
        </w:tc>
      </w:tr>
      <w:tr>
        <w:tc>
          <w:tcPr>
            <w:tcW w:type="dxa" w:w="1512"/>
            <w:vAlign w:val="center"/>
            <w:tcMar>
              <w:top w:w="70" w:type="dxa"/>
              <w:start w:w="80" w:type="dxa"/>
              <w:bottom w:w="70" w:type="dxa"/>
              <w:end w:w="80" w:type="dxa"/>
            </w:tcMar>
            <w:shd w:fill="F8F9FA"/>
          </w:tcPr>
          <w:p>
            <w:pPr>
              <w:spacing w:after="0"/>
            </w:pPr>
            <w:r/>
            <w:r>
              <w:rPr>
                <w:rFonts w:ascii="Arial" w:hAnsi="Arial"/>
                <w:b w:val="0"/>
                <w:sz w:val="13"/>
              </w:rPr>
              <w:t>Phase 5 — Legacy modernization and retirement</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12–36 months</w:t>
            </w:r>
          </w:p>
        </w:tc>
        <w:tc>
          <w:tcPr>
            <w:tcW w:type="dxa" w:w="2088"/>
            <w:vAlign w:val="center"/>
            <w:tcMar>
              <w:top w:w="70" w:type="dxa"/>
              <w:start w:w="80" w:type="dxa"/>
              <w:bottom w:w="70" w:type="dxa"/>
              <w:end w:w="80" w:type="dxa"/>
            </w:tcMar>
            <w:shd w:fill="F8F9FA"/>
          </w:tcPr>
          <w:p>
            <w:pPr>
              <w:spacing w:after="0"/>
            </w:pPr>
            <w:r/>
            <w:r>
              <w:rPr>
                <w:rFonts w:ascii="Arial" w:hAnsi="Arial"/>
                <w:b w:val="0"/>
                <w:sz w:val="13"/>
              </w:rPr>
              <w:t>Migrate prioritized warehouse, Hadoop, ETL and BI portfolios; reconcile, cut over and decommission hardware, software and contracts.</w:t>
            </w:r>
          </w:p>
        </w:tc>
        <w:tc>
          <w:tcPr>
            <w:tcW w:type="dxa" w:w="2232"/>
            <w:vAlign w:val="center"/>
            <w:tcMar>
              <w:top w:w="70" w:type="dxa"/>
              <w:start w:w="80" w:type="dxa"/>
              <w:bottom w:w="70" w:type="dxa"/>
              <w:end w:w="80" w:type="dxa"/>
            </w:tcMar>
            <w:shd w:fill="F8F9FA"/>
          </w:tcPr>
          <w:p>
            <w:pPr>
              <w:spacing w:after="0"/>
            </w:pPr>
            <w:r/>
            <w:r>
              <w:rPr>
                <w:rFonts w:ascii="Arial" w:hAnsi="Arial"/>
                <w:b w:val="0"/>
                <w:sz w:val="13"/>
              </w:rPr>
              <w:t>Migration factory, converted workloads, coexistence controls, retirement evidence and cost avoidance.</w:t>
            </w:r>
          </w:p>
        </w:tc>
        <w:tc>
          <w:tcPr>
            <w:tcW w:type="dxa" w:w="1728"/>
            <w:vAlign w:val="center"/>
            <w:tcMar>
              <w:top w:w="70" w:type="dxa"/>
              <w:start w:w="80" w:type="dxa"/>
              <w:bottom w:w="70" w:type="dxa"/>
              <w:end w:w="80" w:type="dxa"/>
            </w:tcMar>
            <w:shd w:fill="F8F9FA"/>
          </w:tcPr>
          <w:p>
            <w:pPr>
              <w:spacing w:after="0"/>
            </w:pPr>
            <w:r/>
            <w:r>
              <w:rPr>
                <w:rFonts w:ascii="Arial" w:hAnsi="Arial"/>
                <w:b w:val="0"/>
                <w:sz w:val="13"/>
              </w:rPr>
              <w:t>Target patterns proven; dependency inventory and retirement funding approved.</w:t>
            </w:r>
          </w:p>
        </w:tc>
        <w:tc>
          <w:tcPr>
            <w:tcW w:type="dxa" w:w="1800"/>
            <w:vAlign w:val="center"/>
            <w:tcMar>
              <w:top w:w="70" w:type="dxa"/>
              <w:start w:w="80" w:type="dxa"/>
              <w:bottom w:w="70" w:type="dxa"/>
              <w:end w:w="80" w:type="dxa"/>
            </w:tcMar>
            <w:shd w:fill="F8F9FA"/>
          </w:tcPr>
          <w:p>
            <w:pPr>
              <w:spacing w:after="0"/>
            </w:pPr>
            <w:r/>
            <w:r>
              <w:rPr>
                <w:rFonts w:ascii="Arial" w:hAnsi="Arial"/>
                <w:b w:val="0"/>
                <w:sz w:val="13"/>
              </w:rPr>
              <w:t>Legacy services retired according to portfolio plan; residual exceptions have funded exit paths.</w:t>
            </w:r>
          </w:p>
        </w:tc>
      </w:tr>
      <w:tr>
        <w:tc>
          <w:tcPr>
            <w:tcW w:type="dxa" w:w="1512"/>
            <w:vAlign w:val="center"/>
            <w:tcMar>
              <w:top w:w="70" w:type="dxa"/>
              <w:start w:w="80" w:type="dxa"/>
              <w:bottom w:w="70" w:type="dxa"/>
              <w:end w:w="80" w:type="dxa"/>
            </w:tcMar>
          </w:tcPr>
          <w:p>
            <w:pPr>
              <w:spacing w:after="0"/>
            </w:pPr>
            <w:r/>
            <w:r>
              <w:rPr>
                <w:rFonts w:ascii="Arial" w:hAnsi="Arial"/>
                <w:b w:val="0"/>
                <w:sz w:val="13"/>
              </w:rPr>
              <w:t>Phase 6 — AI, automation and continuous optimization</w:t>
            </w:r>
          </w:p>
        </w:tc>
        <w:tc>
          <w:tcPr>
            <w:tcW w:type="dxa" w:w="936"/>
            <w:vAlign w:val="center"/>
            <w:tcMar>
              <w:top w:w="70" w:type="dxa"/>
              <w:start w:w="80" w:type="dxa"/>
              <w:bottom w:w="70" w:type="dxa"/>
              <w:end w:w="80" w:type="dxa"/>
            </w:tcMar>
          </w:tcPr>
          <w:p>
            <w:pPr>
              <w:spacing w:after="0"/>
            </w:pPr>
            <w:r/>
            <w:r>
              <w:rPr>
                <w:rFonts w:ascii="Arial" w:hAnsi="Arial"/>
                <w:b w:val="0"/>
                <w:sz w:val="13"/>
              </w:rPr>
              <w:t>12 months onward</w:t>
            </w:r>
          </w:p>
        </w:tc>
        <w:tc>
          <w:tcPr>
            <w:tcW w:type="dxa" w:w="2088"/>
            <w:vAlign w:val="center"/>
            <w:tcMar>
              <w:top w:w="70" w:type="dxa"/>
              <w:start w:w="80" w:type="dxa"/>
              <w:bottom w:w="70" w:type="dxa"/>
              <w:end w:w="80" w:type="dxa"/>
            </w:tcMar>
          </w:tcPr>
          <w:p>
            <w:pPr>
              <w:spacing w:after="0"/>
            </w:pPr>
            <w:r/>
            <w:r>
              <w:rPr>
                <w:rFonts w:ascii="Arial" w:hAnsi="Arial"/>
                <w:b w:val="0"/>
                <w:sz w:val="13"/>
              </w:rPr>
              <w:t>Scale governed ML/RAG/agents, automate policy and evidence, improve predictive operations, optimize cost/performance and evolve products.</w:t>
            </w:r>
          </w:p>
        </w:tc>
        <w:tc>
          <w:tcPr>
            <w:tcW w:type="dxa" w:w="2232"/>
            <w:vAlign w:val="center"/>
            <w:tcMar>
              <w:top w:w="70" w:type="dxa"/>
              <w:start w:w="80" w:type="dxa"/>
              <w:bottom w:w="70" w:type="dxa"/>
              <w:end w:w="80" w:type="dxa"/>
            </w:tcMar>
          </w:tcPr>
          <w:p>
            <w:pPr>
              <w:spacing w:after="0"/>
            </w:pPr>
            <w:r/>
            <w:r>
              <w:rPr>
                <w:rFonts w:ascii="Arial" w:hAnsi="Arial"/>
                <w:b w:val="0"/>
                <w:sz w:val="13"/>
              </w:rPr>
              <w:t>AI reference products, policy automation, higher maturity, product unit economics and continuous assurance.</w:t>
            </w:r>
          </w:p>
        </w:tc>
        <w:tc>
          <w:tcPr>
            <w:tcW w:type="dxa" w:w="1728"/>
            <w:vAlign w:val="center"/>
            <w:tcMar>
              <w:top w:w="70" w:type="dxa"/>
              <w:start w:w="80" w:type="dxa"/>
              <w:bottom w:w="70" w:type="dxa"/>
              <w:end w:w="80" w:type="dxa"/>
            </w:tcMar>
          </w:tcPr>
          <w:p>
            <w:pPr>
              <w:spacing w:after="0"/>
            </w:pPr>
            <w:r/>
            <w:r>
              <w:rPr>
                <w:rFonts w:ascii="Arial" w:hAnsi="Arial"/>
                <w:b w:val="0"/>
                <w:sz w:val="13"/>
              </w:rPr>
              <w:t>Governed products and operational controls mature enough to support higher-risk use cases.</w:t>
            </w:r>
          </w:p>
        </w:tc>
        <w:tc>
          <w:tcPr>
            <w:tcW w:type="dxa" w:w="1800"/>
            <w:vAlign w:val="center"/>
            <w:tcMar>
              <w:top w:w="70" w:type="dxa"/>
              <w:start w:w="80" w:type="dxa"/>
              <w:bottom w:w="70" w:type="dxa"/>
              <w:end w:w="80" w:type="dxa"/>
            </w:tcMar>
          </w:tcPr>
          <w:p>
            <w:pPr>
              <w:spacing w:after="0"/>
            </w:pPr>
            <w:r/>
            <w:r>
              <w:rPr>
                <w:rFonts w:ascii="Arial" w:hAnsi="Arial"/>
                <w:b w:val="0"/>
                <w:sz w:val="13"/>
              </w:rPr>
              <w:t>Quarterly value and maturity improvements; risk and unit cost remain within appetite.</w:t>
            </w:r>
          </w:p>
        </w:tc>
      </w:tr>
    </w:tbl>
    <w:p>
      <w:pPr>
        <w:spacing w:after="20"/>
      </w:pPr>
    </w:p>
    <w:p>
      <w:pPr>
        <w:pStyle w:val="Heading2"/>
      </w:pPr>
      <w:r>
        <w:t>12.1 Roadmap Work Packages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872"/>
            <w:vAlign w:val="center"/>
            <w:tcMar>
              <w:top w:w="70" w:type="dxa"/>
              <w:start w:w="80" w:type="dxa"/>
              <w:bottom w:w="70" w:type="dxa"/>
              <w:end w:w="80" w:type="dxa"/>
            </w:tcMar>
            <w:shd w:fill="1A73E8"/>
          </w:tcPr>
          <w:p>
            <w:pPr>
              <w:spacing w:after="0"/>
            </w:pPr>
            <w:r/>
            <w:r>
              <w:rPr>
                <w:rFonts w:ascii="Arial" w:hAnsi="Arial"/>
                <w:b/>
                <w:color w:val="FFFFFF"/>
                <w:sz w:val="16"/>
              </w:rPr>
              <w:t>Work package</w:t>
            </w:r>
          </w:p>
        </w:tc>
        <w:tc>
          <w:tcPr>
            <w:tcW w:type="dxa" w:w="5112"/>
            <w:vAlign w:val="center"/>
            <w:tcMar>
              <w:top w:w="70" w:type="dxa"/>
              <w:start w:w="80" w:type="dxa"/>
              <w:bottom w:w="70" w:type="dxa"/>
              <w:end w:w="80" w:type="dxa"/>
            </w:tcMar>
            <w:shd w:fill="1A73E8"/>
          </w:tcPr>
          <w:p>
            <w:pPr>
              <w:spacing w:after="0"/>
            </w:pPr>
            <w:r/>
            <w:r>
              <w:rPr>
                <w:rFonts w:ascii="Arial" w:hAnsi="Arial"/>
                <w:b/>
                <w:color w:val="FFFFFF"/>
                <w:sz w:val="16"/>
              </w:rPr>
              <w:t>Scope</w:t>
            </w:r>
          </w:p>
        </w:tc>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Primary phases</w:t>
            </w:r>
          </w:p>
        </w:tc>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Owner</w:t>
            </w:r>
          </w:p>
        </w:tc>
      </w:tr>
      <w:tr>
        <w:tc>
          <w:tcPr>
            <w:tcW w:type="dxa" w:w="936"/>
            <w:vAlign w:val="center"/>
            <w:tcMar>
              <w:top w:w="70" w:type="dxa"/>
              <w:start w:w="80" w:type="dxa"/>
              <w:bottom w:w="70" w:type="dxa"/>
              <w:end w:w="80" w:type="dxa"/>
            </w:tcMar>
          </w:tcPr>
          <w:p>
            <w:pPr>
              <w:spacing w:after="0"/>
            </w:pPr>
            <w:r/>
            <w:r>
              <w:rPr>
                <w:rFonts w:ascii="Arial" w:hAnsi="Arial"/>
                <w:b w:val="0"/>
                <w:sz w:val="14"/>
              </w:rPr>
              <w:t>WP-01</w:t>
            </w:r>
          </w:p>
        </w:tc>
        <w:tc>
          <w:tcPr>
            <w:tcW w:type="dxa" w:w="1872"/>
            <w:vAlign w:val="center"/>
            <w:tcMar>
              <w:top w:w="70" w:type="dxa"/>
              <w:start w:w="80" w:type="dxa"/>
              <w:bottom w:w="70" w:type="dxa"/>
              <w:end w:w="80" w:type="dxa"/>
            </w:tcMar>
          </w:tcPr>
          <w:p>
            <w:pPr>
              <w:spacing w:after="0"/>
            </w:pPr>
            <w:r/>
            <w:r>
              <w:rPr>
                <w:rFonts w:ascii="Arial" w:hAnsi="Arial"/>
                <w:b w:val="0"/>
                <w:sz w:val="14"/>
              </w:rPr>
              <w:t>Executive governance</w:t>
            </w:r>
          </w:p>
        </w:tc>
        <w:tc>
          <w:tcPr>
            <w:tcW w:type="dxa" w:w="5112"/>
            <w:vAlign w:val="center"/>
            <w:tcMar>
              <w:top w:w="70" w:type="dxa"/>
              <w:start w:w="80" w:type="dxa"/>
              <w:bottom w:w="70" w:type="dxa"/>
              <w:end w:w="80" w:type="dxa"/>
            </w:tcMar>
          </w:tcPr>
          <w:p>
            <w:pPr>
              <w:spacing w:after="0"/>
            </w:pPr>
            <w:r/>
            <w:r>
              <w:rPr>
                <w:rFonts w:ascii="Arial" w:hAnsi="Arial"/>
                <w:b w:val="0"/>
                <w:sz w:val="14"/>
              </w:rPr>
              <w:t>Charter, funding, steering cadence, architecture board and product council.</w:t>
            </w:r>
          </w:p>
        </w:tc>
        <w:tc>
          <w:tcPr>
            <w:tcW w:type="dxa" w:w="1224"/>
            <w:vAlign w:val="center"/>
            <w:tcMar>
              <w:top w:w="70" w:type="dxa"/>
              <w:start w:w="80" w:type="dxa"/>
              <w:bottom w:w="70" w:type="dxa"/>
              <w:end w:w="80" w:type="dxa"/>
            </w:tcMar>
          </w:tcPr>
          <w:p>
            <w:pPr>
              <w:spacing w:after="0"/>
            </w:pPr>
            <w:r/>
            <w:r>
              <w:rPr>
                <w:rFonts w:ascii="Arial" w:hAnsi="Arial"/>
                <w:b w:val="0"/>
                <w:sz w:val="14"/>
              </w:rPr>
              <w:t>Phase 0</w:t>
            </w:r>
          </w:p>
        </w:tc>
        <w:tc>
          <w:tcPr>
            <w:tcW w:type="dxa" w:w="936"/>
            <w:vAlign w:val="center"/>
            <w:tcMar>
              <w:top w:w="70" w:type="dxa"/>
              <w:start w:w="80" w:type="dxa"/>
              <w:bottom w:w="70" w:type="dxa"/>
              <w:end w:w="80" w:type="dxa"/>
            </w:tcMar>
          </w:tcPr>
          <w:p>
            <w:pPr>
              <w:spacing w:after="0"/>
            </w:pPr>
            <w:r/>
            <w:r>
              <w:rPr>
                <w:rFonts w:ascii="Arial" w:hAnsi="Arial"/>
                <w:b w:val="0"/>
                <w:sz w:val="14"/>
              </w:rPr>
              <w:t>Executive Sponsor</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WP-02</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Organization and project factory</w:t>
            </w:r>
          </w:p>
        </w:tc>
        <w:tc>
          <w:tcPr>
            <w:tcW w:type="dxa" w:w="5112"/>
            <w:vAlign w:val="center"/>
            <w:tcMar>
              <w:top w:w="70" w:type="dxa"/>
              <w:start w:w="80" w:type="dxa"/>
              <w:bottom w:w="70" w:type="dxa"/>
              <w:end w:w="80" w:type="dxa"/>
            </w:tcMar>
            <w:shd w:fill="F8F9FA"/>
          </w:tcPr>
          <w:p>
            <w:pPr>
              <w:spacing w:after="0"/>
            </w:pPr>
            <w:r/>
            <w:r>
              <w:rPr>
                <w:rFonts w:ascii="Arial" w:hAnsi="Arial"/>
                <w:b w:val="0"/>
                <w:sz w:val="14"/>
              </w:rPr>
              <w:t>Folders, projects, billing, labels, policies and delegated administration.</w:t>
            </w:r>
          </w:p>
        </w:tc>
        <w:tc>
          <w:tcPr>
            <w:tcW w:type="dxa" w:w="1224"/>
            <w:vAlign w:val="center"/>
            <w:tcMar>
              <w:top w:w="70" w:type="dxa"/>
              <w:start w:w="80" w:type="dxa"/>
              <w:bottom w:w="70" w:type="dxa"/>
              <w:end w:w="80" w:type="dxa"/>
            </w:tcMar>
            <w:shd w:fill="F8F9FA"/>
          </w:tcPr>
          <w:p>
            <w:pPr>
              <w:spacing w:after="0"/>
            </w:pPr>
            <w:r/>
            <w:r>
              <w:rPr>
                <w:rFonts w:ascii="Arial" w:hAnsi="Arial"/>
                <w:b w:val="0"/>
                <w:sz w:val="14"/>
              </w:rPr>
              <w:t>Phases 1–2</w:t>
            </w:r>
          </w:p>
        </w:tc>
        <w:tc>
          <w:tcPr>
            <w:tcW w:type="dxa" w:w="936"/>
            <w:vAlign w:val="center"/>
            <w:tcMar>
              <w:top w:w="70" w:type="dxa"/>
              <w:start w:w="80" w:type="dxa"/>
              <w:bottom w:w="70" w:type="dxa"/>
              <w:end w:w="80" w:type="dxa"/>
            </w:tcMar>
            <w:shd w:fill="F8F9FA"/>
          </w:tcPr>
          <w:p>
            <w:pPr>
              <w:spacing w:after="0"/>
            </w:pPr>
            <w:r/>
            <w:r>
              <w:rPr>
                <w:rFonts w:ascii="Arial" w:hAnsi="Arial"/>
                <w:b w:val="0"/>
                <w:sz w:val="14"/>
              </w:rPr>
              <w:t>Cloud Platform</w:t>
            </w:r>
          </w:p>
        </w:tc>
      </w:tr>
      <w:tr>
        <w:tc>
          <w:tcPr>
            <w:tcW w:type="dxa" w:w="936"/>
            <w:vAlign w:val="center"/>
            <w:tcMar>
              <w:top w:w="70" w:type="dxa"/>
              <w:start w:w="80" w:type="dxa"/>
              <w:bottom w:w="70" w:type="dxa"/>
              <w:end w:w="80" w:type="dxa"/>
            </w:tcMar>
          </w:tcPr>
          <w:p>
            <w:pPr>
              <w:spacing w:after="0"/>
            </w:pPr>
            <w:r/>
            <w:r>
              <w:rPr>
                <w:rFonts w:ascii="Arial" w:hAnsi="Arial"/>
                <w:b w:val="0"/>
                <w:sz w:val="14"/>
              </w:rPr>
              <w:t>WP-03</w:t>
            </w:r>
          </w:p>
        </w:tc>
        <w:tc>
          <w:tcPr>
            <w:tcW w:type="dxa" w:w="1872"/>
            <w:vAlign w:val="center"/>
            <w:tcMar>
              <w:top w:w="70" w:type="dxa"/>
              <w:start w:w="80" w:type="dxa"/>
              <w:bottom w:w="70" w:type="dxa"/>
              <w:end w:w="80" w:type="dxa"/>
            </w:tcMar>
          </w:tcPr>
          <w:p>
            <w:pPr>
              <w:spacing w:after="0"/>
            </w:pPr>
            <w:r/>
            <w:r>
              <w:rPr>
                <w:rFonts w:ascii="Arial" w:hAnsi="Arial"/>
                <w:b w:val="0"/>
                <w:sz w:val="14"/>
              </w:rPr>
              <w:t>Network and hybrid connectivity</w:t>
            </w:r>
          </w:p>
        </w:tc>
        <w:tc>
          <w:tcPr>
            <w:tcW w:type="dxa" w:w="5112"/>
            <w:vAlign w:val="center"/>
            <w:tcMar>
              <w:top w:w="70" w:type="dxa"/>
              <w:start w:w="80" w:type="dxa"/>
              <w:bottom w:w="70" w:type="dxa"/>
              <w:end w:w="80" w:type="dxa"/>
            </w:tcMar>
          </w:tcPr>
          <w:p>
            <w:pPr>
              <w:spacing w:after="0"/>
            </w:pPr>
            <w:r/>
            <w:r>
              <w:rPr>
                <w:rFonts w:ascii="Arial" w:hAnsi="Arial"/>
                <w:b w:val="0"/>
                <w:sz w:val="14"/>
              </w:rPr>
              <w:t>Shared VPC, IPAM, DNS, Interconnect/VPN, PSC, firewall and egress.</w:t>
            </w:r>
          </w:p>
        </w:tc>
        <w:tc>
          <w:tcPr>
            <w:tcW w:type="dxa" w:w="1224"/>
            <w:vAlign w:val="center"/>
            <w:tcMar>
              <w:top w:w="70" w:type="dxa"/>
              <w:start w:w="80" w:type="dxa"/>
              <w:bottom w:w="70" w:type="dxa"/>
              <w:end w:w="80" w:type="dxa"/>
            </w:tcMar>
          </w:tcPr>
          <w:p>
            <w:pPr>
              <w:spacing w:after="0"/>
            </w:pPr>
            <w:r/>
            <w:r>
              <w:rPr>
                <w:rFonts w:ascii="Arial" w:hAnsi="Arial"/>
                <w:b w:val="0"/>
                <w:sz w:val="14"/>
              </w:rPr>
              <w:t>Phase 1</w:t>
            </w:r>
          </w:p>
        </w:tc>
        <w:tc>
          <w:tcPr>
            <w:tcW w:type="dxa" w:w="936"/>
            <w:vAlign w:val="center"/>
            <w:tcMar>
              <w:top w:w="70" w:type="dxa"/>
              <w:start w:w="80" w:type="dxa"/>
              <w:bottom w:w="70" w:type="dxa"/>
              <w:end w:w="80" w:type="dxa"/>
            </w:tcMar>
          </w:tcPr>
          <w:p>
            <w:pPr>
              <w:spacing w:after="0"/>
            </w:pPr>
            <w:r/>
            <w:r>
              <w:rPr>
                <w:rFonts w:ascii="Arial" w:hAnsi="Arial"/>
                <w:b w:val="0"/>
                <w:sz w:val="14"/>
              </w:rPr>
              <w:t>Network Platform</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WP-04</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Identity and security foundation</w:t>
            </w:r>
          </w:p>
        </w:tc>
        <w:tc>
          <w:tcPr>
            <w:tcW w:type="dxa" w:w="5112"/>
            <w:vAlign w:val="center"/>
            <w:tcMar>
              <w:top w:w="70" w:type="dxa"/>
              <w:start w:w="80" w:type="dxa"/>
              <w:bottom w:w="70" w:type="dxa"/>
              <w:end w:w="80" w:type="dxa"/>
            </w:tcMar>
            <w:shd w:fill="F8F9FA"/>
          </w:tcPr>
          <w:p>
            <w:pPr>
              <w:spacing w:after="0"/>
            </w:pPr>
            <w:r/>
            <w:r>
              <w:rPr>
                <w:rFonts w:ascii="Arial" w:hAnsi="Arial"/>
                <w:b w:val="0"/>
                <w:sz w:val="14"/>
              </w:rPr>
              <w:t>Federation, WIF, JIT, KMS, secrets, SCC, logs and perimeters.</w:t>
            </w:r>
          </w:p>
        </w:tc>
        <w:tc>
          <w:tcPr>
            <w:tcW w:type="dxa" w:w="1224"/>
            <w:vAlign w:val="center"/>
            <w:tcMar>
              <w:top w:w="70" w:type="dxa"/>
              <w:start w:w="80" w:type="dxa"/>
              <w:bottom w:w="70" w:type="dxa"/>
              <w:end w:w="80" w:type="dxa"/>
            </w:tcMar>
            <w:shd w:fill="F8F9FA"/>
          </w:tcPr>
          <w:p>
            <w:pPr>
              <w:spacing w:after="0"/>
            </w:pPr>
            <w:r/>
            <w:r>
              <w:rPr>
                <w:rFonts w:ascii="Arial" w:hAnsi="Arial"/>
                <w:b w:val="0"/>
                <w:sz w:val="14"/>
              </w:rPr>
              <w:t>Phases 1–2</w:t>
            </w:r>
          </w:p>
        </w:tc>
        <w:tc>
          <w:tcPr>
            <w:tcW w:type="dxa" w:w="936"/>
            <w:vAlign w:val="center"/>
            <w:tcMar>
              <w:top w:w="70" w:type="dxa"/>
              <w:start w:w="80" w:type="dxa"/>
              <w:bottom w:w="70" w:type="dxa"/>
              <w:end w:w="80" w:type="dxa"/>
            </w:tcMar>
            <w:shd w:fill="F8F9FA"/>
          </w:tcPr>
          <w:p>
            <w:pPr>
              <w:spacing w:after="0"/>
            </w:pPr>
            <w:r/>
            <w:r>
              <w:rPr>
                <w:rFonts w:ascii="Arial" w:hAnsi="Arial"/>
                <w:b w:val="0"/>
                <w:sz w:val="14"/>
              </w:rPr>
              <w:t>Security Platform</w:t>
            </w:r>
          </w:p>
        </w:tc>
      </w:tr>
      <w:tr>
        <w:tc>
          <w:tcPr>
            <w:tcW w:type="dxa" w:w="936"/>
            <w:vAlign w:val="center"/>
            <w:tcMar>
              <w:top w:w="70" w:type="dxa"/>
              <w:start w:w="80" w:type="dxa"/>
              <w:bottom w:w="70" w:type="dxa"/>
              <w:end w:w="80" w:type="dxa"/>
            </w:tcMar>
          </w:tcPr>
          <w:p>
            <w:pPr>
              <w:spacing w:after="0"/>
            </w:pPr>
            <w:r/>
            <w:r>
              <w:rPr>
                <w:rFonts w:ascii="Arial" w:hAnsi="Arial"/>
                <w:b w:val="0"/>
                <w:sz w:val="14"/>
              </w:rPr>
              <w:t>WP-05</w:t>
            </w:r>
          </w:p>
        </w:tc>
        <w:tc>
          <w:tcPr>
            <w:tcW w:type="dxa" w:w="1872"/>
            <w:vAlign w:val="center"/>
            <w:tcMar>
              <w:top w:w="70" w:type="dxa"/>
              <w:start w:w="80" w:type="dxa"/>
              <w:bottom w:w="70" w:type="dxa"/>
              <w:end w:w="80" w:type="dxa"/>
            </w:tcMar>
          </w:tcPr>
          <w:p>
            <w:pPr>
              <w:spacing w:after="0"/>
            </w:pPr>
            <w:r/>
            <w:r>
              <w:rPr>
                <w:rFonts w:ascii="Arial" w:hAnsi="Arial"/>
                <w:b w:val="0"/>
                <w:sz w:val="14"/>
              </w:rPr>
              <w:t>Data platform core</w:t>
            </w:r>
          </w:p>
        </w:tc>
        <w:tc>
          <w:tcPr>
            <w:tcW w:type="dxa" w:w="5112"/>
            <w:vAlign w:val="center"/>
            <w:tcMar>
              <w:top w:w="70" w:type="dxa"/>
              <w:start w:w="80" w:type="dxa"/>
              <w:bottom w:w="70" w:type="dxa"/>
              <w:end w:w="80" w:type="dxa"/>
            </w:tcMar>
          </w:tcPr>
          <w:p>
            <w:pPr>
              <w:spacing w:after="0"/>
            </w:pPr>
            <w:r/>
            <w:r>
              <w:rPr>
                <w:rFonts w:ascii="Arial" w:hAnsi="Arial"/>
                <w:b w:val="0"/>
                <w:sz w:val="14"/>
              </w:rPr>
              <w:t>Storage zones, BigQuery, BigLake, service identities and governance integration.</w:t>
            </w:r>
          </w:p>
        </w:tc>
        <w:tc>
          <w:tcPr>
            <w:tcW w:type="dxa" w:w="1224"/>
            <w:vAlign w:val="center"/>
            <w:tcMar>
              <w:top w:w="70" w:type="dxa"/>
              <w:start w:w="80" w:type="dxa"/>
              <w:bottom w:w="70" w:type="dxa"/>
              <w:end w:w="80" w:type="dxa"/>
            </w:tcMar>
          </w:tcPr>
          <w:p>
            <w:pPr>
              <w:spacing w:after="0"/>
            </w:pPr>
            <w:r/>
            <w:r>
              <w:rPr>
                <w:rFonts w:ascii="Arial" w:hAnsi="Arial"/>
                <w:b w:val="0"/>
                <w:sz w:val="14"/>
              </w:rPr>
              <w:t>Phase 2</w:t>
            </w:r>
          </w:p>
        </w:tc>
        <w:tc>
          <w:tcPr>
            <w:tcW w:type="dxa" w:w="936"/>
            <w:vAlign w:val="center"/>
            <w:tcMar>
              <w:top w:w="70" w:type="dxa"/>
              <w:start w:w="80" w:type="dxa"/>
              <w:bottom w:w="70" w:type="dxa"/>
              <w:end w:w="80" w:type="dxa"/>
            </w:tcMar>
          </w:tcPr>
          <w:p>
            <w:pPr>
              <w:spacing w:after="0"/>
            </w:pPr>
            <w:r/>
            <w:r>
              <w:rPr>
                <w:rFonts w:ascii="Arial" w:hAnsi="Arial"/>
                <w:b w:val="0"/>
                <w:sz w:val="14"/>
              </w:rPr>
              <w:t>Data Platform</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WP-06</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Pipeline factory</w:t>
            </w:r>
          </w:p>
        </w:tc>
        <w:tc>
          <w:tcPr>
            <w:tcW w:type="dxa" w:w="5112"/>
            <w:vAlign w:val="center"/>
            <w:tcMar>
              <w:top w:w="70" w:type="dxa"/>
              <w:start w:w="80" w:type="dxa"/>
              <w:bottom w:w="70" w:type="dxa"/>
              <w:end w:w="80" w:type="dxa"/>
            </w:tcMar>
            <w:shd w:fill="F8F9FA"/>
          </w:tcPr>
          <w:p>
            <w:pPr>
              <w:spacing w:after="0"/>
            </w:pPr>
            <w:r/>
            <w:r>
              <w:rPr>
                <w:rFonts w:ascii="Arial" w:hAnsi="Arial"/>
                <w:b w:val="0"/>
                <w:sz w:val="14"/>
              </w:rPr>
              <w:t>Batch, CDC, stream, SQL, Spark and orchestration templates.</w:t>
            </w:r>
          </w:p>
        </w:tc>
        <w:tc>
          <w:tcPr>
            <w:tcW w:type="dxa" w:w="1224"/>
            <w:vAlign w:val="center"/>
            <w:tcMar>
              <w:top w:w="70" w:type="dxa"/>
              <w:start w:w="80" w:type="dxa"/>
              <w:bottom w:w="70" w:type="dxa"/>
              <w:end w:w="80" w:type="dxa"/>
            </w:tcMar>
            <w:shd w:fill="F8F9FA"/>
          </w:tcPr>
          <w:p>
            <w:pPr>
              <w:spacing w:after="0"/>
            </w:pPr>
            <w:r/>
            <w:r>
              <w:rPr>
                <w:rFonts w:ascii="Arial" w:hAnsi="Arial"/>
                <w:b w:val="0"/>
                <w:sz w:val="14"/>
              </w:rPr>
              <w:t>Phases 2–3</w:t>
            </w:r>
          </w:p>
        </w:tc>
        <w:tc>
          <w:tcPr>
            <w:tcW w:type="dxa" w:w="936"/>
            <w:vAlign w:val="center"/>
            <w:tcMar>
              <w:top w:w="70" w:type="dxa"/>
              <w:start w:w="80" w:type="dxa"/>
              <w:bottom w:w="70" w:type="dxa"/>
              <w:end w:w="80" w:type="dxa"/>
            </w:tcMar>
            <w:shd w:fill="F8F9FA"/>
          </w:tcPr>
          <w:p>
            <w:pPr>
              <w:spacing w:after="0"/>
            </w:pPr>
            <w:r/>
            <w:r>
              <w:rPr>
                <w:rFonts w:ascii="Arial" w:hAnsi="Arial"/>
                <w:b w:val="0"/>
                <w:sz w:val="14"/>
              </w:rPr>
              <w:t>Data Engineering</w:t>
            </w:r>
          </w:p>
        </w:tc>
      </w:tr>
      <w:tr>
        <w:tc>
          <w:tcPr>
            <w:tcW w:type="dxa" w:w="936"/>
            <w:vAlign w:val="center"/>
            <w:tcMar>
              <w:top w:w="70" w:type="dxa"/>
              <w:start w:w="80" w:type="dxa"/>
              <w:bottom w:w="70" w:type="dxa"/>
              <w:end w:w="80" w:type="dxa"/>
            </w:tcMar>
          </w:tcPr>
          <w:p>
            <w:pPr>
              <w:spacing w:after="0"/>
            </w:pPr>
            <w:r/>
            <w:r>
              <w:rPr>
                <w:rFonts w:ascii="Arial" w:hAnsi="Arial"/>
                <w:b w:val="0"/>
                <w:sz w:val="14"/>
              </w:rPr>
              <w:t>WP-07</w:t>
            </w:r>
          </w:p>
        </w:tc>
        <w:tc>
          <w:tcPr>
            <w:tcW w:type="dxa" w:w="1872"/>
            <w:vAlign w:val="center"/>
            <w:tcMar>
              <w:top w:w="70" w:type="dxa"/>
              <w:start w:w="80" w:type="dxa"/>
              <w:bottom w:w="70" w:type="dxa"/>
              <w:end w:w="80" w:type="dxa"/>
            </w:tcMar>
          </w:tcPr>
          <w:p>
            <w:pPr>
              <w:spacing w:after="0"/>
            </w:pPr>
            <w:r/>
            <w:r>
              <w:rPr>
                <w:rFonts w:ascii="Arial" w:hAnsi="Arial"/>
                <w:b w:val="0"/>
                <w:sz w:val="14"/>
              </w:rPr>
              <w:t>Governance and product lifecycle</w:t>
            </w:r>
          </w:p>
        </w:tc>
        <w:tc>
          <w:tcPr>
            <w:tcW w:type="dxa" w:w="5112"/>
            <w:vAlign w:val="center"/>
            <w:tcMar>
              <w:top w:w="70" w:type="dxa"/>
              <w:start w:w="80" w:type="dxa"/>
              <w:bottom w:w="70" w:type="dxa"/>
              <w:end w:w="80" w:type="dxa"/>
            </w:tcMar>
          </w:tcPr>
          <w:p>
            <w:pPr>
              <w:spacing w:after="0"/>
            </w:pPr>
            <w:r/>
            <w:r>
              <w:rPr>
                <w:rFonts w:ascii="Arial" w:hAnsi="Arial"/>
                <w:b w:val="0"/>
                <w:sz w:val="14"/>
              </w:rPr>
              <w:t>Catalog, glossary, lineage, contracts, quality, certification and marketplace.</w:t>
            </w:r>
          </w:p>
        </w:tc>
        <w:tc>
          <w:tcPr>
            <w:tcW w:type="dxa" w:w="1224"/>
            <w:vAlign w:val="center"/>
            <w:tcMar>
              <w:top w:w="70" w:type="dxa"/>
              <w:start w:w="80" w:type="dxa"/>
              <w:bottom w:w="70" w:type="dxa"/>
              <w:end w:w="80" w:type="dxa"/>
            </w:tcMar>
          </w:tcPr>
          <w:p>
            <w:pPr>
              <w:spacing w:after="0"/>
            </w:pPr>
            <w:r/>
            <w:r>
              <w:rPr>
                <w:rFonts w:ascii="Arial" w:hAnsi="Arial"/>
                <w:b w:val="0"/>
                <w:sz w:val="14"/>
              </w:rPr>
              <w:t>Phases 2–4</w:t>
            </w:r>
          </w:p>
        </w:tc>
        <w:tc>
          <w:tcPr>
            <w:tcW w:type="dxa" w:w="936"/>
            <w:vAlign w:val="center"/>
            <w:tcMar>
              <w:top w:w="70" w:type="dxa"/>
              <w:start w:w="80" w:type="dxa"/>
              <w:bottom w:w="70" w:type="dxa"/>
              <w:end w:w="80" w:type="dxa"/>
            </w:tcMar>
          </w:tcPr>
          <w:p>
            <w:pPr>
              <w:spacing w:after="0"/>
            </w:pPr>
            <w:r/>
            <w:r>
              <w:rPr>
                <w:rFonts w:ascii="Arial" w:hAnsi="Arial"/>
                <w:b w:val="0"/>
                <w:sz w:val="14"/>
              </w:rPr>
              <w:t>Data Governance</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WP-08</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Analytics</w:t>
            </w:r>
          </w:p>
        </w:tc>
        <w:tc>
          <w:tcPr>
            <w:tcW w:type="dxa" w:w="5112"/>
            <w:vAlign w:val="center"/>
            <w:tcMar>
              <w:top w:w="70" w:type="dxa"/>
              <w:start w:w="80" w:type="dxa"/>
              <w:bottom w:w="70" w:type="dxa"/>
              <w:end w:w="80" w:type="dxa"/>
            </w:tcMar>
            <w:shd w:fill="F8F9FA"/>
          </w:tcPr>
          <w:p>
            <w:pPr>
              <w:spacing w:after="0"/>
            </w:pPr>
            <w:r/>
            <w:r>
              <w:rPr>
                <w:rFonts w:ascii="Arial" w:hAnsi="Arial"/>
                <w:b w:val="0"/>
                <w:sz w:val="14"/>
              </w:rPr>
              <w:t>Looker semantic layer, KPI governance, self-service and migration patterns.</w:t>
            </w:r>
          </w:p>
        </w:tc>
        <w:tc>
          <w:tcPr>
            <w:tcW w:type="dxa" w:w="1224"/>
            <w:vAlign w:val="center"/>
            <w:tcMar>
              <w:top w:w="70" w:type="dxa"/>
              <w:start w:w="80" w:type="dxa"/>
              <w:bottom w:w="70" w:type="dxa"/>
              <w:end w:w="80" w:type="dxa"/>
            </w:tcMar>
            <w:shd w:fill="F8F9FA"/>
          </w:tcPr>
          <w:p>
            <w:pPr>
              <w:spacing w:after="0"/>
            </w:pPr>
            <w:r/>
            <w:r>
              <w:rPr>
                <w:rFonts w:ascii="Arial" w:hAnsi="Arial"/>
                <w:b w:val="0"/>
                <w:sz w:val="14"/>
              </w:rPr>
              <w:t>Phases 3–5</w:t>
            </w:r>
          </w:p>
        </w:tc>
        <w:tc>
          <w:tcPr>
            <w:tcW w:type="dxa" w:w="936"/>
            <w:vAlign w:val="center"/>
            <w:tcMar>
              <w:top w:w="70" w:type="dxa"/>
              <w:start w:w="80" w:type="dxa"/>
              <w:bottom w:w="70" w:type="dxa"/>
              <w:end w:w="80" w:type="dxa"/>
            </w:tcMar>
            <w:shd w:fill="F8F9FA"/>
          </w:tcPr>
          <w:p>
            <w:pPr>
              <w:spacing w:after="0"/>
            </w:pPr>
            <w:r/>
            <w:r>
              <w:rPr>
                <w:rFonts w:ascii="Arial" w:hAnsi="Arial"/>
                <w:b w:val="0"/>
                <w:sz w:val="14"/>
              </w:rPr>
              <w:t>Analytics COE</w:t>
            </w:r>
          </w:p>
        </w:tc>
      </w:tr>
      <w:tr>
        <w:tc>
          <w:tcPr>
            <w:tcW w:type="dxa" w:w="936"/>
            <w:vAlign w:val="center"/>
            <w:tcMar>
              <w:top w:w="70" w:type="dxa"/>
              <w:start w:w="80" w:type="dxa"/>
              <w:bottom w:w="70" w:type="dxa"/>
              <w:end w:w="80" w:type="dxa"/>
            </w:tcMar>
          </w:tcPr>
          <w:p>
            <w:pPr>
              <w:spacing w:after="0"/>
            </w:pPr>
            <w:r/>
            <w:r>
              <w:rPr>
                <w:rFonts w:ascii="Arial" w:hAnsi="Arial"/>
                <w:b w:val="0"/>
                <w:sz w:val="14"/>
              </w:rPr>
              <w:t>WP-09</w:t>
            </w:r>
          </w:p>
        </w:tc>
        <w:tc>
          <w:tcPr>
            <w:tcW w:type="dxa" w:w="1872"/>
            <w:vAlign w:val="center"/>
            <w:tcMar>
              <w:top w:w="70" w:type="dxa"/>
              <w:start w:w="80" w:type="dxa"/>
              <w:bottom w:w="70" w:type="dxa"/>
              <w:end w:w="80" w:type="dxa"/>
            </w:tcMar>
          </w:tcPr>
          <w:p>
            <w:pPr>
              <w:spacing w:after="0"/>
            </w:pPr>
            <w:r/>
            <w:r>
              <w:rPr>
                <w:rFonts w:ascii="Arial" w:hAnsi="Arial"/>
                <w:b w:val="0"/>
                <w:sz w:val="14"/>
              </w:rPr>
              <w:t>AI platform</w:t>
            </w:r>
          </w:p>
        </w:tc>
        <w:tc>
          <w:tcPr>
            <w:tcW w:type="dxa" w:w="5112"/>
            <w:vAlign w:val="center"/>
            <w:tcMar>
              <w:top w:w="70" w:type="dxa"/>
              <w:start w:w="80" w:type="dxa"/>
              <w:bottom w:w="70" w:type="dxa"/>
              <w:end w:w="80" w:type="dxa"/>
            </w:tcMar>
          </w:tcPr>
          <w:p>
            <w:pPr>
              <w:spacing w:after="0"/>
            </w:pPr>
            <w:r/>
            <w:r>
              <w:rPr>
                <w:rFonts w:ascii="Arial" w:hAnsi="Arial"/>
                <w:b w:val="0"/>
                <w:sz w:val="14"/>
              </w:rPr>
              <w:t>Vertex AI foundations, MLOps, RAG, evaluation and responsible-AI controls.</w:t>
            </w:r>
          </w:p>
        </w:tc>
        <w:tc>
          <w:tcPr>
            <w:tcW w:type="dxa" w:w="1224"/>
            <w:vAlign w:val="center"/>
            <w:tcMar>
              <w:top w:w="70" w:type="dxa"/>
              <w:start w:w="80" w:type="dxa"/>
              <w:bottom w:w="70" w:type="dxa"/>
              <w:end w:w="80" w:type="dxa"/>
            </w:tcMar>
          </w:tcPr>
          <w:p>
            <w:pPr>
              <w:spacing w:after="0"/>
            </w:pPr>
            <w:r/>
            <w:r>
              <w:rPr>
                <w:rFonts w:ascii="Arial" w:hAnsi="Arial"/>
                <w:b w:val="0"/>
                <w:sz w:val="14"/>
              </w:rPr>
              <w:t>Phases 3–6</w:t>
            </w:r>
          </w:p>
        </w:tc>
        <w:tc>
          <w:tcPr>
            <w:tcW w:type="dxa" w:w="936"/>
            <w:vAlign w:val="center"/>
            <w:tcMar>
              <w:top w:w="70" w:type="dxa"/>
              <w:start w:w="80" w:type="dxa"/>
              <w:bottom w:w="70" w:type="dxa"/>
              <w:end w:w="80" w:type="dxa"/>
            </w:tcMar>
          </w:tcPr>
          <w:p>
            <w:pPr>
              <w:spacing w:after="0"/>
            </w:pPr>
            <w:r/>
            <w:r>
              <w:rPr>
                <w:rFonts w:ascii="Arial" w:hAnsi="Arial"/>
                <w:b w:val="0"/>
                <w:sz w:val="14"/>
              </w:rPr>
              <w:t>AI Platform</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WP-10</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SRE and BCDR</w:t>
            </w:r>
          </w:p>
        </w:tc>
        <w:tc>
          <w:tcPr>
            <w:tcW w:type="dxa" w:w="5112"/>
            <w:vAlign w:val="center"/>
            <w:tcMar>
              <w:top w:w="70" w:type="dxa"/>
              <w:start w:w="80" w:type="dxa"/>
              <w:bottom w:w="70" w:type="dxa"/>
              <w:end w:w="80" w:type="dxa"/>
            </w:tcMar>
            <w:shd w:fill="F8F9FA"/>
          </w:tcPr>
          <w:p>
            <w:pPr>
              <w:spacing w:after="0"/>
            </w:pPr>
            <w:r/>
            <w:r>
              <w:rPr>
                <w:rFonts w:ascii="Arial" w:hAnsi="Arial"/>
                <w:b w:val="0"/>
                <w:sz w:val="14"/>
              </w:rPr>
              <w:t>SLOs, dashboards, incident, capacity, recovery designs and exercises.</w:t>
            </w:r>
          </w:p>
        </w:tc>
        <w:tc>
          <w:tcPr>
            <w:tcW w:type="dxa" w:w="1224"/>
            <w:vAlign w:val="center"/>
            <w:tcMar>
              <w:top w:w="70" w:type="dxa"/>
              <w:start w:w="80" w:type="dxa"/>
              <w:bottom w:w="70" w:type="dxa"/>
              <w:end w:w="80" w:type="dxa"/>
            </w:tcMar>
            <w:shd w:fill="F8F9FA"/>
          </w:tcPr>
          <w:p>
            <w:pPr>
              <w:spacing w:after="0"/>
            </w:pPr>
            <w:r/>
            <w:r>
              <w:rPr>
                <w:rFonts w:ascii="Arial" w:hAnsi="Arial"/>
                <w:b w:val="0"/>
                <w:sz w:val="14"/>
              </w:rPr>
              <w:t>Phases 2–6</w:t>
            </w:r>
          </w:p>
        </w:tc>
        <w:tc>
          <w:tcPr>
            <w:tcW w:type="dxa" w:w="936"/>
            <w:vAlign w:val="center"/>
            <w:tcMar>
              <w:top w:w="70" w:type="dxa"/>
              <w:start w:w="80" w:type="dxa"/>
              <w:bottom w:w="70" w:type="dxa"/>
              <w:end w:w="80" w:type="dxa"/>
            </w:tcMar>
            <w:shd w:fill="F8F9FA"/>
          </w:tcPr>
          <w:p>
            <w:pPr>
              <w:spacing w:after="0"/>
            </w:pPr>
            <w:r/>
            <w:r>
              <w:rPr>
                <w:rFonts w:ascii="Arial" w:hAnsi="Arial"/>
                <w:b w:val="0"/>
                <w:sz w:val="14"/>
              </w:rPr>
              <w:t>SRE/BCDR</w:t>
            </w:r>
          </w:p>
        </w:tc>
      </w:tr>
      <w:tr>
        <w:tc>
          <w:tcPr>
            <w:tcW w:type="dxa" w:w="936"/>
            <w:vAlign w:val="center"/>
            <w:tcMar>
              <w:top w:w="70" w:type="dxa"/>
              <w:start w:w="80" w:type="dxa"/>
              <w:bottom w:w="70" w:type="dxa"/>
              <w:end w:w="80" w:type="dxa"/>
            </w:tcMar>
          </w:tcPr>
          <w:p>
            <w:pPr>
              <w:spacing w:after="0"/>
            </w:pPr>
            <w:r/>
            <w:r>
              <w:rPr>
                <w:rFonts w:ascii="Arial" w:hAnsi="Arial"/>
                <w:b w:val="0"/>
                <w:sz w:val="14"/>
              </w:rPr>
              <w:t>WP-11</w:t>
            </w:r>
          </w:p>
        </w:tc>
        <w:tc>
          <w:tcPr>
            <w:tcW w:type="dxa" w:w="1872"/>
            <w:vAlign w:val="center"/>
            <w:tcMar>
              <w:top w:w="70" w:type="dxa"/>
              <w:start w:w="80" w:type="dxa"/>
              <w:bottom w:w="70" w:type="dxa"/>
              <w:end w:w="80" w:type="dxa"/>
            </w:tcMar>
          </w:tcPr>
          <w:p>
            <w:pPr>
              <w:spacing w:after="0"/>
            </w:pPr>
            <w:r/>
            <w:r>
              <w:rPr>
                <w:rFonts w:ascii="Arial" w:hAnsi="Arial"/>
                <w:b w:val="0"/>
                <w:sz w:val="14"/>
              </w:rPr>
              <w:t>DevSecOps</w:t>
            </w:r>
          </w:p>
        </w:tc>
        <w:tc>
          <w:tcPr>
            <w:tcW w:type="dxa" w:w="5112"/>
            <w:vAlign w:val="center"/>
            <w:tcMar>
              <w:top w:w="70" w:type="dxa"/>
              <w:start w:w="80" w:type="dxa"/>
              <w:bottom w:w="70" w:type="dxa"/>
              <w:end w:w="80" w:type="dxa"/>
            </w:tcMar>
          </w:tcPr>
          <w:p>
            <w:pPr>
              <w:spacing w:after="0"/>
            </w:pPr>
            <w:r/>
            <w:r>
              <w:rPr>
                <w:rFonts w:ascii="Arial" w:hAnsi="Arial"/>
                <w:b w:val="0"/>
                <w:sz w:val="14"/>
              </w:rPr>
              <w:t>Terraform modules, CI/CD, policy, provenance, tests and promotion.</w:t>
            </w:r>
          </w:p>
        </w:tc>
        <w:tc>
          <w:tcPr>
            <w:tcW w:type="dxa" w:w="1224"/>
            <w:vAlign w:val="center"/>
            <w:tcMar>
              <w:top w:w="70" w:type="dxa"/>
              <w:start w:w="80" w:type="dxa"/>
              <w:bottom w:w="70" w:type="dxa"/>
              <w:end w:w="80" w:type="dxa"/>
            </w:tcMar>
          </w:tcPr>
          <w:p>
            <w:pPr>
              <w:spacing w:after="0"/>
            </w:pPr>
            <w:r/>
            <w:r>
              <w:rPr>
                <w:rFonts w:ascii="Arial" w:hAnsi="Arial"/>
                <w:b w:val="0"/>
                <w:sz w:val="14"/>
              </w:rPr>
              <w:t>Phases 1–6</w:t>
            </w:r>
          </w:p>
        </w:tc>
        <w:tc>
          <w:tcPr>
            <w:tcW w:type="dxa" w:w="936"/>
            <w:vAlign w:val="center"/>
            <w:tcMar>
              <w:top w:w="70" w:type="dxa"/>
              <w:start w:w="80" w:type="dxa"/>
              <w:bottom w:w="70" w:type="dxa"/>
              <w:end w:w="80" w:type="dxa"/>
            </w:tcMar>
          </w:tcPr>
          <w:p>
            <w:pPr>
              <w:spacing w:after="0"/>
            </w:pPr>
            <w:r/>
            <w:r>
              <w:rPr>
                <w:rFonts w:ascii="Arial" w:hAnsi="Arial"/>
                <w:b w:val="0"/>
                <w:sz w:val="14"/>
              </w:rPr>
              <w:t>DevSecOps</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WP-12</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FinOps</w:t>
            </w:r>
          </w:p>
        </w:tc>
        <w:tc>
          <w:tcPr>
            <w:tcW w:type="dxa" w:w="5112"/>
            <w:vAlign w:val="center"/>
            <w:tcMar>
              <w:top w:w="70" w:type="dxa"/>
              <w:start w:w="80" w:type="dxa"/>
              <w:bottom w:w="70" w:type="dxa"/>
              <w:end w:w="80" w:type="dxa"/>
            </w:tcMar>
            <w:shd w:fill="F8F9FA"/>
          </w:tcPr>
          <w:p>
            <w:pPr>
              <w:spacing w:after="0"/>
            </w:pPr>
            <w:r/>
            <w:r>
              <w:rPr>
                <w:rFonts w:ascii="Arial" w:hAnsi="Arial"/>
                <w:b w:val="0"/>
                <w:sz w:val="14"/>
              </w:rPr>
              <w:t>Allocation, budgets, forecasts, reservations, unit economics and optimization.</w:t>
            </w:r>
          </w:p>
        </w:tc>
        <w:tc>
          <w:tcPr>
            <w:tcW w:type="dxa" w:w="1224"/>
            <w:vAlign w:val="center"/>
            <w:tcMar>
              <w:top w:w="70" w:type="dxa"/>
              <w:start w:w="80" w:type="dxa"/>
              <w:bottom w:w="70" w:type="dxa"/>
              <w:end w:w="80" w:type="dxa"/>
            </w:tcMar>
            <w:shd w:fill="F8F9FA"/>
          </w:tcPr>
          <w:p>
            <w:pPr>
              <w:spacing w:after="0"/>
            </w:pPr>
            <w:r/>
            <w:r>
              <w:rPr>
                <w:rFonts w:ascii="Arial" w:hAnsi="Arial"/>
                <w:b w:val="0"/>
                <w:sz w:val="14"/>
              </w:rPr>
              <w:t>Phases 1–6</w:t>
            </w:r>
          </w:p>
        </w:tc>
        <w:tc>
          <w:tcPr>
            <w:tcW w:type="dxa" w:w="936"/>
            <w:vAlign w:val="center"/>
            <w:tcMar>
              <w:top w:w="70" w:type="dxa"/>
              <w:start w:w="80" w:type="dxa"/>
              <w:bottom w:w="70" w:type="dxa"/>
              <w:end w:w="80" w:type="dxa"/>
            </w:tcMar>
            <w:shd w:fill="F8F9FA"/>
          </w:tcPr>
          <w:p>
            <w:pPr>
              <w:spacing w:after="0"/>
            </w:pPr>
            <w:r/>
            <w:r>
              <w:rPr>
                <w:rFonts w:ascii="Arial" w:hAnsi="Arial"/>
                <w:b w:val="0"/>
                <w:sz w:val="14"/>
              </w:rPr>
              <w:t>FinOps</w:t>
            </w:r>
          </w:p>
        </w:tc>
      </w:tr>
      <w:tr>
        <w:tc>
          <w:tcPr>
            <w:tcW w:type="dxa" w:w="936"/>
            <w:vAlign w:val="center"/>
            <w:tcMar>
              <w:top w:w="70" w:type="dxa"/>
              <w:start w:w="80" w:type="dxa"/>
              <w:bottom w:w="70" w:type="dxa"/>
              <w:end w:w="80" w:type="dxa"/>
            </w:tcMar>
          </w:tcPr>
          <w:p>
            <w:pPr>
              <w:spacing w:after="0"/>
            </w:pPr>
            <w:r/>
            <w:r>
              <w:rPr>
                <w:rFonts w:ascii="Arial" w:hAnsi="Arial"/>
                <w:b w:val="0"/>
                <w:sz w:val="14"/>
              </w:rPr>
              <w:t>WP-13</w:t>
            </w:r>
          </w:p>
        </w:tc>
        <w:tc>
          <w:tcPr>
            <w:tcW w:type="dxa" w:w="1872"/>
            <w:vAlign w:val="center"/>
            <w:tcMar>
              <w:top w:w="70" w:type="dxa"/>
              <w:start w:w="80" w:type="dxa"/>
              <w:bottom w:w="70" w:type="dxa"/>
              <w:end w:w="80" w:type="dxa"/>
            </w:tcMar>
          </w:tcPr>
          <w:p>
            <w:pPr>
              <w:spacing w:after="0"/>
            </w:pPr>
            <w:r/>
            <w:r>
              <w:rPr>
                <w:rFonts w:ascii="Arial" w:hAnsi="Arial"/>
                <w:b w:val="0"/>
                <w:sz w:val="14"/>
              </w:rPr>
              <w:t>Domain adoption</w:t>
            </w:r>
          </w:p>
        </w:tc>
        <w:tc>
          <w:tcPr>
            <w:tcW w:type="dxa" w:w="5112"/>
            <w:vAlign w:val="center"/>
            <w:tcMar>
              <w:top w:w="70" w:type="dxa"/>
              <w:start w:w="80" w:type="dxa"/>
              <w:bottom w:w="70" w:type="dxa"/>
              <w:end w:w="80" w:type="dxa"/>
            </w:tcMar>
          </w:tcPr>
          <w:p>
            <w:pPr>
              <w:spacing w:after="0"/>
            </w:pPr>
            <w:r/>
            <w:r>
              <w:rPr>
                <w:rFonts w:ascii="Arial" w:hAnsi="Arial"/>
                <w:b w:val="0"/>
                <w:sz w:val="14"/>
              </w:rPr>
              <w:t>Product ownership, sources, products, consumers, operations and value realization.</w:t>
            </w:r>
          </w:p>
        </w:tc>
        <w:tc>
          <w:tcPr>
            <w:tcW w:type="dxa" w:w="1224"/>
            <w:vAlign w:val="center"/>
            <w:tcMar>
              <w:top w:w="70" w:type="dxa"/>
              <w:start w:w="80" w:type="dxa"/>
              <w:bottom w:w="70" w:type="dxa"/>
              <w:end w:w="80" w:type="dxa"/>
            </w:tcMar>
          </w:tcPr>
          <w:p>
            <w:pPr>
              <w:spacing w:after="0"/>
            </w:pPr>
            <w:r/>
            <w:r>
              <w:rPr>
                <w:rFonts w:ascii="Arial" w:hAnsi="Arial"/>
                <w:b w:val="0"/>
                <w:sz w:val="14"/>
              </w:rPr>
              <w:t>Phases 3–6</w:t>
            </w:r>
          </w:p>
        </w:tc>
        <w:tc>
          <w:tcPr>
            <w:tcW w:type="dxa" w:w="936"/>
            <w:vAlign w:val="center"/>
            <w:tcMar>
              <w:top w:w="70" w:type="dxa"/>
              <w:start w:w="80" w:type="dxa"/>
              <w:bottom w:w="70" w:type="dxa"/>
              <w:end w:w="80" w:type="dxa"/>
            </w:tcMar>
          </w:tcPr>
          <w:p>
            <w:pPr>
              <w:spacing w:after="0"/>
            </w:pPr>
            <w:r/>
            <w:r>
              <w:rPr>
                <w:rFonts w:ascii="Arial" w:hAnsi="Arial"/>
                <w:b w:val="0"/>
                <w:sz w:val="14"/>
              </w:rPr>
              <w:t>Domain Executives</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WP-14</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Migration factory</w:t>
            </w:r>
          </w:p>
        </w:tc>
        <w:tc>
          <w:tcPr>
            <w:tcW w:type="dxa" w:w="5112"/>
            <w:vAlign w:val="center"/>
            <w:tcMar>
              <w:top w:w="70" w:type="dxa"/>
              <w:start w:w="80" w:type="dxa"/>
              <w:bottom w:w="70" w:type="dxa"/>
              <w:end w:w="80" w:type="dxa"/>
            </w:tcMar>
            <w:shd w:fill="F8F9FA"/>
          </w:tcPr>
          <w:p>
            <w:pPr>
              <w:spacing w:after="0"/>
            </w:pPr>
            <w:r/>
            <w:r>
              <w:rPr>
                <w:rFonts w:ascii="Arial" w:hAnsi="Arial"/>
                <w:b w:val="0"/>
                <w:sz w:val="14"/>
              </w:rPr>
              <w:t>Assessment, conversion, reconciliation, cutover and decommissioning.</w:t>
            </w:r>
          </w:p>
        </w:tc>
        <w:tc>
          <w:tcPr>
            <w:tcW w:type="dxa" w:w="1224"/>
            <w:vAlign w:val="center"/>
            <w:tcMar>
              <w:top w:w="70" w:type="dxa"/>
              <w:start w:w="80" w:type="dxa"/>
              <w:bottom w:w="70" w:type="dxa"/>
              <w:end w:w="80" w:type="dxa"/>
            </w:tcMar>
            <w:shd w:fill="F8F9FA"/>
          </w:tcPr>
          <w:p>
            <w:pPr>
              <w:spacing w:after="0"/>
            </w:pPr>
            <w:r/>
            <w:r>
              <w:rPr>
                <w:rFonts w:ascii="Arial" w:hAnsi="Arial"/>
                <w:b w:val="0"/>
                <w:sz w:val="14"/>
              </w:rPr>
              <w:t>Phases 4–5</w:t>
            </w:r>
          </w:p>
        </w:tc>
        <w:tc>
          <w:tcPr>
            <w:tcW w:type="dxa" w:w="936"/>
            <w:vAlign w:val="center"/>
            <w:tcMar>
              <w:top w:w="70" w:type="dxa"/>
              <w:start w:w="80" w:type="dxa"/>
              <w:bottom w:w="70" w:type="dxa"/>
              <w:end w:w="80" w:type="dxa"/>
            </w:tcMar>
            <w:shd w:fill="F8F9FA"/>
          </w:tcPr>
          <w:p>
            <w:pPr>
              <w:spacing w:after="0"/>
            </w:pPr>
            <w:r/>
            <w:r>
              <w:rPr>
                <w:rFonts w:ascii="Arial" w:hAnsi="Arial"/>
                <w:b w:val="0"/>
                <w:sz w:val="14"/>
              </w:rPr>
              <w:t>Migration Lead</w:t>
            </w:r>
          </w:p>
        </w:tc>
      </w:tr>
      <w:tr>
        <w:tc>
          <w:tcPr>
            <w:tcW w:type="dxa" w:w="936"/>
            <w:vAlign w:val="center"/>
            <w:tcMar>
              <w:top w:w="70" w:type="dxa"/>
              <w:start w:w="80" w:type="dxa"/>
              <w:bottom w:w="70" w:type="dxa"/>
              <w:end w:w="80" w:type="dxa"/>
            </w:tcMar>
          </w:tcPr>
          <w:p>
            <w:pPr>
              <w:spacing w:after="0"/>
            </w:pPr>
            <w:r/>
            <w:r>
              <w:rPr>
                <w:rFonts w:ascii="Arial" w:hAnsi="Arial"/>
                <w:b w:val="0"/>
                <w:sz w:val="14"/>
              </w:rPr>
              <w:t>WP-15</w:t>
            </w:r>
          </w:p>
        </w:tc>
        <w:tc>
          <w:tcPr>
            <w:tcW w:type="dxa" w:w="1872"/>
            <w:vAlign w:val="center"/>
            <w:tcMar>
              <w:top w:w="70" w:type="dxa"/>
              <w:start w:w="80" w:type="dxa"/>
              <w:bottom w:w="70" w:type="dxa"/>
              <w:end w:w="80" w:type="dxa"/>
            </w:tcMar>
          </w:tcPr>
          <w:p>
            <w:pPr>
              <w:spacing w:after="0"/>
            </w:pPr>
            <w:r/>
            <w:r>
              <w:rPr>
                <w:rFonts w:ascii="Arial" w:hAnsi="Arial"/>
                <w:b w:val="0"/>
                <w:sz w:val="14"/>
              </w:rPr>
              <w:t>Change and skills</w:t>
            </w:r>
          </w:p>
        </w:tc>
        <w:tc>
          <w:tcPr>
            <w:tcW w:type="dxa" w:w="5112"/>
            <w:vAlign w:val="center"/>
            <w:tcMar>
              <w:top w:w="70" w:type="dxa"/>
              <w:start w:w="80" w:type="dxa"/>
              <w:bottom w:w="70" w:type="dxa"/>
              <w:end w:w="80" w:type="dxa"/>
            </w:tcMar>
          </w:tcPr>
          <w:p>
            <w:pPr>
              <w:spacing w:after="0"/>
            </w:pPr>
            <w:r/>
            <w:r>
              <w:rPr>
                <w:rFonts w:ascii="Arial" w:hAnsi="Arial"/>
                <w:b w:val="0"/>
                <w:sz w:val="14"/>
              </w:rPr>
              <w:t>Role design, training, communities of practice and communications.</w:t>
            </w:r>
          </w:p>
        </w:tc>
        <w:tc>
          <w:tcPr>
            <w:tcW w:type="dxa" w:w="1224"/>
            <w:vAlign w:val="center"/>
            <w:tcMar>
              <w:top w:w="70" w:type="dxa"/>
              <w:start w:w="80" w:type="dxa"/>
              <w:bottom w:w="70" w:type="dxa"/>
              <w:end w:w="80" w:type="dxa"/>
            </w:tcMar>
          </w:tcPr>
          <w:p>
            <w:pPr>
              <w:spacing w:after="0"/>
            </w:pPr>
            <w:r/>
            <w:r>
              <w:rPr>
                <w:rFonts w:ascii="Arial" w:hAnsi="Arial"/>
                <w:b w:val="0"/>
                <w:sz w:val="14"/>
              </w:rPr>
              <w:t>Phases 0–6</w:t>
            </w:r>
          </w:p>
        </w:tc>
        <w:tc>
          <w:tcPr>
            <w:tcW w:type="dxa" w:w="936"/>
            <w:vAlign w:val="center"/>
            <w:tcMar>
              <w:top w:w="70" w:type="dxa"/>
              <w:start w:w="80" w:type="dxa"/>
              <w:bottom w:w="70" w:type="dxa"/>
              <w:end w:w="80" w:type="dxa"/>
            </w:tcMar>
          </w:tcPr>
          <w:p>
            <w:pPr>
              <w:spacing w:after="0"/>
            </w:pPr>
            <w:r/>
            <w:r>
              <w:rPr>
                <w:rFonts w:ascii="Arial" w:hAnsi="Arial"/>
                <w:b w:val="0"/>
                <w:sz w:val="14"/>
              </w:rPr>
              <w:t>Transformation Office</w:t>
            </w:r>
          </w:p>
        </w:tc>
      </w:tr>
    </w:tbl>
    <w:p>
      <w:pPr>
        <w:spacing w:after="20"/>
      </w:pPr>
    </w:p>
    <w:p>
      <w:pPr>
        <w:pStyle w:val="Heading2"/>
      </w:pPr>
      <w:r>
        <w:t>12.2 Architecture Gates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vAlign w:val="center"/>
            <w:tcMar>
              <w:top w:w="70" w:type="dxa"/>
              <w:start w:w="80" w:type="dxa"/>
              <w:bottom w:w="70" w:type="dxa"/>
              <w:end w:w="80" w:type="dxa"/>
            </w:tcMar>
            <w:shd w:fill="1A73E8"/>
          </w:tcPr>
          <w:p>
            <w:pPr>
              <w:spacing w:after="0"/>
            </w:pPr>
            <w:r/>
            <w:r>
              <w:rPr>
                <w:rFonts w:ascii="Arial" w:hAnsi="Arial"/>
                <w:b/>
                <w:color w:val="FFFFFF"/>
                <w:sz w:val="16"/>
              </w:rPr>
              <w:t>Gate</w:t>
            </w:r>
          </w:p>
        </w:tc>
        <w:tc>
          <w:tcPr>
            <w:tcW w:type="dxa" w:w="2304"/>
            <w:vAlign w:val="center"/>
            <w:tcMar>
              <w:top w:w="70" w:type="dxa"/>
              <w:start w:w="80" w:type="dxa"/>
              <w:bottom w:w="70" w:type="dxa"/>
              <w:end w:w="80" w:type="dxa"/>
            </w:tcMar>
            <w:shd w:fill="1A73E8"/>
          </w:tcPr>
          <w:p>
            <w:pPr>
              <w:spacing w:after="0"/>
            </w:pPr>
            <w:r/>
            <w:r>
              <w:rPr>
                <w:rFonts w:ascii="Arial" w:hAnsi="Arial"/>
                <w:b/>
                <w:color w:val="FFFFFF"/>
                <w:sz w:val="16"/>
              </w:rPr>
              <w:t>Decision</w:t>
            </w:r>
          </w:p>
        </w:tc>
        <w:tc>
          <w:tcPr>
            <w:tcW w:type="dxa" w:w="4824"/>
            <w:vAlign w:val="center"/>
            <w:tcMar>
              <w:top w:w="70" w:type="dxa"/>
              <w:start w:w="80" w:type="dxa"/>
              <w:bottom w:w="70" w:type="dxa"/>
              <w:end w:w="80" w:type="dxa"/>
            </w:tcMar>
            <w:shd w:fill="1A73E8"/>
          </w:tcPr>
          <w:p>
            <w:pPr>
              <w:spacing w:after="0"/>
            </w:pPr>
            <w:r/>
            <w:r>
              <w:rPr>
                <w:rFonts w:ascii="Arial" w:hAnsi="Arial"/>
                <w:b/>
                <w:color w:val="FFFFFF"/>
                <w:sz w:val="16"/>
              </w:rPr>
              <w:t>Minimum evidence</w:t>
            </w:r>
          </w:p>
        </w:tc>
        <w:tc>
          <w:tcPr>
            <w:tcW w:type="dxa" w:w="1296"/>
            <w:vAlign w:val="center"/>
            <w:tcMar>
              <w:top w:w="70" w:type="dxa"/>
              <w:start w:w="80" w:type="dxa"/>
              <w:bottom w:w="70" w:type="dxa"/>
              <w:end w:w="80" w:type="dxa"/>
            </w:tcMar>
            <w:shd w:fill="1A73E8"/>
          </w:tcPr>
          <w:p>
            <w:pPr>
              <w:spacing w:after="0"/>
            </w:pPr>
            <w:r/>
            <w:r>
              <w:rPr>
                <w:rFonts w:ascii="Arial" w:hAnsi="Arial"/>
                <w:b/>
                <w:color w:val="FFFFFF"/>
                <w:sz w:val="16"/>
              </w:rPr>
              <w:t>Decision authority</w:t>
            </w:r>
          </w:p>
        </w:tc>
      </w:tr>
      <w:tr>
        <w:tc>
          <w:tcPr>
            <w:tcW w:type="dxa" w:w="1656"/>
            <w:vAlign w:val="center"/>
            <w:tcMar>
              <w:top w:w="70" w:type="dxa"/>
              <w:start w:w="80" w:type="dxa"/>
              <w:bottom w:w="70" w:type="dxa"/>
              <w:end w:w="80" w:type="dxa"/>
            </w:tcMar>
          </w:tcPr>
          <w:p>
            <w:pPr>
              <w:spacing w:after="0"/>
            </w:pPr>
            <w:r/>
            <w:r>
              <w:rPr>
                <w:rFonts w:ascii="Arial" w:hAnsi="Arial"/>
                <w:b w:val="0"/>
                <w:sz w:val="14"/>
              </w:rPr>
              <w:t>G0 — Mobilization</w:t>
            </w:r>
          </w:p>
        </w:tc>
        <w:tc>
          <w:tcPr>
            <w:tcW w:type="dxa" w:w="2304"/>
            <w:vAlign w:val="center"/>
            <w:tcMar>
              <w:top w:w="70" w:type="dxa"/>
              <w:start w:w="80" w:type="dxa"/>
              <w:bottom w:w="70" w:type="dxa"/>
              <w:end w:w="80" w:type="dxa"/>
            </w:tcMar>
          </w:tcPr>
          <w:p>
            <w:pPr>
              <w:spacing w:after="0"/>
            </w:pPr>
            <w:r/>
            <w:r>
              <w:rPr>
                <w:rFonts w:ascii="Arial" w:hAnsi="Arial"/>
                <w:b w:val="0"/>
                <w:sz w:val="14"/>
              </w:rPr>
              <w:t>Proceed with funded blueprint and pilot.</w:t>
            </w:r>
          </w:p>
        </w:tc>
        <w:tc>
          <w:tcPr>
            <w:tcW w:type="dxa" w:w="4824"/>
            <w:vAlign w:val="center"/>
            <w:tcMar>
              <w:top w:w="70" w:type="dxa"/>
              <w:start w:w="80" w:type="dxa"/>
              <w:bottom w:w="70" w:type="dxa"/>
              <w:end w:w="80" w:type="dxa"/>
            </w:tcMar>
          </w:tcPr>
          <w:p>
            <w:pPr>
              <w:spacing w:after="0"/>
            </w:pPr>
            <w:r/>
            <w:r>
              <w:rPr>
                <w:rFonts w:ascii="Arial" w:hAnsi="Arial"/>
                <w:b w:val="0"/>
                <w:sz w:val="14"/>
              </w:rPr>
              <w:t>Charter, assumptions, requirements, risk, team and pilot business case.</w:t>
            </w:r>
          </w:p>
        </w:tc>
        <w:tc>
          <w:tcPr>
            <w:tcW w:type="dxa" w:w="1296"/>
            <w:vAlign w:val="center"/>
            <w:tcMar>
              <w:top w:w="70" w:type="dxa"/>
              <w:start w:w="80" w:type="dxa"/>
              <w:bottom w:w="70" w:type="dxa"/>
              <w:end w:w="80" w:type="dxa"/>
            </w:tcMar>
          </w:tcPr>
          <w:p>
            <w:pPr>
              <w:spacing w:after="0"/>
            </w:pPr>
            <w:r/>
            <w:r>
              <w:rPr>
                <w:rFonts w:ascii="Arial" w:hAnsi="Arial"/>
                <w:b w:val="0"/>
                <w:sz w:val="14"/>
              </w:rPr>
              <w:t>Executive Steering Committee</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G1 — Foundation design</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Approve implementation of landing-zone baseline.</w:t>
            </w:r>
          </w:p>
        </w:tc>
        <w:tc>
          <w:tcPr>
            <w:tcW w:type="dxa" w:w="4824"/>
            <w:vAlign w:val="center"/>
            <w:tcMar>
              <w:top w:w="70" w:type="dxa"/>
              <w:start w:w="80" w:type="dxa"/>
              <w:bottom w:w="70" w:type="dxa"/>
              <w:end w:w="80" w:type="dxa"/>
            </w:tcMar>
            <w:shd w:fill="F8F9FA"/>
          </w:tcPr>
          <w:p>
            <w:pPr>
              <w:spacing w:after="0"/>
            </w:pPr>
            <w:r/>
            <w:r>
              <w:rPr>
                <w:rFonts w:ascii="Arial" w:hAnsi="Arial"/>
                <w:b w:val="0"/>
                <w:sz w:val="14"/>
              </w:rPr>
              <w:t>Organization/network/identity/security designs, threat model and ADRs.</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Architecture and Security Review Boards</w:t>
            </w:r>
          </w:p>
        </w:tc>
      </w:tr>
      <w:tr>
        <w:tc>
          <w:tcPr>
            <w:tcW w:type="dxa" w:w="1656"/>
            <w:vAlign w:val="center"/>
            <w:tcMar>
              <w:top w:w="70" w:type="dxa"/>
              <w:start w:w="80" w:type="dxa"/>
              <w:bottom w:w="70" w:type="dxa"/>
              <w:end w:w="80" w:type="dxa"/>
            </w:tcMar>
          </w:tcPr>
          <w:p>
            <w:pPr>
              <w:spacing w:after="0"/>
            </w:pPr>
            <w:r/>
            <w:r>
              <w:rPr>
                <w:rFonts w:ascii="Arial" w:hAnsi="Arial"/>
                <w:b w:val="0"/>
                <w:sz w:val="14"/>
              </w:rPr>
              <w:t>G2 — Platform readiness</w:t>
            </w:r>
          </w:p>
        </w:tc>
        <w:tc>
          <w:tcPr>
            <w:tcW w:type="dxa" w:w="2304"/>
            <w:vAlign w:val="center"/>
            <w:tcMar>
              <w:top w:w="70" w:type="dxa"/>
              <w:start w:w="80" w:type="dxa"/>
              <w:bottom w:w="70" w:type="dxa"/>
              <w:end w:w="80" w:type="dxa"/>
            </w:tcMar>
          </w:tcPr>
          <w:p>
            <w:pPr>
              <w:spacing w:after="0"/>
            </w:pPr>
            <w:r/>
            <w:r>
              <w:rPr>
                <w:rFonts w:ascii="Arial" w:hAnsi="Arial"/>
                <w:b w:val="0"/>
                <w:sz w:val="14"/>
              </w:rPr>
              <w:t>Permit product development on shared platform.</w:t>
            </w:r>
          </w:p>
        </w:tc>
        <w:tc>
          <w:tcPr>
            <w:tcW w:type="dxa" w:w="4824"/>
            <w:vAlign w:val="center"/>
            <w:tcMar>
              <w:top w:w="70" w:type="dxa"/>
              <w:start w:w="80" w:type="dxa"/>
              <w:bottom w:w="70" w:type="dxa"/>
              <w:end w:w="80" w:type="dxa"/>
            </w:tcMar>
          </w:tcPr>
          <w:p>
            <w:pPr>
              <w:spacing w:after="0"/>
            </w:pPr>
            <w:r/>
            <w:r>
              <w:rPr>
                <w:rFonts w:ascii="Arial" w:hAnsi="Arial"/>
                <w:b w:val="0"/>
                <w:sz w:val="14"/>
              </w:rPr>
              <w:t>Reference templates, monitoring, data controls, tests and support model.</w:t>
            </w:r>
          </w:p>
        </w:tc>
        <w:tc>
          <w:tcPr>
            <w:tcW w:type="dxa" w:w="1296"/>
            <w:vAlign w:val="center"/>
            <w:tcMar>
              <w:top w:w="70" w:type="dxa"/>
              <w:start w:w="80" w:type="dxa"/>
              <w:bottom w:w="70" w:type="dxa"/>
              <w:end w:w="80" w:type="dxa"/>
            </w:tcMar>
          </w:tcPr>
          <w:p>
            <w:pPr>
              <w:spacing w:after="0"/>
            </w:pPr>
            <w:r/>
            <w:r>
              <w:rPr>
                <w:rFonts w:ascii="Arial" w:hAnsi="Arial"/>
                <w:b w:val="0"/>
                <w:sz w:val="14"/>
              </w:rPr>
              <w:t>Platform Product Council</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G3 — Production readiness</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Permit first product go-live.</w:t>
            </w:r>
          </w:p>
        </w:tc>
        <w:tc>
          <w:tcPr>
            <w:tcW w:type="dxa" w:w="4824"/>
            <w:vAlign w:val="center"/>
            <w:tcMar>
              <w:top w:w="70" w:type="dxa"/>
              <w:start w:w="80" w:type="dxa"/>
              <w:bottom w:w="70" w:type="dxa"/>
              <w:end w:w="80" w:type="dxa"/>
            </w:tcMar>
            <w:shd w:fill="F8F9FA"/>
          </w:tcPr>
          <w:p>
            <w:pPr>
              <w:spacing w:after="0"/>
            </w:pPr>
            <w:r/>
            <w:r>
              <w:rPr>
                <w:rFonts w:ascii="Arial" w:hAnsi="Arial"/>
                <w:b w:val="0"/>
                <w:sz w:val="14"/>
              </w:rPr>
              <w:t>Acceptance evidence, SLOs, runbooks, DR, cost forecast and business sign-off.</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Product Owner, SRE, Security and Architecture</w:t>
            </w:r>
          </w:p>
        </w:tc>
      </w:tr>
      <w:tr>
        <w:tc>
          <w:tcPr>
            <w:tcW w:type="dxa" w:w="1656"/>
            <w:vAlign w:val="center"/>
            <w:tcMar>
              <w:top w:w="70" w:type="dxa"/>
              <w:start w:w="80" w:type="dxa"/>
              <w:bottom w:w="70" w:type="dxa"/>
              <w:end w:w="80" w:type="dxa"/>
            </w:tcMar>
          </w:tcPr>
          <w:p>
            <w:pPr>
              <w:spacing w:after="0"/>
            </w:pPr>
            <w:r/>
            <w:r>
              <w:rPr>
                <w:rFonts w:ascii="Arial" w:hAnsi="Arial"/>
                <w:b w:val="0"/>
                <w:sz w:val="14"/>
              </w:rPr>
              <w:t>G4 — Scale decision</w:t>
            </w:r>
          </w:p>
        </w:tc>
        <w:tc>
          <w:tcPr>
            <w:tcW w:type="dxa" w:w="2304"/>
            <w:vAlign w:val="center"/>
            <w:tcMar>
              <w:top w:w="70" w:type="dxa"/>
              <w:start w:w="80" w:type="dxa"/>
              <w:bottom w:w="70" w:type="dxa"/>
              <w:end w:w="80" w:type="dxa"/>
            </w:tcMar>
          </w:tcPr>
          <w:p>
            <w:pPr>
              <w:spacing w:after="0"/>
            </w:pPr>
            <w:r/>
            <w:r>
              <w:rPr>
                <w:rFonts w:ascii="Arial" w:hAnsi="Arial"/>
                <w:b w:val="0"/>
                <w:sz w:val="14"/>
              </w:rPr>
              <w:t>Increase domain onboarding concurrency.</w:t>
            </w:r>
          </w:p>
        </w:tc>
        <w:tc>
          <w:tcPr>
            <w:tcW w:type="dxa" w:w="4824"/>
            <w:vAlign w:val="center"/>
            <w:tcMar>
              <w:top w:w="70" w:type="dxa"/>
              <w:start w:w="80" w:type="dxa"/>
              <w:bottom w:w="70" w:type="dxa"/>
              <w:end w:w="80" w:type="dxa"/>
            </w:tcMar>
          </w:tcPr>
          <w:p>
            <w:pPr>
              <w:spacing w:after="0"/>
            </w:pPr>
            <w:r/>
            <w:r>
              <w:rPr>
                <w:rFonts w:ascii="Arial" w:hAnsi="Arial"/>
                <w:b w:val="0"/>
                <w:sz w:val="14"/>
              </w:rPr>
              <w:t>Pilot stability, adoption, lead time, support load and unit economics.</w:t>
            </w:r>
          </w:p>
        </w:tc>
        <w:tc>
          <w:tcPr>
            <w:tcW w:type="dxa" w:w="1296"/>
            <w:vAlign w:val="center"/>
            <w:tcMar>
              <w:top w:w="70" w:type="dxa"/>
              <w:start w:w="80" w:type="dxa"/>
              <w:bottom w:w="70" w:type="dxa"/>
              <w:end w:w="80" w:type="dxa"/>
            </w:tcMar>
          </w:tcPr>
          <w:p>
            <w:pPr>
              <w:spacing w:after="0"/>
            </w:pPr>
            <w:r/>
            <w:r>
              <w:rPr>
                <w:rFonts w:ascii="Arial" w:hAnsi="Arial"/>
                <w:b w:val="0"/>
                <w:sz w:val="14"/>
              </w:rPr>
              <w:t>Executive Steering Committee</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G5 — Legacy cutover</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Retire legacy service or wave.</w:t>
            </w:r>
          </w:p>
        </w:tc>
        <w:tc>
          <w:tcPr>
            <w:tcW w:type="dxa" w:w="4824"/>
            <w:vAlign w:val="center"/>
            <w:tcMar>
              <w:top w:w="70" w:type="dxa"/>
              <w:start w:w="80" w:type="dxa"/>
              <w:bottom w:w="70" w:type="dxa"/>
              <w:end w:w="80" w:type="dxa"/>
            </w:tcMar>
            <w:shd w:fill="F8F9FA"/>
          </w:tcPr>
          <w:p>
            <w:pPr>
              <w:spacing w:after="0"/>
            </w:pPr>
            <w:r/>
            <w:r>
              <w:rPr>
                <w:rFonts w:ascii="Arial" w:hAnsi="Arial"/>
                <w:b w:val="0"/>
                <w:sz w:val="14"/>
              </w:rPr>
              <w:t>Reconciliation, consumer sign-off, rollback, retention and decommission plan.</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Business Owner and CIO delegate</w:t>
            </w:r>
          </w:p>
        </w:tc>
      </w:tr>
      <w:tr>
        <w:tc>
          <w:tcPr>
            <w:tcW w:type="dxa" w:w="1656"/>
            <w:vAlign w:val="center"/>
            <w:tcMar>
              <w:top w:w="70" w:type="dxa"/>
              <w:start w:w="80" w:type="dxa"/>
              <w:bottom w:w="70" w:type="dxa"/>
              <w:end w:w="80" w:type="dxa"/>
            </w:tcMar>
          </w:tcPr>
          <w:p>
            <w:pPr>
              <w:spacing w:after="0"/>
            </w:pPr>
            <w:r/>
            <w:r>
              <w:rPr>
                <w:rFonts w:ascii="Arial" w:hAnsi="Arial"/>
                <w:b w:val="0"/>
                <w:sz w:val="14"/>
              </w:rPr>
              <w:t>G6 — AI risk approval</w:t>
            </w:r>
          </w:p>
        </w:tc>
        <w:tc>
          <w:tcPr>
            <w:tcW w:type="dxa" w:w="2304"/>
            <w:vAlign w:val="center"/>
            <w:tcMar>
              <w:top w:w="70" w:type="dxa"/>
              <w:start w:w="80" w:type="dxa"/>
              <w:bottom w:w="70" w:type="dxa"/>
              <w:end w:w="80" w:type="dxa"/>
            </w:tcMar>
          </w:tcPr>
          <w:p>
            <w:pPr>
              <w:spacing w:after="0"/>
            </w:pPr>
            <w:r/>
            <w:r>
              <w:rPr>
                <w:rFonts w:ascii="Arial" w:hAnsi="Arial"/>
                <w:b w:val="0"/>
                <w:sz w:val="14"/>
              </w:rPr>
              <w:t>Deploy AI use case according to risk tier.</w:t>
            </w:r>
          </w:p>
        </w:tc>
        <w:tc>
          <w:tcPr>
            <w:tcW w:type="dxa" w:w="4824"/>
            <w:vAlign w:val="center"/>
            <w:tcMar>
              <w:top w:w="70" w:type="dxa"/>
              <w:start w:w="80" w:type="dxa"/>
              <w:bottom w:w="70" w:type="dxa"/>
              <w:end w:w="80" w:type="dxa"/>
            </w:tcMar>
          </w:tcPr>
          <w:p>
            <w:pPr>
              <w:spacing w:after="0"/>
            </w:pPr>
            <w:r/>
            <w:r>
              <w:rPr>
                <w:rFonts w:ascii="Arial" w:hAnsi="Arial"/>
                <w:b w:val="0"/>
                <w:sz w:val="14"/>
              </w:rPr>
              <w:t>Evaluation, safety, privacy, model card, monitoring and human-oversight plan.</w:t>
            </w:r>
          </w:p>
        </w:tc>
        <w:tc>
          <w:tcPr>
            <w:tcW w:type="dxa" w:w="1296"/>
            <w:vAlign w:val="center"/>
            <w:tcMar>
              <w:top w:w="70" w:type="dxa"/>
              <w:start w:w="80" w:type="dxa"/>
              <w:bottom w:w="70" w:type="dxa"/>
              <w:end w:w="80" w:type="dxa"/>
            </w:tcMar>
          </w:tcPr>
          <w:p>
            <w:pPr>
              <w:spacing w:after="0"/>
            </w:pPr>
            <w:r/>
            <w:r>
              <w:rPr>
                <w:rFonts w:ascii="Arial" w:hAnsi="Arial"/>
                <w:b w:val="0"/>
                <w:sz w:val="14"/>
              </w:rPr>
              <w:t>AI Governance and Risk</w:t>
            </w:r>
          </w:p>
        </w:tc>
      </w:tr>
    </w:tbl>
    <w:p>
      <w:pPr>
        <w:spacing w:after="20"/>
      </w:pPr>
    </w:p>
    <w:p>
      <w:pPr>
        <w:pStyle w:val="Heading2"/>
      </w:pPr>
      <w:r>
        <w:t>12.3 Roadmap KPIs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KPI</w:t>
            </w:r>
          </w:p>
        </w:tc>
        <w:tc>
          <w:tcPr>
            <w:tcW w:type="dxa" w:w="2016"/>
            <w:vAlign w:val="center"/>
            <w:tcMar>
              <w:top w:w="70" w:type="dxa"/>
              <w:start w:w="80" w:type="dxa"/>
              <w:bottom w:w="70" w:type="dxa"/>
              <w:end w:w="80" w:type="dxa"/>
            </w:tcMar>
            <w:shd w:fill="1A73E8"/>
          </w:tcPr>
          <w:p>
            <w:pPr>
              <w:spacing w:after="0"/>
            </w:pPr>
            <w:r/>
            <w:r>
              <w:rPr>
                <w:rFonts w:ascii="Arial" w:hAnsi="Arial"/>
                <w:b/>
                <w:color w:val="FFFFFF"/>
                <w:sz w:val="16"/>
              </w:rPr>
              <w:t>Baseline assumption</w:t>
            </w:r>
          </w:p>
        </w:tc>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12-month target</w:t>
            </w:r>
          </w:p>
        </w:tc>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24-month target</w:t>
            </w:r>
          </w:p>
        </w:tc>
        <w:tc>
          <w:tcPr>
            <w:tcW w:type="dxa" w:w="1296"/>
            <w:vAlign w:val="center"/>
            <w:tcMar>
              <w:top w:w="70" w:type="dxa"/>
              <w:start w:w="80" w:type="dxa"/>
              <w:bottom w:w="70" w:type="dxa"/>
              <w:end w:w="80" w:type="dxa"/>
            </w:tcMar>
            <w:shd w:fill="1A73E8"/>
          </w:tcPr>
          <w:p>
            <w:pPr>
              <w:spacing w:after="0"/>
            </w:pPr>
            <w:r/>
            <w:r>
              <w:rPr>
                <w:rFonts w:ascii="Arial" w:hAnsi="Arial"/>
                <w:b/>
                <w:color w:val="FFFFFF"/>
                <w:sz w:val="16"/>
              </w:rPr>
              <w:t>Owner</w:t>
            </w:r>
          </w:p>
        </w:tc>
      </w:tr>
      <w:tr>
        <w:tc>
          <w:tcPr>
            <w:tcW w:type="dxa" w:w="2232"/>
            <w:vAlign w:val="center"/>
            <w:tcMar>
              <w:top w:w="70" w:type="dxa"/>
              <w:start w:w="80" w:type="dxa"/>
              <w:bottom w:w="70" w:type="dxa"/>
              <w:end w:w="80" w:type="dxa"/>
            </w:tcMar>
          </w:tcPr>
          <w:p>
            <w:pPr>
              <w:spacing w:after="0"/>
            </w:pPr>
            <w:r/>
            <w:r>
              <w:rPr>
                <w:rFonts w:ascii="Arial" w:hAnsi="Arial"/>
                <w:b w:val="0"/>
                <w:sz w:val="14"/>
              </w:rPr>
              <w:t>Governed project provisioning lead time</w:t>
            </w:r>
          </w:p>
        </w:tc>
        <w:tc>
          <w:tcPr>
            <w:tcW w:type="dxa" w:w="2016"/>
            <w:vAlign w:val="center"/>
            <w:tcMar>
              <w:top w:w="70" w:type="dxa"/>
              <w:start w:w="80" w:type="dxa"/>
              <w:bottom w:w="70" w:type="dxa"/>
              <w:end w:w="80" w:type="dxa"/>
            </w:tcMar>
          </w:tcPr>
          <w:p>
            <w:pPr>
              <w:spacing w:after="0"/>
            </w:pPr>
            <w:r/>
            <w:r>
              <w:rPr>
                <w:rFonts w:ascii="Arial" w:hAnsi="Arial"/>
                <w:b w:val="0"/>
                <w:sz w:val="14"/>
              </w:rPr>
              <w:t>4–8 weeks</w:t>
            </w:r>
          </w:p>
        </w:tc>
        <w:tc>
          <w:tcPr>
            <w:tcW w:type="dxa" w:w="1944"/>
            <w:vAlign w:val="center"/>
            <w:tcMar>
              <w:top w:w="70" w:type="dxa"/>
              <w:start w:w="80" w:type="dxa"/>
              <w:bottom w:w="70" w:type="dxa"/>
              <w:end w:w="80" w:type="dxa"/>
            </w:tcMar>
          </w:tcPr>
          <w:p>
            <w:pPr>
              <w:spacing w:after="0"/>
            </w:pPr>
            <w:r/>
            <w:r>
              <w:rPr>
                <w:rFonts w:ascii="Arial" w:hAnsi="Arial"/>
                <w:b w:val="0"/>
                <w:sz w:val="14"/>
              </w:rPr>
              <w:t>≤10 working days</w:t>
            </w:r>
          </w:p>
        </w:tc>
        <w:tc>
          <w:tcPr>
            <w:tcW w:type="dxa" w:w="1944"/>
            <w:vAlign w:val="center"/>
            <w:tcMar>
              <w:top w:w="70" w:type="dxa"/>
              <w:start w:w="80" w:type="dxa"/>
              <w:bottom w:w="70" w:type="dxa"/>
              <w:end w:w="80" w:type="dxa"/>
            </w:tcMar>
          </w:tcPr>
          <w:p>
            <w:pPr>
              <w:spacing w:after="0"/>
            </w:pPr>
            <w:r/>
            <w:r>
              <w:rPr>
                <w:rFonts w:ascii="Arial" w:hAnsi="Arial"/>
                <w:b w:val="0"/>
                <w:sz w:val="14"/>
              </w:rPr>
              <w:t>≤2 working days</w:t>
            </w:r>
          </w:p>
        </w:tc>
        <w:tc>
          <w:tcPr>
            <w:tcW w:type="dxa" w:w="1296"/>
            <w:vAlign w:val="center"/>
            <w:tcMar>
              <w:top w:w="70" w:type="dxa"/>
              <w:start w:w="80" w:type="dxa"/>
              <w:bottom w:w="70" w:type="dxa"/>
              <w:end w:w="80" w:type="dxa"/>
            </w:tcMar>
          </w:tcPr>
          <w:p>
            <w:pPr>
              <w:spacing w:after="0"/>
            </w:pPr>
            <w:r/>
            <w:r>
              <w:rPr>
                <w:rFonts w:ascii="Arial" w:hAnsi="Arial"/>
                <w:b w:val="0"/>
                <w:sz w:val="14"/>
              </w:rPr>
              <w:t>Cloud Platform</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Standard source onboarding lead time</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8–16 weeks</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≤20 working days</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≤10 working days</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Data Platform</w:t>
            </w:r>
          </w:p>
        </w:tc>
      </w:tr>
      <w:tr>
        <w:tc>
          <w:tcPr>
            <w:tcW w:type="dxa" w:w="2232"/>
            <w:vAlign w:val="center"/>
            <w:tcMar>
              <w:top w:w="70" w:type="dxa"/>
              <w:start w:w="80" w:type="dxa"/>
              <w:bottom w:w="70" w:type="dxa"/>
              <w:end w:w="80" w:type="dxa"/>
            </w:tcMar>
          </w:tcPr>
          <w:p>
            <w:pPr>
              <w:spacing w:after="0"/>
            </w:pPr>
            <w:r/>
            <w:r>
              <w:rPr>
                <w:rFonts w:ascii="Arial" w:hAnsi="Arial"/>
                <w:b w:val="0"/>
                <w:sz w:val="14"/>
              </w:rPr>
              <w:t>Certified products</w:t>
            </w:r>
          </w:p>
        </w:tc>
        <w:tc>
          <w:tcPr>
            <w:tcW w:type="dxa" w:w="2016"/>
            <w:vAlign w:val="center"/>
            <w:tcMar>
              <w:top w:w="70" w:type="dxa"/>
              <w:start w:w="80" w:type="dxa"/>
              <w:bottom w:w="70" w:type="dxa"/>
              <w:end w:w="80" w:type="dxa"/>
            </w:tcMar>
          </w:tcPr>
          <w:p>
            <w:pPr>
              <w:spacing w:after="0"/>
            </w:pPr>
            <w:r/>
            <w:r>
              <w:rPr>
                <w:rFonts w:ascii="Arial" w:hAnsi="Arial"/>
                <w:b w:val="0"/>
                <w:sz w:val="14"/>
              </w:rPr>
              <w:t>Fragmented/unknown</w:t>
            </w:r>
          </w:p>
        </w:tc>
        <w:tc>
          <w:tcPr>
            <w:tcW w:type="dxa" w:w="1944"/>
            <w:vAlign w:val="center"/>
            <w:tcMar>
              <w:top w:w="70" w:type="dxa"/>
              <w:start w:w="80" w:type="dxa"/>
              <w:bottom w:w="70" w:type="dxa"/>
              <w:end w:w="80" w:type="dxa"/>
            </w:tcMar>
          </w:tcPr>
          <w:p>
            <w:pPr>
              <w:spacing w:after="0"/>
            </w:pPr>
            <w:r/>
            <w:r>
              <w:rPr>
                <w:rFonts w:ascii="Arial" w:hAnsi="Arial"/>
                <w:b w:val="0"/>
                <w:sz w:val="14"/>
              </w:rPr>
              <w:t>10–20</w:t>
            </w:r>
          </w:p>
        </w:tc>
        <w:tc>
          <w:tcPr>
            <w:tcW w:type="dxa" w:w="1944"/>
            <w:vAlign w:val="center"/>
            <w:tcMar>
              <w:top w:w="70" w:type="dxa"/>
              <w:start w:w="80" w:type="dxa"/>
              <w:bottom w:w="70" w:type="dxa"/>
              <w:end w:w="80" w:type="dxa"/>
            </w:tcMar>
          </w:tcPr>
          <w:p>
            <w:pPr>
              <w:spacing w:after="0"/>
            </w:pPr>
            <w:r/>
            <w:r>
              <w:rPr>
                <w:rFonts w:ascii="Arial" w:hAnsi="Arial"/>
                <w:b w:val="0"/>
                <w:sz w:val="14"/>
              </w:rPr>
              <w:t>50+</w:t>
            </w:r>
          </w:p>
        </w:tc>
        <w:tc>
          <w:tcPr>
            <w:tcW w:type="dxa" w:w="1296"/>
            <w:vAlign w:val="center"/>
            <w:tcMar>
              <w:top w:w="70" w:type="dxa"/>
              <w:start w:w="80" w:type="dxa"/>
              <w:bottom w:w="70" w:type="dxa"/>
              <w:end w:w="80" w:type="dxa"/>
            </w:tcMar>
          </w:tcPr>
          <w:p>
            <w:pPr>
              <w:spacing w:after="0"/>
            </w:pPr>
            <w:r/>
            <w:r>
              <w:rPr>
                <w:rFonts w:ascii="Arial" w:hAnsi="Arial"/>
                <w:b w:val="0"/>
                <w:sz w:val="14"/>
              </w:rPr>
              <w:t>CDO and Domains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Golden-path adoption</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Low</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≥70% of new workloads</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≥90%</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Platform Product</w:t>
            </w:r>
          </w:p>
        </w:tc>
      </w:tr>
      <w:tr>
        <w:tc>
          <w:tcPr>
            <w:tcW w:type="dxa" w:w="2232"/>
            <w:vAlign w:val="center"/>
            <w:tcMar>
              <w:top w:w="70" w:type="dxa"/>
              <w:start w:w="80" w:type="dxa"/>
              <w:bottom w:w="70" w:type="dxa"/>
              <w:end w:w="80" w:type="dxa"/>
            </w:tcMar>
          </w:tcPr>
          <w:p>
            <w:pPr>
              <w:spacing w:after="0"/>
            </w:pPr>
            <w:r/>
            <w:r>
              <w:rPr>
                <w:rFonts w:ascii="Arial" w:hAnsi="Arial"/>
                <w:b w:val="0"/>
                <w:sz w:val="14"/>
              </w:rPr>
              <w:t>Tier 0/1 SLO coverage</w:t>
            </w:r>
          </w:p>
        </w:tc>
        <w:tc>
          <w:tcPr>
            <w:tcW w:type="dxa" w:w="2016"/>
            <w:vAlign w:val="center"/>
            <w:tcMar>
              <w:top w:w="70" w:type="dxa"/>
              <w:start w:w="80" w:type="dxa"/>
              <w:bottom w:w="70" w:type="dxa"/>
              <w:end w:w="80" w:type="dxa"/>
            </w:tcMar>
          </w:tcPr>
          <w:p>
            <w:pPr>
              <w:spacing w:after="0"/>
            </w:pPr>
            <w:r/>
            <w:r>
              <w:rPr>
                <w:rFonts w:ascii="Arial" w:hAnsi="Arial"/>
                <w:b w:val="0"/>
                <w:sz w:val="14"/>
              </w:rPr>
              <w:t>Inconsistent</w:t>
            </w:r>
          </w:p>
        </w:tc>
        <w:tc>
          <w:tcPr>
            <w:tcW w:type="dxa" w:w="1944"/>
            <w:vAlign w:val="center"/>
            <w:tcMar>
              <w:top w:w="70" w:type="dxa"/>
              <w:start w:w="80" w:type="dxa"/>
              <w:bottom w:w="70" w:type="dxa"/>
              <w:end w:w="80" w:type="dxa"/>
            </w:tcMar>
          </w:tcPr>
          <w:p>
            <w:pPr>
              <w:spacing w:after="0"/>
            </w:pPr>
            <w:r/>
            <w:r>
              <w:rPr>
                <w:rFonts w:ascii="Arial" w:hAnsi="Arial"/>
                <w:b w:val="0"/>
                <w:sz w:val="14"/>
              </w:rPr>
              <w:t>100% of pilot</w:t>
            </w:r>
          </w:p>
        </w:tc>
        <w:tc>
          <w:tcPr>
            <w:tcW w:type="dxa" w:w="1944"/>
            <w:vAlign w:val="center"/>
            <w:tcMar>
              <w:top w:w="70" w:type="dxa"/>
              <w:start w:w="80" w:type="dxa"/>
              <w:bottom w:w="70" w:type="dxa"/>
              <w:end w:w="80" w:type="dxa"/>
            </w:tcMar>
          </w:tcPr>
          <w:p>
            <w:pPr>
              <w:spacing w:after="0"/>
            </w:pPr>
            <w:r/>
            <w:r>
              <w:rPr>
                <w:rFonts w:ascii="Arial" w:hAnsi="Arial"/>
                <w:b w:val="0"/>
                <w:sz w:val="14"/>
              </w:rPr>
              <w:t>100% enterprise portfolio</w:t>
            </w:r>
          </w:p>
        </w:tc>
        <w:tc>
          <w:tcPr>
            <w:tcW w:type="dxa" w:w="1296"/>
            <w:vAlign w:val="center"/>
            <w:tcMar>
              <w:top w:w="70" w:type="dxa"/>
              <w:start w:w="80" w:type="dxa"/>
              <w:bottom w:w="70" w:type="dxa"/>
              <w:end w:w="80" w:type="dxa"/>
            </w:tcMar>
          </w:tcPr>
          <w:p>
            <w:pPr>
              <w:spacing w:after="0"/>
            </w:pPr>
            <w:r/>
            <w:r>
              <w:rPr>
                <w:rFonts w:ascii="Arial" w:hAnsi="Arial"/>
                <w:b w:val="0"/>
                <w:sz w:val="14"/>
              </w:rPr>
              <w:t>SRE</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Critical-product lineage</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Partial</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100% pilot</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≥95% portfolio</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Governance</w:t>
            </w:r>
          </w:p>
        </w:tc>
      </w:tr>
      <w:tr>
        <w:tc>
          <w:tcPr>
            <w:tcW w:type="dxa" w:w="2232"/>
            <w:vAlign w:val="center"/>
            <w:tcMar>
              <w:top w:w="70" w:type="dxa"/>
              <w:start w:w="80" w:type="dxa"/>
              <w:bottom w:w="70" w:type="dxa"/>
              <w:end w:w="80" w:type="dxa"/>
            </w:tcMar>
          </w:tcPr>
          <w:p>
            <w:pPr>
              <w:spacing w:after="0"/>
            </w:pPr>
            <w:r/>
            <w:r>
              <w:rPr>
                <w:rFonts w:ascii="Arial" w:hAnsi="Arial"/>
                <w:b w:val="0"/>
                <w:sz w:val="14"/>
              </w:rPr>
              <w:t>Cost allocation</w:t>
            </w:r>
          </w:p>
        </w:tc>
        <w:tc>
          <w:tcPr>
            <w:tcW w:type="dxa" w:w="2016"/>
            <w:vAlign w:val="center"/>
            <w:tcMar>
              <w:top w:w="70" w:type="dxa"/>
              <w:start w:w="80" w:type="dxa"/>
              <w:bottom w:w="70" w:type="dxa"/>
              <w:end w:w="80" w:type="dxa"/>
            </w:tcMar>
          </w:tcPr>
          <w:p>
            <w:pPr>
              <w:spacing w:after="0"/>
            </w:pPr>
            <w:r/>
            <w:r>
              <w:rPr>
                <w:rFonts w:ascii="Arial" w:hAnsi="Arial"/>
                <w:b w:val="0"/>
                <w:sz w:val="14"/>
              </w:rPr>
              <w:t>&lt;60% assumed</w:t>
            </w:r>
          </w:p>
        </w:tc>
        <w:tc>
          <w:tcPr>
            <w:tcW w:type="dxa" w:w="1944"/>
            <w:vAlign w:val="center"/>
            <w:tcMar>
              <w:top w:w="70" w:type="dxa"/>
              <w:start w:w="80" w:type="dxa"/>
              <w:bottom w:w="70" w:type="dxa"/>
              <w:end w:w="80" w:type="dxa"/>
            </w:tcMar>
          </w:tcPr>
          <w:p>
            <w:pPr>
              <w:spacing w:after="0"/>
            </w:pPr>
            <w:r/>
            <w:r>
              <w:rPr>
                <w:rFonts w:ascii="Arial" w:hAnsi="Arial"/>
                <w:b w:val="0"/>
                <w:sz w:val="14"/>
              </w:rPr>
              <w:t>≥90%</w:t>
            </w:r>
          </w:p>
        </w:tc>
        <w:tc>
          <w:tcPr>
            <w:tcW w:type="dxa" w:w="1944"/>
            <w:vAlign w:val="center"/>
            <w:tcMar>
              <w:top w:w="70" w:type="dxa"/>
              <w:start w:w="80" w:type="dxa"/>
              <w:bottom w:w="70" w:type="dxa"/>
              <w:end w:w="80" w:type="dxa"/>
            </w:tcMar>
          </w:tcPr>
          <w:p>
            <w:pPr>
              <w:spacing w:after="0"/>
            </w:pPr>
            <w:r/>
            <w:r>
              <w:rPr>
                <w:rFonts w:ascii="Arial" w:hAnsi="Arial"/>
                <w:b w:val="0"/>
                <w:sz w:val="14"/>
              </w:rPr>
              <w:t>≥95%</w:t>
            </w:r>
          </w:p>
        </w:tc>
        <w:tc>
          <w:tcPr>
            <w:tcW w:type="dxa" w:w="1296"/>
            <w:vAlign w:val="center"/>
            <w:tcMar>
              <w:top w:w="70" w:type="dxa"/>
              <w:start w:w="80" w:type="dxa"/>
              <w:bottom w:w="70" w:type="dxa"/>
              <w:end w:w="80" w:type="dxa"/>
            </w:tcMar>
          </w:tcPr>
          <w:p>
            <w:pPr>
              <w:spacing w:after="0"/>
            </w:pPr>
            <w:r/>
            <w:r>
              <w:rPr>
                <w:rFonts w:ascii="Arial" w:hAnsi="Arial"/>
                <w:b w:val="0"/>
                <w:sz w:val="14"/>
              </w:rPr>
              <w:t>FinOps</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Legacy cost retired</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No common baseline</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Wave-specific committed savings</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Portfolio target achieved</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Migration Lead</w:t>
            </w:r>
          </w:p>
        </w:tc>
      </w:tr>
      <w:tr>
        <w:tc>
          <w:tcPr>
            <w:tcW w:type="dxa" w:w="2232"/>
            <w:vAlign w:val="center"/>
            <w:tcMar>
              <w:top w:w="70" w:type="dxa"/>
              <w:start w:w="80" w:type="dxa"/>
              <w:bottom w:w="70" w:type="dxa"/>
              <w:end w:w="80" w:type="dxa"/>
            </w:tcMar>
          </w:tcPr>
          <w:p>
            <w:pPr>
              <w:spacing w:after="0"/>
            </w:pPr>
            <w:r/>
            <w:r>
              <w:rPr>
                <w:rFonts w:ascii="Arial" w:hAnsi="Arial"/>
                <w:b w:val="0"/>
                <w:sz w:val="14"/>
              </w:rPr>
              <w:t>Recovery exercises passed</w:t>
            </w:r>
          </w:p>
        </w:tc>
        <w:tc>
          <w:tcPr>
            <w:tcW w:type="dxa" w:w="2016"/>
            <w:vAlign w:val="center"/>
            <w:tcMar>
              <w:top w:w="70" w:type="dxa"/>
              <w:start w:w="80" w:type="dxa"/>
              <w:bottom w:w="70" w:type="dxa"/>
              <w:end w:w="80" w:type="dxa"/>
            </w:tcMar>
          </w:tcPr>
          <w:p>
            <w:pPr>
              <w:spacing w:after="0"/>
            </w:pPr>
            <w:r/>
            <w:r>
              <w:rPr>
                <w:rFonts w:ascii="Arial" w:hAnsi="Arial"/>
                <w:b w:val="0"/>
                <w:sz w:val="14"/>
              </w:rPr>
              <w:t>Inconsistent</w:t>
            </w:r>
          </w:p>
        </w:tc>
        <w:tc>
          <w:tcPr>
            <w:tcW w:type="dxa" w:w="1944"/>
            <w:vAlign w:val="center"/>
            <w:tcMar>
              <w:top w:w="70" w:type="dxa"/>
              <w:start w:w="80" w:type="dxa"/>
              <w:bottom w:w="70" w:type="dxa"/>
              <w:end w:w="80" w:type="dxa"/>
            </w:tcMar>
          </w:tcPr>
          <w:p>
            <w:pPr>
              <w:spacing w:after="0"/>
            </w:pPr>
            <w:r/>
            <w:r>
              <w:rPr>
                <w:rFonts w:ascii="Arial" w:hAnsi="Arial"/>
                <w:b w:val="0"/>
                <w:sz w:val="14"/>
              </w:rPr>
              <w:t>100% pilot Tier 0/1</w:t>
            </w:r>
          </w:p>
        </w:tc>
        <w:tc>
          <w:tcPr>
            <w:tcW w:type="dxa" w:w="1944"/>
            <w:vAlign w:val="center"/>
            <w:tcMar>
              <w:top w:w="70" w:type="dxa"/>
              <w:start w:w="80" w:type="dxa"/>
              <w:bottom w:w="70" w:type="dxa"/>
              <w:end w:w="80" w:type="dxa"/>
            </w:tcMar>
          </w:tcPr>
          <w:p>
            <w:pPr>
              <w:spacing w:after="0"/>
            </w:pPr>
            <w:r/>
            <w:r>
              <w:rPr>
                <w:rFonts w:ascii="Arial" w:hAnsi="Arial"/>
                <w:b w:val="0"/>
                <w:sz w:val="14"/>
              </w:rPr>
              <w:t>100% Tier 0/1 annually</w:t>
            </w:r>
          </w:p>
        </w:tc>
        <w:tc>
          <w:tcPr>
            <w:tcW w:type="dxa" w:w="1296"/>
            <w:vAlign w:val="center"/>
            <w:tcMar>
              <w:top w:w="70" w:type="dxa"/>
              <w:start w:w="80" w:type="dxa"/>
              <w:bottom w:w="70" w:type="dxa"/>
              <w:end w:w="80" w:type="dxa"/>
            </w:tcMar>
          </w:tcPr>
          <w:p>
            <w:pPr>
              <w:spacing w:after="0"/>
            </w:pPr>
            <w:r/>
            <w:r>
              <w:rPr>
                <w:rFonts w:ascii="Arial" w:hAnsi="Arial"/>
                <w:b w:val="0"/>
                <w:sz w:val="14"/>
              </w:rPr>
              <w:t>BCDR</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4"/>
              </w:rPr>
              <w:t>Internal ownership</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High external dependency assumed</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Named internal owner per capability</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Sustainable internal operating teams</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Transformation Office</w:t>
            </w:r>
          </w:p>
        </w:tc>
      </w:tr>
    </w:tbl>
    <w:p>
      <w:pPr>
        <w:spacing w:after="20"/>
      </w:pPr>
    </w:p>
    <w:p>
      <w:pPr>
        <w:pStyle w:val="Heading2"/>
      </w:pPr>
      <w:r>
        <w:t>12.4 Critical Path and Dependencies</w:t>
      </w:r>
    </w:p>
    <w:p>
      <w:pPr>
        <w:pStyle w:val="ListBullet"/>
        <w:spacing w:after="40"/>
      </w:pPr>
      <w:r>
        <w:t>Identity federation, organization hierarchy, billing and network connectivity precede production data-service deployment.</w:t>
      </w:r>
    </w:p>
    <w:p>
      <w:pPr>
        <w:pStyle w:val="ListBullet"/>
        <w:spacing w:after="40"/>
      </w:pPr>
      <w:r>
        <w:t>Data classification and region strategy precede storage, replication and service-perimeter design.</w:t>
      </w:r>
    </w:p>
    <w:p>
      <w:pPr>
        <w:pStyle w:val="ListBullet"/>
        <w:spacing w:after="40"/>
      </w:pPr>
      <w:r>
        <w:t>Project factory and CI/CD bootstrap precede scalable domain onboarding.</w:t>
      </w:r>
    </w:p>
    <w:p>
      <w:pPr>
        <w:pStyle w:val="ListBullet"/>
        <w:spacing w:after="40"/>
      </w:pPr>
      <w:r>
        <w:t>Product ownership and source/consumer contracts precede pipeline implementation.</w:t>
      </w:r>
    </w:p>
    <w:p>
      <w:pPr>
        <w:pStyle w:val="ListBullet"/>
        <w:spacing w:after="40"/>
      </w:pPr>
      <w:r>
        <w:t>SLO instrumentation, runbooks, cost allocation and recovery evidence precede production go-live.</w:t>
      </w:r>
    </w:p>
    <w:p>
      <w:pPr>
        <w:pStyle w:val="ListBullet"/>
        <w:spacing w:after="40"/>
      </w:pPr>
      <w:r>
        <w:t>A stable first-domain operating model precedes high-concurrency migration waves.</w:t>
      </w:r>
    </w:p>
    <w:p>
      <w:pPr>
        <w:pStyle w:val="ListBullet"/>
        <w:spacing w:after="40"/>
      </w:pPr>
      <w:r>
        <w:t>Governed data products and AI risk controls precede production generative-AI use of enterprise data.</w:t>
      </w:r>
    </w:p>
    <w:p>
      <w:pPr>
        <w:pStyle w:val="Heading2"/>
      </w:pPr>
      <w:r>
        <w:t>12.5 Decision Calendar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Cadence</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Forum</w:t>
            </w:r>
          </w:p>
        </w:tc>
        <w:tc>
          <w:tcPr>
            <w:tcW w:type="dxa" w:w="6120"/>
            <w:vAlign w:val="center"/>
            <w:tcMar>
              <w:top w:w="70" w:type="dxa"/>
              <w:start w:w="80" w:type="dxa"/>
              <w:bottom w:w="70" w:type="dxa"/>
              <w:end w:w="80" w:type="dxa"/>
            </w:tcMar>
            <w:shd w:fill="1A73E8"/>
          </w:tcPr>
          <w:p>
            <w:pPr>
              <w:spacing w:after="0"/>
            </w:pPr>
            <w:r/>
            <w:r>
              <w:rPr>
                <w:rFonts w:ascii="Arial" w:hAnsi="Arial"/>
                <w:b/>
                <w:color w:val="FFFFFF"/>
                <w:sz w:val="16"/>
              </w:rPr>
              <w:t>Decisions</w:t>
            </w:r>
          </w:p>
        </w:tc>
      </w:tr>
      <w:tr>
        <w:tc>
          <w:tcPr>
            <w:tcW w:type="dxa" w:w="1584"/>
            <w:vAlign w:val="center"/>
            <w:tcMar>
              <w:top w:w="70" w:type="dxa"/>
              <w:start w:w="80" w:type="dxa"/>
              <w:bottom w:w="70" w:type="dxa"/>
              <w:end w:w="80" w:type="dxa"/>
            </w:tcMar>
          </w:tcPr>
          <w:p>
            <w:pPr>
              <w:spacing w:after="0"/>
            </w:pPr>
            <w:r/>
            <w:r>
              <w:rPr>
                <w:rFonts w:ascii="Arial" w:hAnsi="Arial"/>
                <w:b w:val="0"/>
                <w:sz w:val="15"/>
              </w:rPr>
              <w:t>Weekly during build</w:t>
            </w:r>
          </w:p>
        </w:tc>
        <w:tc>
          <w:tcPr>
            <w:tcW w:type="dxa" w:w="2376"/>
            <w:vAlign w:val="center"/>
            <w:tcMar>
              <w:top w:w="70" w:type="dxa"/>
              <w:start w:w="80" w:type="dxa"/>
              <w:bottom w:w="70" w:type="dxa"/>
              <w:end w:w="80" w:type="dxa"/>
            </w:tcMar>
          </w:tcPr>
          <w:p>
            <w:pPr>
              <w:spacing w:after="0"/>
            </w:pPr>
            <w:r/>
            <w:r>
              <w:rPr>
                <w:rFonts w:ascii="Arial" w:hAnsi="Arial"/>
                <w:b w:val="0"/>
                <w:sz w:val="15"/>
              </w:rPr>
              <w:t>Platform architecture forum</w:t>
            </w:r>
          </w:p>
        </w:tc>
        <w:tc>
          <w:tcPr>
            <w:tcW w:type="dxa" w:w="6120"/>
            <w:vAlign w:val="center"/>
            <w:tcMar>
              <w:top w:w="70" w:type="dxa"/>
              <w:start w:w="80" w:type="dxa"/>
              <w:bottom w:w="70" w:type="dxa"/>
              <w:end w:w="80" w:type="dxa"/>
            </w:tcMar>
          </w:tcPr>
          <w:p>
            <w:pPr>
              <w:spacing w:after="0"/>
            </w:pPr>
            <w:r/>
            <w:r>
              <w:rPr>
                <w:rFonts w:ascii="Arial" w:hAnsi="Arial"/>
                <w:b w:val="0"/>
                <w:sz w:val="15"/>
              </w:rPr>
              <w:t>Detailed design, standards, module changes and delivery blockers.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5"/>
              </w:rPr>
              <w:t>Biweekly</w:t>
            </w:r>
          </w:p>
        </w:tc>
        <w:tc>
          <w:tcPr>
            <w:tcW w:type="dxa" w:w="2376"/>
            <w:vAlign w:val="center"/>
            <w:tcMar>
              <w:top w:w="70" w:type="dxa"/>
              <w:start w:w="80" w:type="dxa"/>
              <w:bottom w:w="70" w:type="dxa"/>
              <w:end w:w="80" w:type="dxa"/>
            </w:tcMar>
            <w:shd w:fill="F8F9FA"/>
          </w:tcPr>
          <w:p>
            <w:pPr>
              <w:spacing w:after="0"/>
            </w:pPr>
            <w:r/>
            <w:r>
              <w:rPr>
                <w:rFonts w:ascii="Arial" w:hAnsi="Arial"/>
                <w:b w:val="0"/>
                <w:sz w:val="15"/>
              </w:rPr>
              <w:t>Data product council</w:t>
            </w:r>
          </w:p>
        </w:tc>
        <w:tc>
          <w:tcPr>
            <w:tcW w:type="dxa" w:w="6120"/>
            <w:vAlign w:val="center"/>
            <w:tcMar>
              <w:top w:w="70" w:type="dxa"/>
              <w:start w:w="80" w:type="dxa"/>
              <w:bottom w:w="70" w:type="dxa"/>
              <w:end w:w="80" w:type="dxa"/>
            </w:tcMar>
            <w:shd w:fill="F8F9FA"/>
          </w:tcPr>
          <w:p>
            <w:pPr>
              <w:spacing w:after="0"/>
            </w:pPr>
            <w:r/>
            <w:r>
              <w:rPr>
                <w:rFonts w:ascii="Arial" w:hAnsi="Arial"/>
                <w:b w:val="0"/>
                <w:sz w:val="15"/>
              </w:rPr>
              <w:t>Product prioritization, ownership, contracts and consumer readiness.</w:t>
            </w:r>
          </w:p>
        </w:tc>
      </w:tr>
      <w:tr>
        <w:tc>
          <w:tcPr>
            <w:tcW w:type="dxa" w:w="1584"/>
            <w:vAlign w:val="center"/>
            <w:tcMar>
              <w:top w:w="70" w:type="dxa"/>
              <w:start w:w="80" w:type="dxa"/>
              <w:bottom w:w="70" w:type="dxa"/>
              <w:end w:w="80" w:type="dxa"/>
            </w:tcMar>
          </w:tcPr>
          <w:p>
            <w:pPr>
              <w:spacing w:after="0"/>
            </w:pPr>
            <w:r/>
            <w:r>
              <w:rPr>
                <w:rFonts w:ascii="Arial" w:hAnsi="Arial"/>
                <w:b w:val="0"/>
                <w:sz w:val="15"/>
              </w:rPr>
              <w:t>Monthly</w:t>
            </w:r>
          </w:p>
        </w:tc>
        <w:tc>
          <w:tcPr>
            <w:tcW w:type="dxa" w:w="2376"/>
            <w:vAlign w:val="center"/>
            <w:tcMar>
              <w:top w:w="70" w:type="dxa"/>
              <w:start w:w="80" w:type="dxa"/>
              <w:bottom w:w="70" w:type="dxa"/>
              <w:end w:w="80" w:type="dxa"/>
            </w:tcMar>
          </w:tcPr>
          <w:p>
            <w:pPr>
              <w:spacing w:after="0"/>
            </w:pPr>
            <w:r/>
            <w:r>
              <w:rPr>
                <w:rFonts w:ascii="Arial" w:hAnsi="Arial"/>
                <w:b w:val="0"/>
                <w:sz w:val="15"/>
              </w:rPr>
              <w:t>Security and risk forum</w:t>
            </w:r>
          </w:p>
        </w:tc>
        <w:tc>
          <w:tcPr>
            <w:tcW w:type="dxa" w:w="6120"/>
            <w:vAlign w:val="center"/>
            <w:tcMar>
              <w:top w:w="70" w:type="dxa"/>
              <w:start w:w="80" w:type="dxa"/>
              <w:bottom w:w="70" w:type="dxa"/>
              <w:end w:w="80" w:type="dxa"/>
            </w:tcMar>
          </w:tcPr>
          <w:p>
            <w:pPr>
              <w:spacing w:after="0"/>
            </w:pPr>
            <w:r/>
            <w:r>
              <w:rPr>
                <w:rFonts w:ascii="Arial" w:hAnsi="Arial"/>
                <w:b w:val="0"/>
                <w:sz w:val="15"/>
              </w:rPr>
              <w:t>Control evidence, exceptions, incidents and emerging service risks.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5"/>
              </w:rPr>
              <w:t>Monthly</w:t>
            </w:r>
          </w:p>
        </w:tc>
        <w:tc>
          <w:tcPr>
            <w:tcW w:type="dxa" w:w="2376"/>
            <w:vAlign w:val="center"/>
            <w:tcMar>
              <w:top w:w="70" w:type="dxa"/>
              <w:start w:w="80" w:type="dxa"/>
              <w:bottom w:w="70" w:type="dxa"/>
              <w:end w:w="80" w:type="dxa"/>
            </w:tcMar>
            <w:shd w:fill="F8F9FA"/>
          </w:tcPr>
          <w:p>
            <w:pPr>
              <w:spacing w:after="0"/>
            </w:pPr>
            <w:r/>
            <w:r>
              <w:rPr>
                <w:rFonts w:ascii="Arial" w:hAnsi="Arial"/>
                <w:b w:val="0"/>
                <w:sz w:val="15"/>
              </w:rPr>
              <w:t>FinOps review</w:t>
            </w:r>
          </w:p>
        </w:tc>
        <w:tc>
          <w:tcPr>
            <w:tcW w:type="dxa" w:w="6120"/>
            <w:vAlign w:val="center"/>
            <w:tcMar>
              <w:top w:w="70" w:type="dxa"/>
              <w:start w:w="80" w:type="dxa"/>
              <w:bottom w:w="70" w:type="dxa"/>
              <w:end w:w="80" w:type="dxa"/>
            </w:tcMar>
            <w:shd w:fill="F8F9FA"/>
          </w:tcPr>
          <w:p>
            <w:pPr>
              <w:spacing w:after="0"/>
            </w:pPr>
            <w:r/>
            <w:r>
              <w:rPr>
                <w:rFonts w:ascii="Arial" w:hAnsi="Arial"/>
                <w:b w:val="0"/>
                <w:sz w:val="15"/>
              </w:rPr>
              <w:t>Forecast, anomalies, reservations, optimization and allocation disputes.</w:t>
            </w:r>
          </w:p>
        </w:tc>
      </w:tr>
      <w:tr>
        <w:tc>
          <w:tcPr>
            <w:tcW w:type="dxa" w:w="1584"/>
            <w:vAlign w:val="center"/>
            <w:tcMar>
              <w:top w:w="70" w:type="dxa"/>
              <w:start w:w="80" w:type="dxa"/>
              <w:bottom w:w="70" w:type="dxa"/>
              <w:end w:w="80" w:type="dxa"/>
            </w:tcMar>
          </w:tcPr>
          <w:p>
            <w:pPr>
              <w:spacing w:after="0"/>
            </w:pPr>
            <w:r/>
            <w:r>
              <w:rPr>
                <w:rFonts w:ascii="Arial" w:hAnsi="Arial"/>
                <w:b w:val="0"/>
                <w:sz w:val="15"/>
              </w:rPr>
              <w:t>Quarterly</w:t>
            </w:r>
          </w:p>
        </w:tc>
        <w:tc>
          <w:tcPr>
            <w:tcW w:type="dxa" w:w="2376"/>
            <w:vAlign w:val="center"/>
            <w:tcMar>
              <w:top w:w="70" w:type="dxa"/>
              <w:start w:w="80" w:type="dxa"/>
              <w:bottom w:w="70" w:type="dxa"/>
              <w:end w:w="80" w:type="dxa"/>
            </w:tcMar>
          </w:tcPr>
          <w:p>
            <w:pPr>
              <w:spacing w:after="0"/>
            </w:pPr>
            <w:r/>
            <w:r>
              <w:rPr>
                <w:rFonts w:ascii="Arial" w:hAnsi="Arial"/>
                <w:b w:val="0"/>
                <w:sz w:val="15"/>
              </w:rPr>
              <w:t>Executive steering committee</w:t>
            </w:r>
          </w:p>
        </w:tc>
        <w:tc>
          <w:tcPr>
            <w:tcW w:type="dxa" w:w="6120"/>
            <w:vAlign w:val="center"/>
            <w:tcMar>
              <w:top w:w="70" w:type="dxa"/>
              <w:start w:w="80" w:type="dxa"/>
              <w:bottom w:w="70" w:type="dxa"/>
              <w:end w:w="80" w:type="dxa"/>
            </w:tcMar>
          </w:tcPr>
          <w:p>
            <w:pPr>
              <w:spacing w:after="0"/>
            </w:pPr>
            <w:r/>
            <w:r>
              <w:rPr>
                <w:rFonts w:ascii="Arial" w:hAnsi="Arial"/>
                <w:b w:val="0"/>
                <w:sz w:val="15"/>
              </w:rPr>
              <w:t>Funding, value realization, maturity, major risks and roadmap changes.</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5"/>
              </w:rPr>
              <w:t>Quarterly</w:t>
            </w:r>
          </w:p>
        </w:tc>
        <w:tc>
          <w:tcPr>
            <w:tcW w:type="dxa" w:w="2376"/>
            <w:vAlign w:val="center"/>
            <w:tcMar>
              <w:top w:w="70" w:type="dxa"/>
              <w:start w:w="80" w:type="dxa"/>
              <w:bottom w:w="70" w:type="dxa"/>
              <w:end w:w="80" w:type="dxa"/>
            </w:tcMar>
            <w:shd w:fill="F8F9FA"/>
          </w:tcPr>
          <w:p>
            <w:pPr>
              <w:spacing w:after="0"/>
            </w:pPr>
            <w:r/>
            <w:r>
              <w:rPr>
                <w:rFonts w:ascii="Arial" w:hAnsi="Arial"/>
                <w:b w:val="0"/>
                <w:sz w:val="15"/>
              </w:rPr>
              <w:t>Architecture Review Board</w:t>
            </w:r>
          </w:p>
        </w:tc>
        <w:tc>
          <w:tcPr>
            <w:tcW w:type="dxa" w:w="6120"/>
            <w:vAlign w:val="center"/>
            <w:tcMar>
              <w:top w:w="70" w:type="dxa"/>
              <w:start w:w="80" w:type="dxa"/>
              <w:bottom w:w="70" w:type="dxa"/>
              <w:end w:w="80" w:type="dxa"/>
            </w:tcMar>
            <w:shd w:fill="F8F9FA"/>
          </w:tcPr>
          <w:p>
            <w:pPr>
              <w:spacing w:after="0"/>
            </w:pPr>
            <w:r/>
            <w:r>
              <w:rPr>
                <w:rFonts w:ascii="Arial" w:hAnsi="Arial"/>
                <w:b w:val="0"/>
                <w:sz w:val="15"/>
              </w:rPr>
              <w:t>Strategic service lifecycle, ADR reviews, exceptions and technical debt.</w:t>
            </w:r>
          </w:p>
        </w:tc>
      </w:tr>
      <w:tr>
        <w:tc>
          <w:tcPr>
            <w:tcW w:type="dxa" w:w="1584"/>
            <w:vAlign w:val="center"/>
            <w:tcMar>
              <w:top w:w="70" w:type="dxa"/>
              <w:start w:w="80" w:type="dxa"/>
              <w:bottom w:w="70" w:type="dxa"/>
              <w:end w:w="80" w:type="dxa"/>
            </w:tcMar>
          </w:tcPr>
          <w:p>
            <w:pPr>
              <w:spacing w:after="0"/>
            </w:pPr>
            <w:r/>
            <w:r>
              <w:rPr>
                <w:rFonts w:ascii="Arial" w:hAnsi="Arial"/>
                <w:b w:val="0"/>
                <w:sz w:val="15"/>
              </w:rPr>
              <w:t>Semiannual</w:t>
            </w:r>
          </w:p>
        </w:tc>
        <w:tc>
          <w:tcPr>
            <w:tcW w:type="dxa" w:w="2376"/>
            <w:vAlign w:val="center"/>
            <w:tcMar>
              <w:top w:w="70" w:type="dxa"/>
              <w:start w:w="80" w:type="dxa"/>
              <w:bottom w:w="70" w:type="dxa"/>
              <w:end w:w="80" w:type="dxa"/>
            </w:tcMar>
          </w:tcPr>
          <w:p>
            <w:pPr>
              <w:spacing w:after="0"/>
            </w:pPr>
            <w:r/>
            <w:r>
              <w:rPr>
                <w:rFonts w:ascii="Arial" w:hAnsi="Arial"/>
                <w:b w:val="0"/>
                <w:sz w:val="15"/>
              </w:rPr>
              <w:t>Recovery and resilience review</w:t>
            </w:r>
          </w:p>
        </w:tc>
        <w:tc>
          <w:tcPr>
            <w:tcW w:type="dxa" w:w="6120"/>
            <w:vAlign w:val="center"/>
            <w:tcMar>
              <w:top w:w="70" w:type="dxa"/>
              <w:start w:w="80" w:type="dxa"/>
              <w:bottom w:w="70" w:type="dxa"/>
              <w:end w:w="80" w:type="dxa"/>
            </w:tcMar>
          </w:tcPr>
          <w:p>
            <w:pPr>
              <w:spacing w:after="0"/>
            </w:pPr>
            <w:r/>
            <w:r>
              <w:rPr>
                <w:rFonts w:ascii="Arial" w:hAnsi="Arial"/>
                <w:b w:val="0"/>
                <w:sz w:val="15"/>
              </w:rPr>
              <w:t>Exercise results, dependency gaps and recovery investment.</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5"/>
              </w:rPr>
              <w:t>Annual</w:t>
            </w:r>
          </w:p>
        </w:tc>
        <w:tc>
          <w:tcPr>
            <w:tcW w:type="dxa" w:w="2376"/>
            <w:vAlign w:val="center"/>
            <w:tcMar>
              <w:top w:w="70" w:type="dxa"/>
              <w:start w:w="80" w:type="dxa"/>
              <w:bottom w:w="70" w:type="dxa"/>
              <w:end w:w="80" w:type="dxa"/>
            </w:tcMar>
            <w:shd w:fill="F8F9FA"/>
          </w:tcPr>
          <w:p>
            <w:pPr>
              <w:spacing w:after="0"/>
            </w:pPr>
            <w:r/>
            <w:r>
              <w:rPr>
                <w:rFonts w:ascii="Arial" w:hAnsi="Arial"/>
                <w:b w:val="0"/>
                <w:sz w:val="15"/>
              </w:rPr>
              <w:t>Blueprint refresh</w:t>
            </w:r>
          </w:p>
        </w:tc>
        <w:tc>
          <w:tcPr>
            <w:tcW w:type="dxa" w:w="6120"/>
            <w:vAlign w:val="center"/>
            <w:tcMar>
              <w:top w:w="70" w:type="dxa"/>
              <w:start w:w="80" w:type="dxa"/>
              <w:bottom w:w="70" w:type="dxa"/>
              <w:end w:w="80" w:type="dxa"/>
            </w:tcMar>
            <w:shd w:fill="F8F9FA"/>
          </w:tcPr>
          <w:p>
            <w:pPr>
              <w:spacing w:after="0"/>
            </w:pPr>
            <w:r/>
            <w:r>
              <w:rPr>
                <w:rFonts w:ascii="Arial" w:hAnsi="Arial"/>
                <w:b w:val="0"/>
                <w:sz w:val="15"/>
              </w:rPr>
              <w:t>Framework, service, regulation and enterprise-strategy changes.</w:t>
            </w:r>
          </w:p>
        </w:tc>
      </w:tr>
    </w:tbl>
    <w:p>
      <w:pPr>
        <w:spacing w:after="20"/>
      </w:pPr>
    </w:p>
    <w:p>
      <w:r>
        <w:br w:type="page"/>
      </w:r>
    </w:p>
    <w:p>
      <w:pPr>
        <w:pStyle w:val="Heading1"/>
      </w:pPr>
      <w:r>
        <w:t>13. Enterprise Operating Model</w:t>
      </w:r>
    </w:p>
    <w:p>
      <w:pPr>
        <w:pStyle w:val="Lead"/>
      </w:pPr>
      <w:r>
        <w:t>The operating model assigns durable accountability for platform capabilities and domain data products. It combines a central platform product organization, federated domain product teams and independent assurance functions.</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Decision rights; Team topology; RACI; Support and lifecycle.</w:t>
            </w:r>
          </w:p>
        </w:tc>
      </w:tr>
    </w:tbl>
    <w:p>
      <w:pPr>
        <w:spacing w:after="20"/>
      </w:pPr>
    </w:p>
    <w:p>
      <w:pPr>
        <w:jc w:val="center"/>
      </w:pPr>
      <w:r>
        <w:drawing>
          <wp:inline xmlns:a="http://schemas.openxmlformats.org/drawingml/2006/main" xmlns:pic="http://schemas.openxmlformats.org/drawingml/2006/picture">
            <wp:extent cx="6217920" cy="4943819"/>
            <wp:docPr id="6" name="Picture 6"/>
            <wp:cNvGraphicFramePr>
              <a:graphicFrameLocks noChangeAspect="1"/>
            </wp:cNvGraphicFramePr>
            <a:graphic>
              <a:graphicData uri="http://schemas.openxmlformats.org/drawingml/2006/picture">
                <pic:pic>
                  <pic:nvPicPr>
                    <pic:cNvPr id="0" name="04_operating_model.png"/>
                    <pic:cNvPicPr/>
                  </pic:nvPicPr>
                  <pic:blipFill>
                    <a:blip r:embed="rId15"/>
                    <a:stretch>
                      <a:fillRect/>
                    </a:stretch>
                  </pic:blipFill>
                  <pic:spPr>
                    <a:xfrm>
                      <a:off x="0" y="0"/>
                      <a:ext cx="6217920" cy="4943819"/>
                    </a:xfrm>
                    <a:prstGeom prst="rect"/>
                  </pic:spPr>
                </pic:pic>
              </a:graphicData>
            </a:graphic>
          </wp:inline>
        </w:drawing>
      </w:r>
    </w:p>
    <w:p>
      <w:pPr>
        <w:spacing w:after="160"/>
        <w:jc w:val="center"/>
      </w:pPr>
      <w:r>
        <w:rPr>
          <w:b/>
          <w:color w:val="5F6368"/>
          <w:sz w:val="17"/>
        </w:rPr>
        <w:t>Figure 13-1. Federated operating model linking executive governance, central platform capabilities, domain product teams and assurance functions.</w:t>
      </w:r>
    </w:p>
    <w:p>
      <w:pPr>
        <w:pStyle w:val="Heading2"/>
      </w:pPr>
      <w:r>
        <w:t>13.1 Team Topology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Team</w:t>
            </w:r>
          </w:p>
        </w:tc>
        <w:tc>
          <w:tcPr>
            <w:tcW w:type="dxa" w:w="1872"/>
            <w:vAlign w:val="center"/>
            <w:tcMar>
              <w:top w:w="70" w:type="dxa"/>
              <w:start w:w="80" w:type="dxa"/>
              <w:bottom w:w="70" w:type="dxa"/>
              <w:end w:w="80" w:type="dxa"/>
            </w:tcMar>
            <w:shd w:fill="1A73E8"/>
          </w:tcPr>
          <w:p>
            <w:pPr>
              <w:spacing w:after="0"/>
            </w:pPr>
            <w:r/>
            <w:r>
              <w:rPr>
                <w:rFonts w:ascii="Arial" w:hAnsi="Arial"/>
                <w:b/>
                <w:color w:val="FFFFFF"/>
                <w:sz w:val="16"/>
              </w:rPr>
              <w:t>Mission</w:t>
            </w:r>
          </w:p>
        </w:tc>
        <w:tc>
          <w:tcPr>
            <w:tcW w:type="dxa" w:w="4392"/>
            <w:vAlign w:val="center"/>
            <w:tcMar>
              <w:top w:w="70" w:type="dxa"/>
              <w:start w:w="80" w:type="dxa"/>
              <w:bottom w:w="70" w:type="dxa"/>
              <w:end w:w="80" w:type="dxa"/>
            </w:tcMar>
            <w:shd w:fill="1A73E8"/>
          </w:tcPr>
          <w:p>
            <w:pPr>
              <w:spacing w:after="0"/>
            </w:pPr>
            <w:r/>
            <w:r>
              <w:rPr>
                <w:rFonts w:ascii="Arial" w:hAnsi="Arial"/>
                <w:b/>
                <w:color w:val="FFFFFF"/>
                <w:sz w:val="16"/>
              </w:rPr>
              <w:t>Core responsibilities</w:t>
            </w:r>
          </w:p>
        </w:tc>
        <w:tc>
          <w:tcPr>
            <w:tcW w:type="dxa" w:w="2016"/>
            <w:vAlign w:val="center"/>
            <w:tcMar>
              <w:top w:w="70" w:type="dxa"/>
              <w:start w:w="80" w:type="dxa"/>
              <w:bottom w:w="70" w:type="dxa"/>
              <w:end w:w="80" w:type="dxa"/>
            </w:tcMar>
            <w:shd w:fill="1A73E8"/>
          </w:tcPr>
          <w:p>
            <w:pPr>
              <w:spacing w:after="0"/>
            </w:pPr>
            <w:r/>
            <w:r>
              <w:rPr>
                <w:rFonts w:ascii="Arial" w:hAnsi="Arial"/>
                <w:b/>
                <w:color w:val="FFFFFF"/>
                <w:sz w:val="16"/>
              </w:rPr>
              <w:t>Primary interfaces</w:t>
            </w:r>
          </w:p>
        </w:tc>
      </w:tr>
      <w:tr>
        <w:tc>
          <w:tcPr>
            <w:tcW w:type="dxa" w:w="1800"/>
            <w:vAlign w:val="center"/>
            <w:tcMar>
              <w:top w:w="70" w:type="dxa"/>
              <w:start w:w="80" w:type="dxa"/>
              <w:bottom w:w="70" w:type="dxa"/>
              <w:end w:w="80" w:type="dxa"/>
            </w:tcMar>
          </w:tcPr>
          <w:p>
            <w:pPr>
              <w:spacing w:after="0"/>
            </w:pPr>
            <w:r/>
            <w:r>
              <w:rPr>
                <w:rFonts w:ascii="Arial" w:hAnsi="Arial"/>
                <w:b w:val="0"/>
                <w:sz w:val="14"/>
              </w:rPr>
              <w:t>Executive Steering Committee</w:t>
            </w:r>
          </w:p>
        </w:tc>
        <w:tc>
          <w:tcPr>
            <w:tcW w:type="dxa" w:w="1872"/>
            <w:vAlign w:val="center"/>
            <w:tcMar>
              <w:top w:w="70" w:type="dxa"/>
              <w:start w:w="80" w:type="dxa"/>
              <w:bottom w:w="70" w:type="dxa"/>
              <w:end w:w="80" w:type="dxa"/>
            </w:tcMar>
          </w:tcPr>
          <w:p>
            <w:pPr>
              <w:spacing w:after="0"/>
            </w:pPr>
            <w:r/>
            <w:r>
              <w:rPr>
                <w:rFonts w:ascii="Arial" w:hAnsi="Arial"/>
                <w:b w:val="0"/>
                <w:sz w:val="14"/>
              </w:rPr>
              <w:t>Own enterprise outcomes, investment and cross-business decisions.</w:t>
            </w:r>
          </w:p>
        </w:tc>
        <w:tc>
          <w:tcPr>
            <w:tcW w:type="dxa" w:w="4392"/>
            <w:vAlign w:val="center"/>
            <w:tcMar>
              <w:top w:w="70" w:type="dxa"/>
              <w:start w:w="80" w:type="dxa"/>
              <w:bottom w:w="70" w:type="dxa"/>
              <w:end w:w="80" w:type="dxa"/>
            </w:tcMar>
          </w:tcPr>
          <w:p>
            <w:pPr>
              <w:spacing w:after="0"/>
            </w:pPr>
            <w:r/>
            <w:r>
              <w:rPr>
                <w:rFonts w:ascii="Arial" w:hAnsi="Arial"/>
                <w:b w:val="0"/>
                <w:sz w:val="14"/>
              </w:rPr>
              <w:t>Funding, priority, risk appetite, ownership escalation and value realization.</w:t>
            </w:r>
          </w:p>
        </w:tc>
        <w:tc>
          <w:tcPr>
            <w:tcW w:type="dxa" w:w="2016"/>
            <w:vAlign w:val="center"/>
            <w:tcMar>
              <w:top w:w="70" w:type="dxa"/>
              <w:start w:w="80" w:type="dxa"/>
              <w:bottom w:w="70" w:type="dxa"/>
              <w:end w:w="80" w:type="dxa"/>
            </w:tcMar>
          </w:tcPr>
          <w:p>
            <w:pPr>
              <w:spacing w:after="0"/>
            </w:pPr>
            <w:r/>
            <w:r>
              <w:rPr>
                <w:rFonts w:ascii="Arial" w:hAnsi="Arial"/>
                <w:b w:val="0"/>
                <w:sz w:val="14"/>
              </w:rPr>
              <w:t>CDO, CIO, CFO, CISO and business executives.</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Platform Product Team</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Deliver secure self-service data-platform capabilities.</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Roadmap, product experience, service catalog, adoption, reliability and economics.</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Domain teams, cloud foundation, SRE, governance and security.</w:t>
            </w:r>
          </w:p>
        </w:tc>
      </w:tr>
      <w:tr>
        <w:tc>
          <w:tcPr>
            <w:tcW w:type="dxa" w:w="1800"/>
            <w:vAlign w:val="center"/>
            <w:tcMar>
              <w:top w:w="70" w:type="dxa"/>
              <w:start w:w="80" w:type="dxa"/>
              <w:bottom w:w="70" w:type="dxa"/>
              <w:end w:w="80" w:type="dxa"/>
            </w:tcMar>
          </w:tcPr>
          <w:p>
            <w:pPr>
              <w:spacing w:after="0"/>
            </w:pPr>
            <w:r/>
            <w:r>
              <w:rPr>
                <w:rFonts w:ascii="Arial" w:hAnsi="Arial"/>
                <w:b w:val="0"/>
                <w:sz w:val="14"/>
              </w:rPr>
              <w:t>Cloud Foundation Team</w:t>
            </w:r>
          </w:p>
        </w:tc>
        <w:tc>
          <w:tcPr>
            <w:tcW w:type="dxa" w:w="1872"/>
            <w:vAlign w:val="center"/>
            <w:tcMar>
              <w:top w:w="70" w:type="dxa"/>
              <w:start w:w="80" w:type="dxa"/>
              <w:bottom w:w="70" w:type="dxa"/>
              <w:end w:w="80" w:type="dxa"/>
            </w:tcMar>
          </w:tcPr>
          <w:p>
            <w:pPr>
              <w:spacing w:after="0"/>
            </w:pPr>
            <w:r/>
            <w:r>
              <w:rPr>
                <w:rFonts w:ascii="Arial" w:hAnsi="Arial"/>
                <w:b w:val="0"/>
                <w:sz w:val="14"/>
              </w:rPr>
              <w:t>Operate organization, network, identity and shared services.</w:t>
            </w:r>
          </w:p>
        </w:tc>
        <w:tc>
          <w:tcPr>
            <w:tcW w:type="dxa" w:w="4392"/>
            <w:vAlign w:val="center"/>
            <w:tcMar>
              <w:top w:w="70" w:type="dxa"/>
              <w:start w:w="80" w:type="dxa"/>
              <w:bottom w:w="70" w:type="dxa"/>
              <w:end w:w="80" w:type="dxa"/>
            </w:tcMar>
          </w:tcPr>
          <w:p>
            <w:pPr>
              <w:spacing w:after="0"/>
            </w:pPr>
            <w:r/>
            <w:r>
              <w:rPr>
                <w:rFonts w:ascii="Arial" w:hAnsi="Arial"/>
                <w:b w:val="0"/>
                <w:sz w:val="14"/>
              </w:rPr>
              <w:t>Project factory, Shared VPC, connectivity, policies, logging, KMS and platform IAM.</w:t>
            </w:r>
          </w:p>
        </w:tc>
        <w:tc>
          <w:tcPr>
            <w:tcW w:type="dxa" w:w="2016"/>
            <w:vAlign w:val="center"/>
            <w:tcMar>
              <w:top w:w="70" w:type="dxa"/>
              <w:start w:w="80" w:type="dxa"/>
              <w:bottom w:w="70" w:type="dxa"/>
              <w:end w:w="80" w:type="dxa"/>
            </w:tcMar>
          </w:tcPr>
          <w:p>
            <w:pPr>
              <w:spacing w:after="0"/>
            </w:pPr>
            <w:r/>
            <w:r>
              <w:rPr>
                <w:rFonts w:ascii="Arial" w:hAnsi="Arial"/>
                <w:b w:val="0"/>
                <w:sz w:val="14"/>
              </w:rPr>
              <w:t>Platform product, security, network and DevSecOps.</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Data Governance Office</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Define policy and assure data trust.</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Glossary, classification, stewardship, contracts, certification and conformance.</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Domain owners, privacy, security and platform.</w:t>
            </w:r>
          </w:p>
        </w:tc>
      </w:tr>
      <w:tr>
        <w:tc>
          <w:tcPr>
            <w:tcW w:type="dxa" w:w="1800"/>
            <w:vAlign w:val="center"/>
            <w:tcMar>
              <w:top w:w="70" w:type="dxa"/>
              <w:start w:w="80" w:type="dxa"/>
              <w:bottom w:w="70" w:type="dxa"/>
              <w:end w:w="80" w:type="dxa"/>
            </w:tcMar>
          </w:tcPr>
          <w:p>
            <w:pPr>
              <w:spacing w:after="0"/>
            </w:pPr>
            <w:r/>
            <w:r>
              <w:rPr>
                <w:rFonts w:ascii="Arial" w:hAnsi="Arial"/>
                <w:b w:val="0"/>
                <w:sz w:val="14"/>
              </w:rPr>
              <w:t>Domain Data Product Team</w:t>
            </w:r>
          </w:p>
        </w:tc>
        <w:tc>
          <w:tcPr>
            <w:tcW w:type="dxa" w:w="1872"/>
            <w:vAlign w:val="center"/>
            <w:tcMar>
              <w:top w:w="70" w:type="dxa"/>
              <w:start w:w="80" w:type="dxa"/>
              <w:bottom w:w="70" w:type="dxa"/>
              <w:end w:w="80" w:type="dxa"/>
            </w:tcMar>
          </w:tcPr>
          <w:p>
            <w:pPr>
              <w:spacing w:after="0"/>
            </w:pPr>
            <w:r/>
            <w:r>
              <w:rPr>
                <w:rFonts w:ascii="Arial" w:hAnsi="Arial"/>
                <w:b w:val="0"/>
                <w:sz w:val="14"/>
              </w:rPr>
              <w:t>Own and operate business data products.</w:t>
            </w:r>
          </w:p>
        </w:tc>
        <w:tc>
          <w:tcPr>
            <w:tcW w:type="dxa" w:w="4392"/>
            <w:vAlign w:val="center"/>
            <w:tcMar>
              <w:top w:w="70" w:type="dxa"/>
              <w:start w:w="80" w:type="dxa"/>
              <w:bottom w:w="70" w:type="dxa"/>
              <w:end w:w="80" w:type="dxa"/>
            </w:tcMar>
          </w:tcPr>
          <w:p>
            <w:pPr>
              <w:spacing w:after="0"/>
            </w:pPr>
            <w:r/>
            <w:r>
              <w:rPr>
                <w:rFonts w:ascii="Arial" w:hAnsi="Arial"/>
                <w:b w:val="0"/>
                <w:sz w:val="14"/>
              </w:rPr>
              <w:t>Source agreements, modeling, quality, SLO, support, consumer adoption and product roadmap.</w:t>
            </w:r>
          </w:p>
        </w:tc>
        <w:tc>
          <w:tcPr>
            <w:tcW w:type="dxa" w:w="2016"/>
            <w:vAlign w:val="center"/>
            <w:tcMar>
              <w:top w:w="70" w:type="dxa"/>
              <w:start w:w="80" w:type="dxa"/>
              <w:bottom w:w="70" w:type="dxa"/>
              <w:end w:w="80" w:type="dxa"/>
            </w:tcMar>
          </w:tcPr>
          <w:p>
            <w:pPr>
              <w:spacing w:after="0"/>
            </w:pPr>
            <w:r/>
            <w:r>
              <w:rPr>
                <w:rFonts w:ascii="Arial" w:hAnsi="Arial"/>
                <w:b w:val="0"/>
                <w:sz w:val="14"/>
              </w:rPr>
              <w:t>Business owner, platform team and consumers.</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Analytics COE</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Provide governed semantic and analytical standards.</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KPI governance, Looker standards, performance, content lifecycle and enablement.</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Domains, executives and BI users.</w:t>
            </w:r>
          </w:p>
        </w:tc>
      </w:tr>
      <w:tr>
        <w:tc>
          <w:tcPr>
            <w:tcW w:type="dxa" w:w="1800"/>
            <w:vAlign w:val="center"/>
            <w:tcMar>
              <w:top w:w="70" w:type="dxa"/>
              <w:start w:w="80" w:type="dxa"/>
              <w:bottom w:w="70" w:type="dxa"/>
              <w:end w:w="80" w:type="dxa"/>
            </w:tcMar>
          </w:tcPr>
          <w:p>
            <w:pPr>
              <w:spacing w:after="0"/>
            </w:pPr>
            <w:r/>
            <w:r>
              <w:rPr>
                <w:rFonts w:ascii="Arial" w:hAnsi="Arial"/>
                <w:b w:val="0"/>
                <w:sz w:val="14"/>
              </w:rPr>
              <w:t>AI Platform and Governance</w:t>
            </w:r>
          </w:p>
        </w:tc>
        <w:tc>
          <w:tcPr>
            <w:tcW w:type="dxa" w:w="1872"/>
            <w:vAlign w:val="center"/>
            <w:tcMar>
              <w:top w:w="70" w:type="dxa"/>
              <w:start w:w="80" w:type="dxa"/>
              <w:bottom w:w="70" w:type="dxa"/>
              <w:end w:w="80" w:type="dxa"/>
            </w:tcMar>
          </w:tcPr>
          <w:p>
            <w:pPr>
              <w:spacing w:after="0"/>
            </w:pPr>
            <w:r/>
            <w:r>
              <w:rPr>
                <w:rFonts w:ascii="Arial" w:hAnsi="Arial"/>
                <w:b w:val="0"/>
                <w:sz w:val="14"/>
              </w:rPr>
              <w:t>Provide governed AI/ML capabilities and use-case assurance.</w:t>
            </w:r>
          </w:p>
        </w:tc>
        <w:tc>
          <w:tcPr>
            <w:tcW w:type="dxa" w:w="4392"/>
            <w:vAlign w:val="center"/>
            <w:tcMar>
              <w:top w:w="70" w:type="dxa"/>
              <w:start w:w="80" w:type="dxa"/>
              <w:bottom w:w="70" w:type="dxa"/>
              <w:end w:w="80" w:type="dxa"/>
            </w:tcMar>
          </w:tcPr>
          <w:p>
            <w:pPr>
              <w:spacing w:after="0"/>
            </w:pPr>
            <w:r/>
            <w:r>
              <w:rPr>
                <w:rFonts w:ascii="Arial" w:hAnsi="Arial"/>
                <w:b w:val="0"/>
                <w:sz w:val="14"/>
              </w:rPr>
              <w:t>Vertex AI platform, MLOps/LLMOps, evaluations, responsible AI, model lifecycle.</w:t>
            </w:r>
          </w:p>
        </w:tc>
        <w:tc>
          <w:tcPr>
            <w:tcW w:type="dxa" w:w="2016"/>
            <w:vAlign w:val="center"/>
            <w:tcMar>
              <w:top w:w="70" w:type="dxa"/>
              <w:start w:w="80" w:type="dxa"/>
              <w:bottom w:w="70" w:type="dxa"/>
              <w:end w:w="80" w:type="dxa"/>
            </w:tcMar>
          </w:tcPr>
          <w:p>
            <w:pPr>
              <w:spacing w:after="0"/>
            </w:pPr>
            <w:r/>
            <w:r>
              <w:rPr>
                <w:rFonts w:ascii="Arial" w:hAnsi="Arial"/>
                <w:b w:val="0"/>
                <w:sz w:val="14"/>
              </w:rPr>
              <w:t>Data products, risk, security and AI teams.</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SRE and Operations</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Protect production reliability and recovery.</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SLOs, incidents, capacity, operational readiness, runbooks and recovery tests.</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All service/product owners.</w:t>
            </w:r>
          </w:p>
        </w:tc>
      </w:tr>
      <w:tr>
        <w:tc>
          <w:tcPr>
            <w:tcW w:type="dxa" w:w="1800"/>
            <w:vAlign w:val="center"/>
            <w:tcMar>
              <w:top w:w="70" w:type="dxa"/>
              <w:start w:w="80" w:type="dxa"/>
              <w:bottom w:w="70" w:type="dxa"/>
              <w:end w:w="80" w:type="dxa"/>
            </w:tcMar>
          </w:tcPr>
          <w:p>
            <w:pPr>
              <w:spacing w:after="0"/>
            </w:pPr>
            <w:r/>
            <w:r>
              <w:rPr>
                <w:rFonts w:ascii="Arial" w:hAnsi="Arial"/>
                <w:b w:val="0"/>
                <w:sz w:val="14"/>
              </w:rPr>
              <w:t>DevSecOps</w:t>
            </w:r>
          </w:p>
        </w:tc>
        <w:tc>
          <w:tcPr>
            <w:tcW w:type="dxa" w:w="1872"/>
            <w:vAlign w:val="center"/>
            <w:tcMar>
              <w:top w:w="70" w:type="dxa"/>
              <w:start w:w="80" w:type="dxa"/>
              <w:bottom w:w="70" w:type="dxa"/>
              <w:end w:w="80" w:type="dxa"/>
            </w:tcMar>
          </w:tcPr>
          <w:p>
            <w:pPr>
              <w:spacing w:after="0"/>
            </w:pPr>
            <w:r/>
            <w:r>
              <w:rPr>
                <w:rFonts w:ascii="Arial" w:hAnsi="Arial"/>
                <w:b w:val="0"/>
                <w:sz w:val="14"/>
              </w:rPr>
              <w:t>Automate infrastructure and software delivery.</w:t>
            </w:r>
          </w:p>
        </w:tc>
        <w:tc>
          <w:tcPr>
            <w:tcW w:type="dxa" w:w="4392"/>
            <w:vAlign w:val="center"/>
            <w:tcMar>
              <w:top w:w="70" w:type="dxa"/>
              <w:start w:w="80" w:type="dxa"/>
              <w:bottom w:w="70" w:type="dxa"/>
              <w:end w:w="80" w:type="dxa"/>
            </w:tcMar>
          </w:tcPr>
          <w:p>
            <w:pPr>
              <w:spacing w:after="0"/>
            </w:pPr>
            <w:r/>
            <w:r>
              <w:rPr>
                <w:rFonts w:ascii="Arial" w:hAnsi="Arial"/>
                <w:b w:val="0"/>
                <w:sz w:val="14"/>
              </w:rPr>
              <w:t>Terraform modules, CI/CD, policy, provenance, artifact and environment promotion.</w:t>
            </w:r>
          </w:p>
        </w:tc>
        <w:tc>
          <w:tcPr>
            <w:tcW w:type="dxa" w:w="2016"/>
            <w:vAlign w:val="center"/>
            <w:tcMar>
              <w:top w:w="70" w:type="dxa"/>
              <w:start w:w="80" w:type="dxa"/>
              <w:bottom w:w="70" w:type="dxa"/>
              <w:end w:w="80" w:type="dxa"/>
            </w:tcMar>
          </w:tcPr>
          <w:p>
            <w:pPr>
              <w:spacing w:after="0"/>
            </w:pPr>
            <w:r/>
            <w:r>
              <w:rPr>
                <w:rFonts w:ascii="Arial" w:hAnsi="Arial"/>
                <w:b w:val="0"/>
                <w:sz w:val="14"/>
              </w:rPr>
              <w:t>Foundation, platform and domains.</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FinOps</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Make cost visible and optimize unit economics.</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Allocation, forecasting, reservations, anomaly management and optimization.</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Finance, platform and product owners.</w:t>
            </w:r>
          </w:p>
        </w:tc>
      </w:tr>
      <w:tr>
        <w:tc>
          <w:tcPr>
            <w:tcW w:type="dxa" w:w="1800"/>
            <w:vAlign w:val="center"/>
            <w:tcMar>
              <w:top w:w="70" w:type="dxa"/>
              <w:start w:w="80" w:type="dxa"/>
              <w:bottom w:w="70" w:type="dxa"/>
              <w:end w:w="80" w:type="dxa"/>
            </w:tcMar>
          </w:tcPr>
          <w:p>
            <w:pPr>
              <w:spacing w:after="0"/>
            </w:pPr>
            <w:r/>
            <w:r>
              <w:rPr>
                <w:rFonts w:ascii="Arial" w:hAnsi="Arial"/>
                <w:b w:val="0"/>
                <w:sz w:val="14"/>
              </w:rPr>
              <w:t>Architecture and Assurance</w:t>
            </w:r>
          </w:p>
        </w:tc>
        <w:tc>
          <w:tcPr>
            <w:tcW w:type="dxa" w:w="1872"/>
            <w:vAlign w:val="center"/>
            <w:tcMar>
              <w:top w:w="70" w:type="dxa"/>
              <w:start w:w="80" w:type="dxa"/>
              <w:bottom w:w="70" w:type="dxa"/>
              <w:end w:w="80" w:type="dxa"/>
            </w:tcMar>
          </w:tcPr>
          <w:p>
            <w:pPr>
              <w:spacing w:after="0"/>
            </w:pPr>
            <w:r/>
            <w:r>
              <w:rPr>
                <w:rFonts w:ascii="Arial" w:hAnsi="Arial"/>
                <w:b w:val="0"/>
                <w:sz w:val="14"/>
              </w:rPr>
              <w:t>Maintain standards and independent design review.</w:t>
            </w:r>
          </w:p>
        </w:tc>
        <w:tc>
          <w:tcPr>
            <w:tcW w:type="dxa" w:w="4392"/>
            <w:vAlign w:val="center"/>
            <w:tcMar>
              <w:top w:w="70" w:type="dxa"/>
              <w:start w:w="80" w:type="dxa"/>
              <w:bottom w:w="70" w:type="dxa"/>
              <w:end w:w="80" w:type="dxa"/>
            </w:tcMar>
          </w:tcPr>
          <w:p>
            <w:pPr>
              <w:spacing w:after="0"/>
            </w:pPr>
            <w:r/>
            <w:r>
              <w:rPr>
                <w:rFonts w:ascii="Arial" w:hAnsi="Arial"/>
                <w:b w:val="0"/>
                <w:sz w:val="14"/>
              </w:rPr>
              <w:t>Reference architecture, ADRs, exceptions, conformance and lifecycle.</w:t>
            </w:r>
          </w:p>
        </w:tc>
        <w:tc>
          <w:tcPr>
            <w:tcW w:type="dxa" w:w="2016"/>
            <w:vAlign w:val="center"/>
            <w:tcMar>
              <w:top w:w="70" w:type="dxa"/>
              <w:start w:w="80" w:type="dxa"/>
              <w:bottom w:w="70" w:type="dxa"/>
              <w:end w:w="80" w:type="dxa"/>
            </w:tcMar>
          </w:tcPr>
          <w:p>
            <w:pPr>
              <w:spacing w:after="0"/>
            </w:pPr>
            <w:r/>
            <w:r>
              <w:rPr>
                <w:rFonts w:ascii="Arial" w:hAnsi="Arial"/>
                <w:b w:val="0"/>
                <w:sz w:val="14"/>
              </w:rPr>
              <w:t>All delivery teams and review boards.</w:t>
            </w:r>
          </w:p>
        </w:tc>
      </w:tr>
    </w:tbl>
    <w:p>
      <w:pPr>
        <w:spacing w:after="20"/>
      </w:pPr>
    </w:p>
    <w:p>
      <w:pPr>
        <w:pStyle w:val="Heading2"/>
      </w:pPr>
      <w:r>
        <w:t>13.2 Decision Rights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160"/>
            <w:vAlign w:val="center"/>
            <w:tcMar>
              <w:top w:w="70" w:type="dxa"/>
              <w:start w:w="80" w:type="dxa"/>
              <w:bottom w:w="70" w:type="dxa"/>
              <w:end w:w="80" w:type="dxa"/>
            </w:tcMar>
            <w:shd w:fill="1A73E8"/>
          </w:tcPr>
          <w:p>
            <w:pPr>
              <w:spacing w:after="0"/>
            </w:pPr>
            <w:r/>
            <w:r>
              <w:rPr>
                <w:rFonts w:ascii="Arial" w:hAnsi="Arial"/>
                <w:b/>
                <w:color w:val="FFFFFF"/>
                <w:sz w:val="16"/>
              </w:rPr>
              <w:t>Decision</w:t>
            </w:r>
          </w:p>
        </w:tc>
        <w:tc>
          <w:tcPr>
            <w:tcW w:type="dxa" w:w="1872"/>
            <w:vAlign w:val="center"/>
            <w:tcMar>
              <w:top w:w="70" w:type="dxa"/>
              <w:start w:w="80" w:type="dxa"/>
              <w:bottom w:w="70" w:type="dxa"/>
              <w:end w:w="80" w:type="dxa"/>
            </w:tcMar>
            <w:shd w:fill="1A73E8"/>
          </w:tcPr>
          <w:p>
            <w:pPr>
              <w:spacing w:after="0"/>
            </w:pPr>
            <w:r/>
            <w:r>
              <w:rPr>
                <w:rFonts w:ascii="Arial" w:hAnsi="Arial"/>
                <w:b/>
                <w:color w:val="FFFFFF"/>
                <w:sz w:val="16"/>
              </w:rPr>
              <w:t>Accountable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Responsible</w:t>
            </w:r>
          </w:p>
        </w:tc>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Consulted</w:t>
            </w:r>
          </w:p>
        </w:tc>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Escalation</w:t>
            </w:r>
          </w:p>
        </w:tc>
      </w:tr>
      <w:tr>
        <w:tc>
          <w:tcPr>
            <w:tcW w:type="dxa" w:w="2160"/>
            <w:vAlign w:val="center"/>
            <w:tcMar>
              <w:top w:w="70" w:type="dxa"/>
              <w:start w:w="80" w:type="dxa"/>
              <w:bottom w:w="70" w:type="dxa"/>
              <w:end w:w="80" w:type="dxa"/>
            </w:tcMar>
          </w:tcPr>
          <w:p>
            <w:pPr>
              <w:spacing w:after="0"/>
            </w:pPr>
            <w:r/>
            <w:r>
              <w:rPr>
                <w:rFonts w:ascii="Arial" w:hAnsi="Arial"/>
                <w:b w:val="0"/>
                <w:sz w:val="14"/>
              </w:rPr>
              <w:t>Platform roadmap and funding</w:t>
            </w:r>
          </w:p>
        </w:tc>
        <w:tc>
          <w:tcPr>
            <w:tcW w:type="dxa" w:w="1872"/>
            <w:vAlign w:val="center"/>
            <w:tcMar>
              <w:top w:w="70" w:type="dxa"/>
              <w:start w:w="80" w:type="dxa"/>
              <w:bottom w:w="70" w:type="dxa"/>
              <w:end w:w="80" w:type="dxa"/>
            </w:tcMar>
          </w:tcPr>
          <w:p>
            <w:pPr>
              <w:spacing w:after="0"/>
            </w:pPr>
            <w:r/>
            <w:r>
              <w:rPr>
                <w:rFonts w:ascii="Arial" w:hAnsi="Arial"/>
                <w:b w:val="0"/>
                <w:sz w:val="14"/>
              </w:rPr>
              <w:t>Executive Steering Committee</w:t>
            </w:r>
          </w:p>
        </w:tc>
        <w:tc>
          <w:tcPr>
            <w:tcW w:type="dxa" w:w="2232"/>
            <w:vAlign w:val="center"/>
            <w:tcMar>
              <w:top w:w="70" w:type="dxa"/>
              <w:start w:w="80" w:type="dxa"/>
              <w:bottom w:w="70" w:type="dxa"/>
              <w:end w:w="80" w:type="dxa"/>
            </w:tcMar>
          </w:tcPr>
          <w:p>
            <w:pPr>
              <w:spacing w:after="0"/>
            </w:pPr>
            <w:r/>
            <w:r>
              <w:rPr>
                <w:rFonts w:ascii="Arial" w:hAnsi="Arial"/>
                <w:b w:val="0"/>
                <w:sz w:val="14"/>
              </w:rPr>
              <w:t>Platform Product Owner</w:t>
            </w:r>
          </w:p>
        </w:tc>
        <w:tc>
          <w:tcPr>
            <w:tcW w:type="dxa" w:w="2232"/>
            <w:vAlign w:val="center"/>
            <w:tcMar>
              <w:top w:w="70" w:type="dxa"/>
              <w:start w:w="80" w:type="dxa"/>
              <w:bottom w:w="70" w:type="dxa"/>
              <w:end w:w="80" w:type="dxa"/>
            </w:tcMar>
          </w:tcPr>
          <w:p>
            <w:pPr>
              <w:spacing w:after="0"/>
            </w:pPr>
            <w:r/>
            <w:r>
              <w:rPr>
                <w:rFonts w:ascii="Arial" w:hAnsi="Arial"/>
                <w:b w:val="0"/>
                <w:sz w:val="14"/>
              </w:rPr>
              <w:t>Domains, Security, SRE, FinOps</w:t>
            </w:r>
          </w:p>
        </w:tc>
        <w:tc>
          <w:tcPr>
            <w:tcW w:type="dxa" w:w="1584"/>
            <w:vAlign w:val="center"/>
            <w:tcMar>
              <w:top w:w="70" w:type="dxa"/>
              <w:start w:w="80" w:type="dxa"/>
              <w:bottom w:w="70" w:type="dxa"/>
              <w:end w:w="80" w:type="dxa"/>
            </w:tcMar>
          </w:tcPr>
          <w:p>
            <w:pPr>
              <w:spacing w:after="0"/>
            </w:pPr>
            <w:r/>
            <w:r>
              <w:rPr>
                <w:rFonts w:ascii="Arial" w:hAnsi="Arial"/>
                <w:b w:val="0"/>
                <w:sz w:val="14"/>
              </w:rPr>
              <w:t>CIO/CDO</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4"/>
              </w:rPr>
              <w:t>Strategic service default</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Architecture Review Board</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Chief Architect</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Platform, Security, Operations, FinOps</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CTO</w:t>
            </w:r>
          </w:p>
        </w:tc>
      </w:tr>
      <w:tr>
        <w:tc>
          <w:tcPr>
            <w:tcW w:type="dxa" w:w="2160"/>
            <w:vAlign w:val="center"/>
            <w:tcMar>
              <w:top w:w="70" w:type="dxa"/>
              <w:start w:w="80" w:type="dxa"/>
              <w:bottom w:w="70" w:type="dxa"/>
              <w:end w:w="80" w:type="dxa"/>
            </w:tcMar>
          </w:tcPr>
          <w:p>
            <w:pPr>
              <w:spacing w:after="0"/>
            </w:pPr>
            <w:r/>
            <w:r>
              <w:rPr>
                <w:rFonts w:ascii="Arial" w:hAnsi="Arial"/>
                <w:b w:val="0"/>
                <w:sz w:val="14"/>
              </w:rPr>
              <w:t>Domain/product ownership</w:t>
            </w:r>
          </w:p>
        </w:tc>
        <w:tc>
          <w:tcPr>
            <w:tcW w:type="dxa" w:w="1872"/>
            <w:vAlign w:val="center"/>
            <w:tcMar>
              <w:top w:w="70" w:type="dxa"/>
              <w:start w:w="80" w:type="dxa"/>
              <w:bottom w:w="70" w:type="dxa"/>
              <w:end w:w="80" w:type="dxa"/>
            </w:tcMar>
          </w:tcPr>
          <w:p>
            <w:pPr>
              <w:spacing w:after="0"/>
            </w:pPr>
            <w:r/>
            <w:r>
              <w:rPr>
                <w:rFonts w:ascii="Arial" w:hAnsi="Arial"/>
                <w:b w:val="0"/>
                <w:sz w:val="14"/>
              </w:rPr>
              <w:t>Business-unit executive</w:t>
            </w:r>
          </w:p>
        </w:tc>
        <w:tc>
          <w:tcPr>
            <w:tcW w:type="dxa" w:w="2232"/>
            <w:vAlign w:val="center"/>
            <w:tcMar>
              <w:top w:w="70" w:type="dxa"/>
              <w:start w:w="80" w:type="dxa"/>
              <w:bottom w:w="70" w:type="dxa"/>
              <w:end w:w="80" w:type="dxa"/>
            </w:tcMar>
          </w:tcPr>
          <w:p>
            <w:pPr>
              <w:spacing w:after="0"/>
            </w:pPr>
            <w:r/>
            <w:r>
              <w:rPr>
                <w:rFonts w:ascii="Arial" w:hAnsi="Arial"/>
                <w:b w:val="0"/>
                <w:sz w:val="14"/>
              </w:rPr>
              <w:t>Domain Product Owner</w:t>
            </w:r>
          </w:p>
        </w:tc>
        <w:tc>
          <w:tcPr>
            <w:tcW w:type="dxa" w:w="2232"/>
            <w:vAlign w:val="center"/>
            <w:tcMar>
              <w:top w:w="70" w:type="dxa"/>
              <w:start w:w="80" w:type="dxa"/>
              <w:bottom w:w="70" w:type="dxa"/>
              <w:end w:w="80" w:type="dxa"/>
            </w:tcMar>
          </w:tcPr>
          <w:p>
            <w:pPr>
              <w:spacing w:after="0"/>
            </w:pPr>
            <w:r/>
            <w:r>
              <w:rPr>
                <w:rFonts w:ascii="Arial" w:hAnsi="Arial"/>
                <w:b w:val="0"/>
                <w:sz w:val="14"/>
              </w:rPr>
              <w:t>CDO, Governance</w:t>
            </w:r>
          </w:p>
        </w:tc>
        <w:tc>
          <w:tcPr>
            <w:tcW w:type="dxa" w:w="1584"/>
            <w:vAlign w:val="center"/>
            <w:tcMar>
              <w:top w:w="70" w:type="dxa"/>
              <w:start w:w="80" w:type="dxa"/>
              <w:bottom w:w="70" w:type="dxa"/>
              <w:end w:w="80" w:type="dxa"/>
            </w:tcMar>
          </w:tcPr>
          <w:p>
            <w:pPr>
              <w:spacing w:after="0"/>
            </w:pPr>
            <w:r/>
            <w:r>
              <w:rPr>
                <w:rFonts w:ascii="Arial" w:hAnsi="Arial"/>
                <w:b w:val="0"/>
                <w:sz w:val="14"/>
              </w:rPr>
              <w:t>Executive Steering Committee</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4"/>
              </w:rPr>
              <w:t>Data definition and quality target</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Domain Data Owner</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Data Steward/Product Team</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Consumers, Governance</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CDO</w:t>
            </w:r>
          </w:p>
        </w:tc>
      </w:tr>
      <w:tr>
        <w:tc>
          <w:tcPr>
            <w:tcW w:type="dxa" w:w="2160"/>
            <w:vAlign w:val="center"/>
            <w:tcMar>
              <w:top w:w="70" w:type="dxa"/>
              <w:start w:w="80" w:type="dxa"/>
              <w:bottom w:w="70" w:type="dxa"/>
              <w:end w:w="80" w:type="dxa"/>
            </w:tcMar>
          </w:tcPr>
          <w:p>
            <w:pPr>
              <w:spacing w:after="0"/>
            </w:pPr>
            <w:r/>
            <w:r>
              <w:rPr>
                <w:rFonts w:ascii="Arial" w:hAnsi="Arial"/>
                <w:b w:val="0"/>
                <w:sz w:val="14"/>
              </w:rPr>
              <w:t>Access to restricted product</w:t>
            </w:r>
          </w:p>
        </w:tc>
        <w:tc>
          <w:tcPr>
            <w:tcW w:type="dxa" w:w="1872"/>
            <w:vAlign w:val="center"/>
            <w:tcMar>
              <w:top w:w="70" w:type="dxa"/>
              <w:start w:w="80" w:type="dxa"/>
              <w:bottom w:w="70" w:type="dxa"/>
              <w:end w:w="80" w:type="dxa"/>
            </w:tcMar>
          </w:tcPr>
          <w:p>
            <w:pPr>
              <w:spacing w:after="0"/>
            </w:pPr>
            <w:r/>
            <w:r>
              <w:rPr>
                <w:rFonts w:ascii="Arial" w:hAnsi="Arial"/>
                <w:b w:val="0"/>
                <w:sz w:val="14"/>
              </w:rPr>
              <w:t>Domain Data Owner and Security</w:t>
            </w:r>
          </w:p>
        </w:tc>
        <w:tc>
          <w:tcPr>
            <w:tcW w:type="dxa" w:w="2232"/>
            <w:vAlign w:val="center"/>
            <w:tcMar>
              <w:top w:w="70" w:type="dxa"/>
              <w:start w:w="80" w:type="dxa"/>
              <w:bottom w:w="70" w:type="dxa"/>
              <w:end w:w="80" w:type="dxa"/>
            </w:tcMar>
          </w:tcPr>
          <w:p>
            <w:pPr>
              <w:spacing w:after="0"/>
            </w:pPr>
            <w:r/>
            <w:r>
              <w:rPr>
                <w:rFonts w:ascii="Arial" w:hAnsi="Arial"/>
                <w:b w:val="0"/>
                <w:sz w:val="14"/>
              </w:rPr>
              <w:t>Access workflow</w:t>
            </w:r>
          </w:p>
        </w:tc>
        <w:tc>
          <w:tcPr>
            <w:tcW w:type="dxa" w:w="2232"/>
            <w:vAlign w:val="center"/>
            <w:tcMar>
              <w:top w:w="70" w:type="dxa"/>
              <w:start w:w="80" w:type="dxa"/>
              <w:bottom w:w="70" w:type="dxa"/>
              <w:end w:w="80" w:type="dxa"/>
            </w:tcMar>
          </w:tcPr>
          <w:p>
            <w:pPr>
              <w:spacing w:after="0"/>
            </w:pPr>
            <w:r/>
            <w:r>
              <w:rPr>
                <w:rFonts w:ascii="Arial" w:hAnsi="Arial"/>
                <w:b w:val="0"/>
                <w:sz w:val="14"/>
              </w:rPr>
              <w:t>Privacy, Consumer Owner</w:t>
            </w:r>
          </w:p>
        </w:tc>
        <w:tc>
          <w:tcPr>
            <w:tcW w:type="dxa" w:w="1584"/>
            <w:vAlign w:val="center"/>
            <w:tcMar>
              <w:top w:w="70" w:type="dxa"/>
              <w:start w:w="80" w:type="dxa"/>
              <w:bottom w:w="70" w:type="dxa"/>
              <w:end w:w="80" w:type="dxa"/>
            </w:tcMar>
          </w:tcPr>
          <w:p>
            <w:pPr>
              <w:spacing w:after="0"/>
            </w:pPr>
            <w:r/>
            <w:r>
              <w:rPr>
                <w:rFonts w:ascii="Arial" w:hAnsi="Arial"/>
                <w:b w:val="0"/>
                <w:sz w:val="14"/>
              </w:rPr>
              <w:t>CISO/CDO</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4"/>
              </w:rPr>
              <w:t>Production go-live</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Product Owner</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Delivery Team</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SRE, Security, Architecture, Governance</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Steering Committee for residual high risk</w:t>
            </w:r>
          </w:p>
        </w:tc>
      </w:tr>
      <w:tr>
        <w:tc>
          <w:tcPr>
            <w:tcW w:type="dxa" w:w="2160"/>
            <w:vAlign w:val="center"/>
            <w:tcMar>
              <w:top w:w="70" w:type="dxa"/>
              <w:start w:w="80" w:type="dxa"/>
              <w:bottom w:w="70" w:type="dxa"/>
              <w:end w:w="80" w:type="dxa"/>
            </w:tcMar>
          </w:tcPr>
          <w:p>
            <w:pPr>
              <w:spacing w:after="0"/>
            </w:pPr>
            <w:r/>
            <w:r>
              <w:rPr>
                <w:rFonts w:ascii="Arial" w:hAnsi="Arial"/>
                <w:b w:val="0"/>
                <w:sz w:val="14"/>
              </w:rPr>
              <w:t>SLO and error budget</w:t>
            </w:r>
          </w:p>
        </w:tc>
        <w:tc>
          <w:tcPr>
            <w:tcW w:type="dxa" w:w="1872"/>
            <w:vAlign w:val="center"/>
            <w:tcMar>
              <w:top w:w="70" w:type="dxa"/>
              <w:start w:w="80" w:type="dxa"/>
              <w:bottom w:w="70" w:type="dxa"/>
              <w:end w:w="80" w:type="dxa"/>
            </w:tcMar>
          </w:tcPr>
          <w:p>
            <w:pPr>
              <w:spacing w:after="0"/>
            </w:pPr>
            <w:r/>
            <w:r>
              <w:rPr>
                <w:rFonts w:ascii="Arial" w:hAnsi="Arial"/>
                <w:b w:val="0"/>
                <w:sz w:val="14"/>
              </w:rPr>
              <w:t>Product Owner</w:t>
            </w:r>
          </w:p>
        </w:tc>
        <w:tc>
          <w:tcPr>
            <w:tcW w:type="dxa" w:w="2232"/>
            <w:vAlign w:val="center"/>
            <w:tcMar>
              <w:top w:w="70" w:type="dxa"/>
              <w:start w:w="80" w:type="dxa"/>
              <w:bottom w:w="70" w:type="dxa"/>
              <w:end w:w="80" w:type="dxa"/>
            </w:tcMar>
          </w:tcPr>
          <w:p>
            <w:pPr>
              <w:spacing w:after="0"/>
            </w:pPr>
            <w:r/>
            <w:r>
              <w:rPr>
                <w:rFonts w:ascii="Arial" w:hAnsi="Arial"/>
                <w:b w:val="0"/>
                <w:sz w:val="14"/>
              </w:rPr>
              <w:t>SRE and Product Team</w:t>
            </w:r>
          </w:p>
        </w:tc>
        <w:tc>
          <w:tcPr>
            <w:tcW w:type="dxa" w:w="2232"/>
            <w:vAlign w:val="center"/>
            <w:tcMar>
              <w:top w:w="70" w:type="dxa"/>
              <w:start w:w="80" w:type="dxa"/>
              <w:bottom w:w="70" w:type="dxa"/>
              <w:end w:w="80" w:type="dxa"/>
            </w:tcMar>
          </w:tcPr>
          <w:p>
            <w:pPr>
              <w:spacing w:after="0"/>
            </w:pPr>
            <w:r/>
            <w:r>
              <w:rPr>
                <w:rFonts w:ascii="Arial" w:hAnsi="Arial"/>
                <w:b w:val="0"/>
                <w:sz w:val="14"/>
              </w:rPr>
              <w:t>Consumers, Platform</w:t>
            </w:r>
          </w:p>
        </w:tc>
        <w:tc>
          <w:tcPr>
            <w:tcW w:type="dxa" w:w="1584"/>
            <w:vAlign w:val="center"/>
            <w:tcMar>
              <w:top w:w="70" w:type="dxa"/>
              <w:start w:w="80" w:type="dxa"/>
              <w:bottom w:w="70" w:type="dxa"/>
              <w:end w:w="80" w:type="dxa"/>
            </w:tcMar>
          </w:tcPr>
          <w:p>
            <w:pPr>
              <w:spacing w:after="0"/>
            </w:pPr>
            <w:r/>
            <w:r>
              <w:rPr>
                <w:rFonts w:ascii="Arial" w:hAnsi="Arial"/>
                <w:b w:val="0"/>
                <w:sz w:val="14"/>
              </w:rPr>
              <w:t>Business Executive</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4"/>
              </w:rPr>
              <w:t>CMEK and perimeter policy</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CISO</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Security Platform</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Architecture, Network, Product</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Security Review Board</w:t>
            </w:r>
          </w:p>
        </w:tc>
      </w:tr>
      <w:tr>
        <w:tc>
          <w:tcPr>
            <w:tcW w:type="dxa" w:w="2160"/>
            <w:vAlign w:val="center"/>
            <w:tcMar>
              <w:top w:w="70" w:type="dxa"/>
              <w:start w:w="80" w:type="dxa"/>
              <w:bottom w:w="70" w:type="dxa"/>
              <w:end w:w="80" w:type="dxa"/>
            </w:tcMar>
          </w:tcPr>
          <w:p>
            <w:pPr>
              <w:spacing w:after="0"/>
            </w:pPr>
            <w:r/>
            <w:r>
              <w:rPr>
                <w:rFonts w:ascii="Arial" w:hAnsi="Arial"/>
                <w:b w:val="0"/>
                <w:sz w:val="14"/>
              </w:rPr>
              <w:t>Cost allocation and chargeback</w:t>
            </w:r>
          </w:p>
        </w:tc>
        <w:tc>
          <w:tcPr>
            <w:tcW w:type="dxa" w:w="1872"/>
            <w:vAlign w:val="center"/>
            <w:tcMar>
              <w:top w:w="70" w:type="dxa"/>
              <w:start w:w="80" w:type="dxa"/>
              <w:bottom w:w="70" w:type="dxa"/>
              <w:end w:w="80" w:type="dxa"/>
            </w:tcMar>
          </w:tcPr>
          <w:p>
            <w:pPr>
              <w:spacing w:after="0"/>
            </w:pPr>
            <w:r/>
            <w:r>
              <w:rPr>
                <w:rFonts w:ascii="Arial" w:hAnsi="Arial"/>
                <w:b w:val="0"/>
                <w:sz w:val="14"/>
              </w:rPr>
              <w:t>CFO</w:t>
            </w:r>
          </w:p>
        </w:tc>
        <w:tc>
          <w:tcPr>
            <w:tcW w:type="dxa" w:w="2232"/>
            <w:vAlign w:val="center"/>
            <w:tcMar>
              <w:top w:w="70" w:type="dxa"/>
              <w:start w:w="80" w:type="dxa"/>
              <w:bottom w:w="70" w:type="dxa"/>
              <w:end w:w="80" w:type="dxa"/>
            </w:tcMar>
          </w:tcPr>
          <w:p>
            <w:pPr>
              <w:spacing w:after="0"/>
            </w:pPr>
            <w:r/>
            <w:r>
              <w:rPr>
                <w:rFonts w:ascii="Arial" w:hAnsi="Arial"/>
                <w:b w:val="0"/>
                <w:sz w:val="14"/>
              </w:rPr>
              <w:t>FinOps</w:t>
            </w:r>
          </w:p>
        </w:tc>
        <w:tc>
          <w:tcPr>
            <w:tcW w:type="dxa" w:w="2232"/>
            <w:vAlign w:val="center"/>
            <w:tcMar>
              <w:top w:w="70" w:type="dxa"/>
              <w:start w:w="80" w:type="dxa"/>
              <w:bottom w:w="70" w:type="dxa"/>
              <w:end w:w="80" w:type="dxa"/>
            </w:tcMar>
          </w:tcPr>
          <w:p>
            <w:pPr>
              <w:spacing w:after="0"/>
            </w:pPr>
            <w:r/>
            <w:r>
              <w:rPr>
                <w:rFonts w:ascii="Arial" w:hAnsi="Arial"/>
                <w:b w:val="0"/>
                <w:sz w:val="14"/>
              </w:rPr>
              <w:t>CDO, Domains, Platform</w:t>
            </w:r>
          </w:p>
        </w:tc>
        <w:tc>
          <w:tcPr>
            <w:tcW w:type="dxa" w:w="1584"/>
            <w:vAlign w:val="center"/>
            <w:tcMar>
              <w:top w:w="70" w:type="dxa"/>
              <w:start w:w="80" w:type="dxa"/>
              <w:bottom w:w="70" w:type="dxa"/>
              <w:end w:w="80" w:type="dxa"/>
            </w:tcMar>
          </w:tcPr>
          <w:p>
            <w:pPr>
              <w:spacing w:after="0"/>
            </w:pPr>
            <w:r/>
            <w:r>
              <w:rPr>
                <w:rFonts w:ascii="Arial" w:hAnsi="Arial"/>
                <w:b w:val="0"/>
                <w:sz w:val="14"/>
              </w:rPr>
              <w:t>Executive Steering Committee</w:t>
            </w:r>
          </w:p>
        </w:tc>
      </w:tr>
      <w:tr>
        <w:tc>
          <w:tcPr>
            <w:tcW w:type="dxa" w:w="2160"/>
            <w:vAlign w:val="center"/>
            <w:tcMar>
              <w:top w:w="70" w:type="dxa"/>
              <w:start w:w="80" w:type="dxa"/>
              <w:bottom w:w="70" w:type="dxa"/>
              <w:end w:w="80" w:type="dxa"/>
            </w:tcMar>
            <w:shd w:fill="F8F9FA"/>
          </w:tcPr>
          <w:p>
            <w:pPr>
              <w:spacing w:after="0"/>
            </w:pPr>
            <w:r/>
            <w:r>
              <w:rPr>
                <w:rFonts w:ascii="Arial" w:hAnsi="Arial"/>
                <w:b w:val="0"/>
                <w:sz w:val="14"/>
              </w:rPr>
              <w:t>Architecture exception</w:t>
            </w:r>
          </w:p>
        </w:tc>
        <w:tc>
          <w:tcPr>
            <w:tcW w:type="dxa" w:w="1872"/>
            <w:vAlign w:val="center"/>
            <w:tcMar>
              <w:top w:w="70" w:type="dxa"/>
              <w:start w:w="80" w:type="dxa"/>
              <w:bottom w:w="70" w:type="dxa"/>
              <w:end w:w="80" w:type="dxa"/>
            </w:tcMar>
            <w:shd w:fill="F8F9FA"/>
          </w:tcPr>
          <w:p>
            <w:pPr>
              <w:spacing w:after="0"/>
            </w:pPr>
            <w:r/>
            <w:r>
              <w:rPr>
                <w:rFonts w:ascii="Arial" w:hAnsi="Arial"/>
                <w:b w:val="0"/>
                <w:sz w:val="14"/>
              </w:rPr>
              <w:t>Architecture Review Board</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Requesting Owner</w:t>
            </w:r>
          </w:p>
        </w:tc>
        <w:tc>
          <w:tcPr>
            <w:tcW w:type="dxa" w:w="2232"/>
            <w:vAlign w:val="center"/>
            <w:tcMar>
              <w:top w:w="70" w:type="dxa"/>
              <w:start w:w="80" w:type="dxa"/>
              <w:bottom w:w="70" w:type="dxa"/>
              <w:end w:w="80" w:type="dxa"/>
            </w:tcMar>
            <w:shd w:fill="F8F9FA"/>
          </w:tcPr>
          <w:p>
            <w:pPr>
              <w:spacing w:after="0"/>
            </w:pPr>
            <w:r/>
            <w:r>
              <w:rPr>
                <w:rFonts w:ascii="Arial" w:hAnsi="Arial"/>
                <w:b w:val="0"/>
                <w:sz w:val="14"/>
              </w:rPr>
              <w:t>Security, SRE, FinOps as relevant</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CTO/CISO for high risk</w:t>
            </w:r>
          </w:p>
        </w:tc>
      </w:tr>
    </w:tbl>
    <w:p>
      <w:pPr>
        <w:spacing w:after="20"/>
      </w:pPr>
    </w:p>
    <w:p>
      <w:pPr>
        <w:pStyle w:val="Heading2"/>
      </w:pPr>
      <w:r>
        <w:t>13.3 RACI for the Data-product Lifecycle</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2232"/>
            <w:vAlign w:val="center"/>
            <w:tcMar>
              <w:top w:w="70" w:type="dxa"/>
              <w:start w:w="80" w:type="dxa"/>
              <w:bottom w:w="70" w:type="dxa"/>
              <w:end w:w="80" w:type="dxa"/>
            </w:tcMar>
            <w:shd w:fill="1A73E8"/>
          </w:tcPr>
          <w:p>
            <w:pPr>
              <w:spacing w:after="0"/>
            </w:pPr>
            <w:r/>
            <w:r>
              <w:rPr>
                <w:rFonts w:ascii="Arial" w:hAnsi="Arial"/>
                <w:b/>
                <w:color w:val="FFFFFF"/>
                <w:sz w:val="16"/>
              </w:rPr>
              <w:t>Activity</w:t>
            </w:r>
          </w:p>
        </w:tc>
        <w:tc>
          <w:tcPr>
            <w:tcW w:type="dxa" w:w="1152"/>
            <w:vAlign w:val="center"/>
            <w:tcMar>
              <w:top w:w="70" w:type="dxa"/>
              <w:start w:w="80" w:type="dxa"/>
              <w:bottom w:w="70" w:type="dxa"/>
              <w:end w:w="80" w:type="dxa"/>
            </w:tcMar>
            <w:shd w:fill="1A73E8"/>
          </w:tcPr>
          <w:p>
            <w:pPr>
              <w:spacing w:after="0"/>
            </w:pPr>
            <w:r/>
            <w:r>
              <w:rPr>
                <w:rFonts w:ascii="Arial" w:hAnsi="Arial"/>
                <w:b/>
                <w:color w:val="FFFFFF"/>
                <w:sz w:val="16"/>
              </w:rPr>
              <w:t>Business Owner</w:t>
            </w:r>
          </w:p>
        </w:tc>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Product Owner</w:t>
            </w:r>
          </w:p>
        </w:tc>
        <w:tc>
          <w:tcPr>
            <w:tcW w:type="dxa" w:w="1080"/>
            <w:vAlign w:val="center"/>
            <w:tcMar>
              <w:top w:w="70" w:type="dxa"/>
              <w:start w:w="80" w:type="dxa"/>
              <w:bottom w:w="70" w:type="dxa"/>
              <w:end w:w="80" w:type="dxa"/>
            </w:tcMar>
            <w:shd w:fill="1A73E8"/>
          </w:tcPr>
          <w:p>
            <w:pPr>
              <w:spacing w:after="0"/>
            </w:pPr>
            <w:r/>
            <w:r>
              <w:rPr>
                <w:rFonts w:ascii="Arial" w:hAnsi="Arial"/>
                <w:b/>
                <w:color w:val="FFFFFF"/>
                <w:sz w:val="16"/>
              </w:rPr>
              <w:t>Data Steward</w:t>
            </w:r>
          </w:p>
        </w:tc>
        <w:tc>
          <w:tcPr>
            <w:tcW w:type="dxa" w:w="1080"/>
            <w:vAlign w:val="center"/>
            <w:tcMar>
              <w:top w:w="70" w:type="dxa"/>
              <w:start w:w="80" w:type="dxa"/>
              <w:bottom w:w="70" w:type="dxa"/>
              <w:end w:w="80" w:type="dxa"/>
            </w:tcMar>
            <w:shd w:fill="1A73E8"/>
          </w:tcPr>
          <w:p>
            <w:pPr>
              <w:spacing w:after="0"/>
            </w:pPr>
            <w:r/>
            <w:r>
              <w:rPr>
                <w:rFonts w:ascii="Arial" w:hAnsi="Arial"/>
                <w:b/>
                <w:color w:val="FFFFFF"/>
                <w:sz w:val="16"/>
              </w:rPr>
              <w:t>Platform</w:t>
            </w:r>
          </w:p>
        </w:tc>
        <w:tc>
          <w:tcPr>
            <w:tcW w:type="dxa" w:w="1080"/>
            <w:vAlign w:val="center"/>
            <w:tcMar>
              <w:top w:w="70" w:type="dxa"/>
              <w:start w:w="80" w:type="dxa"/>
              <w:bottom w:w="70" w:type="dxa"/>
              <w:end w:w="80" w:type="dxa"/>
            </w:tcMar>
            <w:shd w:fill="1A73E8"/>
          </w:tcPr>
          <w:p>
            <w:pPr>
              <w:spacing w:after="0"/>
            </w:pPr>
            <w:r/>
            <w:r>
              <w:rPr>
                <w:rFonts w:ascii="Arial" w:hAnsi="Arial"/>
                <w:b/>
                <w:color w:val="FFFFFF"/>
                <w:sz w:val="16"/>
              </w:rPr>
              <w:t>Security</w:t>
            </w:r>
          </w:p>
        </w:tc>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SRE</w:t>
            </w:r>
          </w:p>
        </w:tc>
        <w:tc>
          <w:tcPr>
            <w:tcW w:type="dxa" w:w="1008"/>
            <w:vAlign w:val="center"/>
            <w:tcMar>
              <w:top w:w="70" w:type="dxa"/>
              <w:start w:w="80" w:type="dxa"/>
              <w:bottom w:w="70" w:type="dxa"/>
              <w:end w:w="80" w:type="dxa"/>
            </w:tcMar>
            <w:shd w:fill="1A73E8"/>
          </w:tcPr>
          <w:p>
            <w:pPr>
              <w:spacing w:after="0"/>
            </w:pPr>
            <w:r/>
            <w:r>
              <w:rPr>
                <w:rFonts w:ascii="Arial" w:hAnsi="Arial"/>
                <w:b/>
                <w:color w:val="FFFFFF"/>
                <w:sz w:val="16"/>
              </w:rPr>
              <w:t>Consumer</w:t>
            </w:r>
          </w:p>
        </w:tc>
      </w:tr>
      <w:tr>
        <w:tc>
          <w:tcPr>
            <w:tcW w:type="dxa" w:w="2232"/>
            <w:vAlign w:val="center"/>
            <w:tcMar>
              <w:top w:w="70" w:type="dxa"/>
              <w:start w:w="80" w:type="dxa"/>
              <w:bottom w:w="70" w:type="dxa"/>
              <w:end w:w="80" w:type="dxa"/>
            </w:tcMar>
          </w:tcPr>
          <w:p>
            <w:pPr>
              <w:spacing w:after="0"/>
            </w:pPr>
            <w:r/>
            <w:r>
              <w:rPr>
                <w:rFonts w:ascii="Arial" w:hAnsi="Arial"/>
                <w:b w:val="0"/>
                <w:sz w:val="13"/>
              </w:rPr>
              <w:t>Prioritize product</w:t>
            </w:r>
          </w:p>
        </w:tc>
        <w:tc>
          <w:tcPr>
            <w:tcW w:type="dxa" w:w="1152"/>
            <w:vAlign w:val="center"/>
            <w:tcMar>
              <w:top w:w="70" w:type="dxa"/>
              <w:start w:w="80" w:type="dxa"/>
              <w:bottom w:w="70" w:type="dxa"/>
              <w:end w:w="80" w:type="dxa"/>
            </w:tcMar>
          </w:tcPr>
          <w:p>
            <w:pPr>
              <w:spacing w:after="0"/>
            </w:pPr>
            <w:r/>
            <w:r>
              <w:rPr>
                <w:rFonts w:ascii="Arial" w:hAnsi="Arial"/>
                <w:b w:val="0"/>
                <w:sz w:val="13"/>
              </w:rPr>
              <w:t>A</w:t>
            </w:r>
          </w:p>
        </w:tc>
        <w:tc>
          <w:tcPr>
            <w:tcW w:type="dxa" w:w="1224"/>
            <w:vAlign w:val="center"/>
            <w:tcMar>
              <w:top w:w="70" w:type="dxa"/>
              <w:start w:w="80" w:type="dxa"/>
              <w:bottom w:w="70" w:type="dxa"/>
              <w:end w:w="80" w:type="dxa"/>
            </w:tcMar>
          </w:tcPr>
          <w:p>
            <w:pPr>
              <w:spacing w:after="0"/>
            </w:pPr>
            <w:r/>
            <w:r>
              <w:rPr>
                <w:rFonts w:ascii="Arial" w:hAnsi="Arial"/>
                <w:b w:val="0"/>
                <w:sz w:val="13"/>
              </w:rPr>
              <w:t>R</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1080"/>
            <w:vAlign w:val="center"/>
            <w:tcMar>
              <w:top w:w="70" w:type="dxa"/>
              <w:start w:w="80" w:type="dxa"/>
              <w:bottom w:w="70" w:type="dxa"/>
              <w:end w:w="80" w:type="dxa"/>
            </w:tcMar>
          </w:tcPr>
          <w:p>
            <w:pPr>
              <w:spacing w:after="0"/>
            </w:pPr>
            <w:r/>
            <w:r>
              <w:rPr>
                <w:rFonts w:ascii="Arial" w:hAnsi="Arial"/>
                <w:b w:val="0"/>
                <w:sz w:val="13"/>
              </w:rPr>
              <w:t>I</w:t>
            </w:r>
          </w:p>
        </w:tc>
        <w:tc>
          <w:tcPr>
            <w:tcW w:type="dxa" w:w="936"/>
            <w:vAlign w:val="center"/>
            <w:tcMar>
              <w:top w:w="70" w:type="dxa"/>
              <w:start w:w="80" w:type="dxa"/>
              <w:bottom w:w="70" w:type="dxa"/>
              <w:end w:w="80" w:type="dxa"/>
            </w:tcMar>
          </w:tcPr>
          <w:p>
            <w:pPr>
              <w:spacing w:after="0"/>
            </w:pPr>
            <w:r/>
            <w:r>
              <w:rPr>
                <w:rFonts w:ascii="Arial" w:hAnsi="Arial"/>
                <w:b w:val="0"/>
                <w:sz w:val="13"/>
              </w:rPr>
              <w:t>I</w:t>
            </w:r>
          </w:p>
        </w:tc>
        <w:tc>
          <w:tcPr>
            <w:tcW w:type="dxa" w:w="1008"/>
            <w:vAlign w:val="center"/>
            <w:tcMar>
              <w:top w:w="70" w:type="dxa"/>
              <w:start w:w="80" w:type="dxa"/>
              <w:bottom w:w="70" w:type="dxa"/>
              <w:end w:w="80" w:type="dxa"/>
            </w:tcMar>
          </w:tcPr>
          <w:p>
            <w:pPr>
              <w:spacing w:after="0"/>
            </w:pPr>
            <w:r/>
            <w:r>
              <w:rPr>
                <w:rFonts w:ascii="Arial" w:hAnsi="Arial"/>
                <w:b w:val="0"/>
                <w:sz w:val="13"/>
              </w:rPr>
              <w:t>C</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3"/>
              </w:rPr>
              <w:t>Define contract and SLO</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w:t>
            </w:r>
          </w:p>
        </w:tc>
        <w:tc>
          <w:tcPr>
            <w:tcW w:type="dxa" w:w="1224"/>
            <w:vAlign w:val="center"/>
            <w:tcMar>
              <w:top w:w="70" w:type="dxa"/>
              <w:start w:w="80" w:type="dxa"/>
              <w:bottom w:w="70" w:type="dxa"/>
              <w:end w:w="80" w:type="dxa"/>
            </w:tcMar>
            <w:shd w:fill="F8F9FA"/>
          </w:tcPr>
          <w:p>
            <w:pPr>
              <w:spacing w:after="0"/>
            </w:pPr>
            <w:r/>
            <w:r>
              <w:rPr>
                <w:rFonts w:ascii="Arial" w:hAnsi="Arial"/>
                <w:b w:val="0"/>
                <w:sz w:val="13"/>
              </w:rPr>
              <w:t>R</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R</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08"/>
            <w:vAlign w:val="center"/>
            <w:tcMar>
              <w:top w:w="70" w:type="dxa"/>
              <w:start w:w="80" w:type="dxa"/>
              <w:bottom w:w="70" w:type="dxa"/>
              <w:end w:w="80" w:type="dxa"/>
            </w:tcMar>
            <w:shd w:fill="F8F9FA"/>
          </w:tcPr>
          <w:p>
            <w:pPr>
              <w:spacing w:after="0"/>
            </w:pPr>
            <w:r/>
            <w:r>
              <w:rPr>
                <w:rFonts w:ascii="Arial" w:hAnsi="Arial"/>
                <w:b w:val="0"/>
                <w:sz w:val="13"/>
              </w:rPr>
              <w:t>C</w:t>
            </w:r>
          </w:p>
        </w:tc>
      </w:tr>
      <w:tr>
        <w:tc>
          <w:tcPr>
            <w:tcW w:type="dxa" w:w="2232"/>
            <w:vAlign w:val="center"/>
            <w:tcMar>
              <w:top w:w="70" w:type="dxa"/>
              <w:start w:w="80" w:type="dxa"/>
              <w:bottom w:w="70" w:type="dxa"/>
              <w:end w:w="80" w:type="dxa"/>
            </w:tcMar>
          </w:tcPr>
          <w:p>
            <w:pPr>
              <w:spacing w:after="0"/>
            </w:pPr>
            <w:r/>
            <w:r>
              <w:rPr>
                <w:rFonts w:ascii="Arial" w:hAnsi="Arial"/>
                <w:b w:val="0"/>
                <w:sz w:val="13"/>
              </w:rPr>
              <w:t>Classify data</w:t>
            </w:r>
          </w:p>
        </w:tc>
        <w:tc>
          <w:tcPr>
            <w:tcW w:type="dxa" w:w="1152"/>
            <w:vAlign w:val="center"/>
            <w:tcMar>
              <w:top w:w="70" w:type="dxa"/>
              <w:start w:w="80" w:type="dxa"/>
              <w:bottom w:w="70" w:type="dxa"/>
              <w:end w:w="80" w:type="dxa"/>
            </w:tcMar>
          </w:tcPr>
          <w:p>
            <w:pPr>
              <w:spacing w:after="0"/>
            </w:pPr>
            <w:r/>
            <w:r>
              <w:rPr>
                <w:rFonts w:ascii="Arial" w:hAnsi="Arial"/>
                <w:b w:val="0"/>
                <w:sz w:val="13"/>
              </w:rPr>
              <w:t>A</w:t>
            </w:r>
          </w:p>
        </w:tc>
        <w:tc>
          <w:tcPr>
            <w:tcW w:type="dxa" w:w="1224"/>
            <w:vAlign w:val="center"/>
            <w:tcMar>
              <w:top w:w="70" w:type="dxa"/>
              <w:start w:w="80" w:type="dxa"/>
              <w:bottom w:w="70" w:type="dxa"/>
              <w:end w:w="80" w:type="dxa"/>
            </w:tcMar>
          </w:tcPr>
          <w:p>
            <w:pPr>
              <w:spacing w:after="0"/>
            </w:pPr>
            <w:r/>
            <w:r>
              <w:rPr>
                <w:rFonts w:ascii="Arial" w:hAnsi="Arial"/>
                <w:b w:val="0"/>
                <w:sz w:val="13"/>
              </w:rPr>
              <w:t>R</w:t>
            </w:r>
          </w:p>
        </w:tc>
        <w:tc>
          <w:tcPr>
            <w:tcW w:type="dxa" w:w="1080"/>
            <w:vAlign w:val="center"/>
            <w:tcMar>
              <w:top w:w="70" w:type="dxa"/>
              <w:start w:w="80" w:type="dxa"/>
              <w:bottom w:w="70" w:type="dxa"/>
              <w:end w:w="80" w:type="dxa"/>
            </w:tcMar>
          </w:tcPr>
          <w:p>
            <w:pPr>
              <w:spacing w:after="0"/>
            </w:pPr>
            <w:r/>
            <w:r>
              <w:rPr>
                <w:rFonts w:ascii="Arial" w:hAnsi="Arial"/>
                <w:b w:val="0"/>
                <w:sz w:val="13"/>
              </w:rPr>
              <w:t>R</w:t>
            </w:r>
          </w:p>
        </w:tc>
        <w:tc>
          <w:tcPr>
            <w:tcW w:type="dxa" w:w="1080"/>
            <w:vAlign w:val="center"/>
            <w:tcMar>
              <w:top w:w="70" w:type="dxa"/>
              <w:start w:w="80" w:type="dxa"/>
              <w:bottom w:w="70" w:type="dxa"/>
              <w:end w:w="80" w:type="dxa"/>
            </w:tcMar>
          </w:tcPr>
          <w:p>
            <w:pPr>
              <w:spacing w:after="0"/>
            </w:pPr>
            <w:r/>
            <w:r>
              <w:rPr>
                <w:rFonts w:ascii="Arial" w:hAnsi="Arial"/>
                <w:b w:val="0"/>
                <w:sz w:val="13"/>
              </w:rPr>
              <w:t>I</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936"/>
            <w:vAlign w:val="center"/>
            <w:tcMar>
              <w:top w:w="70" w:type="dxa"/>
              <w:start w:w="80" w:type="dxa"/>
              <w:bottom w:w="70" w:type="dxa"/>
              <w:end w:w="80" w:type="dxa"/>
            </w:tcMar>
          </w:tcPr>
          <w:p>
            <w:pPr>
              <w:spacing w:after="0"/>
            </w:pPr>
            <w:r/>
            <w:r>
              <w:rPr>
                <w:rFonts w:ascii="Arial" w:hAnsi="Arial"/>
                <w:b w:val="0"/>
                <w:sz w:val="13"/>
              </w:rPr>
              <w:t>I</w:t>
            </w:r>
          </w:p>
        </w:tc>
        <w:tc>
          <w:tcPr>
            <w:tcW w:type="dxa" w:w="1008"/>
            <w:vAlign w:val="center"/>
            <w:tcMar>
              <w:top w:w="70" w:type="dxa"/>
              <w:start w:w="80" w:type="dxa"/>
              <w:bottom w:w="70" w:type="dxa"/>
              <w:end w:w="80" w:type="dxa"/>
            </w:tcMar>
          </w:tcPr>
          <w:p>
            <w:pPr>
              <w:spacing w:after="0"/>
            </w:pPr>
            <w:r/>
            <w:r>
              <w:rPr>
                <w:rFonts w:ascii="Arial" w:hAnsi="Arial"/>
                <w:b w:val="0"/>
                <w:sz w:val="13"/>
              </w:rPr>
              <w:t>I</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3"/>
              </w:rPr>
              <w:t>Implement pipeline/product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I</w:t>
            </w:r>
          </w:p>
        </w:tc>
        <w:tc>
          <w:tcPr>
            <w:tcW w:type="dxa" w:w="1224"/>
            <w:vAlign w:val="center"/>
            <w:tcMar>
              <w:top w:w="70" w:type="dxa"/>
              <w:start w:w="80" w:type="dxa"/>
              <w:bottom w:w="70" w:type="dxa"/>
              <w:end w:w="80" w:type="dxa"/>
            </w:tcMar>
            <w:shd w:fill="F8F9FA"/>
          </w:tcPr>
          <w:p>
            <w:pPr>
              <w:spacing w:after="0"/>
            </w:pPr>
            <w:r/>
            <w:r>
              <w:rPr>
                <w:rFonts w:ascii="Arial" w:hAnsi="Arial"/>
                <w:b w:val="0"/>
                <w:sz w:val="13"/>
              </w:rPr>
              <w:t>A/R</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08"/>
            <w:vAlign w:val="center"/>
            <w:tcMar>
              <w:top w:w="70" w:type="dxa"/>
              <w:start w:w="80" w:type="dxa"/>
              <w:bottom w:w="70" w:type="dxa"/>
              <w:end w:w="80" w:type="dxa"/>
            </w:tcMar>
            <w:shd w:fill="F8F9FA"/>
          </w:tcPr>
          <w:p>
            <w:pPr>
              <w:spacing w:after="0"/>
            </w:pPr>
            <w:r/>
            <w:r>
              <w:rPr>
                <w:rFonts w:ascii="Arial" w:hAnsi="Arial"/>
                <w:b w:val="0"/>
                <w:sz w:val="13"/>
              </w:rPr>
              <w:t>I</w:t>
            </w:r>
          </w:p>
        </w:tc>
      </w:tr>
      <w:tr>
        <w:tc>
          <w:tcPr>
            <w:tcW w:type="dxa" w:w="2232"/>
            <w:vAlign w:val="center"/>
            <w:tcMar>
              <w:top w:w="70" w:type="dxa"/>
              <w:start w:w="80" w:type="dxa"/>
              <w:bottom w:w="70" w:type="dxa"/>
              <w:end w:w="80" w:type="dxa"/>
            </w:tcMar>
          </w:tcPr>
          <w:p>
            <w:pPr>
              <w:spacing w:after="0"/>
            </w:pPr>
            <w:r/>
            <w:r>
              <w:rPr>
                <w:rFonts w:ascii="Arial" w:hAnsi="Arial"/>
                <w:b w:val="0"/>
                <w:sz w:val="13"/>
              </w:rPr>
              <w:t>Approve access</w:t>
            </w:r>
          </w:p>
        </w:tc>
        <w:tc>
          <w:tcPr>
            <w:tcW w:type="dxa" w:w="1152"/>
            <w:vAlign w:val="center"/>
            <w:tcMar>
              <w:top w:w="70" w:type="dxa"/>
              <w:start w:w="80" w:type="dxa"/>
              <w:bottom w:w="70" w:type="dxa"/>
              <w:end w:w="80" w:type="dxa"/>
            </w:tcMar>
          </w:tcPr>
          <w:p>
            <w:pPr>
              <w:spacing w:after="0"/>
            </w:pPr>
            <w:r/>
            <w:r>
              <w:rPr>
                <w:rFonts w:ascii="Arial" w:hAnsi="Arial"/>
                <w:b w:val="0"/>
                <w:sz w:val="13"/>
              </w:rPr>
              <w:t>A</w:t>
            </w:r>
          </w:p>
        </w:tc>
        <w:tc>
          <w:tcPr>
            <w:tcW w:type="dxa" w:w="1224"/>
            <w:vAlign w:val="center"/>
            <w:tcMar>
              <w:top w:w="70" w:type="dxa"/>
              <w:start w:w="80" w:type="dxa"/>
              <w:bottom w:w="70" w:type="dxa"/>
              <w:end w:w="80" w:type="dxa"/>
            </w:tcMar>
          </w:tcPr>
          <w:p>
            <w:pPr>
              <w:spacing w:after="0"/>
            </w:pPr>
            <w:r/>
            <w:r>
              <w:rPr>
                <w:rFonts w:ascii="Arial" w:hAnsi="Arial"/>
                <w:b w:val="0"/>
                <w:sz w:val="13"/>
              </w:rPr>
              <w:t>R</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1080"/>
            <w:vAlign w:val="center"/>
            <w:tcMar>
              <w:top w:w="70" w:type="dxa"/>
              <w:start w:w="80" w:type="dxa"/>
              <w:bottom w:w="70" w:type="dxa"/>
              <w:end w:w="80" w:type="dxa"/>
            </w:tcMar>
          </w:tcPr>
          <w:p>
            <w:pPr>
              <w:spacing w:after="0"/>
            </w:pPr>
            <w:r/>
            <w:r>
              <w:rPr>
                <w:rFonts w:ascii="Arial" w:hAnsi="Arial"/>
                <w:b w:val="0"/>
                <w:sz w:val="13"/>
              </w:rPr>
              <w:t>I</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936"/>
            <w:vAlign w:val="center"/>
            <w:tcMar>
              <w:top w:w="70" w:type="dxa"/>
              <w:start w:w="80" w:type="dxa"/>
              <w:bottom w:w="70" w:type="dxa"/>
              <w:end w:w="80" w:type="dxa"/>
            </w:tcMar>
          </w:tcPr>
          <w:p>
            <w:pPr>
              <w:spacing w:after="0"/>
            </w:pPr>
            <w:r/>
            <w:r>
              <w:rPr>
                <w:rFonts w:ascii="Arial" w:hAnsi="Arial"/>
                <w:b w:val="0"/>
                <w:sz w:val="13"/>
              </w:rPr>
              <w:t>I</w:t>
            </w:r>
          </w:p>
        </w:tc>
        <w:tc>
          <w:tcPr>
            <w:tcW w:type="dxa" w:w="1008"/>
            <w:vAlign w:val="center"/>
            <w:tcMar>
              <w:top w:w="70" w:type="dxa"/>
              <w:start w:w="80" w:type="dxa"/>
              <w:bottom w:w="70" w:type="dxa"/>
              <w:end w:w="80" w:type="dxa"/>
            </w:tcMar>
          </w:tcPr>
          <w:p>
            <w:pPr>
              <w:spacing w:after="0"/>
            </w:pPr>
            <w:r/>
            <w:r>
              <w:rPr>
                <w:rFonts w:ascii="Arial" w:hAnsi="Arial"/>
                <w:b w:val="0"/>
                <w:sz w:val="13"/>
              </w:rPr>
              <w:t>I</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3"/>
              </w:rPr>
              <w:t>Certify product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w:t>
            </w:r>
          </w:p>
        </w:tc>
        <w:tc>
          <w:tcPr>
            <w:tcW w:type="dxa" w:w="1224"/>
            <w:vAlign w:val="center"/>
            <w:tcMar>
              <w:top w:w="70" w:type="dxa"/>
              <w:start w:w="80" w:type="dxa"/>
              <w:bottom w:w="70" w:type="dxa"/>
              <w:end w:w="80" w:type="dxa"/>
            </w:tcMar>
            <w:shd w:fill="F8F9FA"/>
          </w:tcPr>
          <w:p>
            <w:pPr>
              <w:spacing w:after="0"/>
            </w:pPr>
            <w:r/>
            <w:r>
              <w:rPr>
                <w:rFonts w:ascii="Arial" w:hAnsi="Arial"/>
                <w:b w:val="0"/>
                <w:sz w:val="13"/>
              </w:rPr>
              <w:t>R</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R</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08"/>
            <w:vAlign w:val="center"/>
            <w:tcMar>
              <w:top w:w="70" w:type="dxa"/>
              <w:start w:w="80" w:type="dxa"/>
              <w:bottom w:w="70" w:type="dxa"/>
              <w:end w:w="80" w:type="dxa"/>
            </w:tcMar>
            <w:shd w:fill="F8F9FA"/>
          </w:tcPr>
          <w:p>
            <w:pPr>
              <w:spacing w:after="0"/>
            </w:pPr>
            <w:r/>
            <w:r>
              <w:rPr>
                <w:rFonts w:ascii="Arial" w:hAnsi="Arial"/>
                <w:b w:val="0"/>
                <w:sz w:val="13"/>
              </w:rPr>
              <w:t>I</w:t>
            </w:r>
          </w:p>
        </w:tc>
      </w:tr>
      <w:tr>
        <w:tc>
          <w:tcPr>
            <w:tcW w:type="dxa" w:w="2232"/>
            <w:vAlign w:val="center"/>
            <w:tcMar>
              <w:top w:w="70" w:type="dxa"/>
              <w:start w:w="80" w:type="dxa"/>
              <w:bottom w:w="70" w:type="dxa"/>
              <w:end w:w="80" w:type="dxa"/>
            </w:tcMar>
          </w:tcPr>
          <w:p>
            <w:pPr>
              <w:spacing w:after="0"/>
            </w:pPr>
            <w:r/>
            <w:r>
              <w:rPr>
                <w:rFonts w:ascii="Arial" w:hAnsi="Arial"/>
                <w:b w:val="0"/>
                <w:sz w:val="13"/>
              </w:rPr>
              <w:t>Operate and remediate</w:t>
            </w:r>
          </w:p>
        </w:tc>
        <w:tc>
          <w:tcPr>
            <w:tcW w:type="dxa" w:w="1152"/>
            <w:vAlign w:val="center"/>
            <w:tcMar>
              <w:top w:w="70" w:type="dxa"/>
              <w:start w:w="80" w:type="dxa"/>
              <w:bottom w:w="70" w:type="dxa"/>
              <w:end w:w="80" w:type="dxa"/>
            </w:tcMar>
          </w:tcPr>
          <w:p>
            <w:pPr>
              <w:spacing w:after="0"/>
            </w:pPr>
            <w:r/>
            <w:r>
              <w:rPr>
                <w:rFonts w:ascii="Arial" w:hAnsi="Arial"/>
                <w:b w:val="0"/>
                <w:sz w:val="13"/>
              </w:rPr>
              <w:t>I</w:t>
            </w:r>
          </w:p>
        </w:tc>
        <w:tc>
          <w:tcPr>
            <w:tcW w:type="dxa" w:w="1224"/>
            <w:vAlign w:val="center"/>
            <w:tcMar>
              <w:top w:w="70" w:type="dxa"/>
              <w:start w:w="80" w:type="dxa"/>
              <w:bottom w:w="70" w:type="dxa"/>
              <w:end w:w="80" w:type="dxa"/>
            </w:tcMar>
          </w:tcPr>
          <w:p>
            <w:pPr>
              <w:spacing w:after="0"/>
            </w:pPr>
            <w:r/>
            <w:r>
              <w:rPr>
                <w:rFonts w:ascii="Arial" w:hAnsi="Arial"/>
                <w:b w:val="0"/>
                <w:sz w:val="13"/>
              </w:rPr>
              <w:t>A/R</w:t>
            </w:r>
          </w:p>
        </w:tc>
        <w:tc>
          <w:tcPr>
            <w:tcW w:type="dxa" w:w="1080"/>
            <w:vAlign w:val="center"/>
            <w:tcMar>
              <w:top w:w="70" w:type="dxa"/>
              <w:start w:w="80" w:type="dxa"/>
              <w:bottom w:w="70" w:type="dxa"/>
              <w:end w:w="80" w:type="dxa"/>
            </w:tcMar>
          </w:tcPr>
          <w:p>
            <w:pPr>
              <w:spacing w:after="0"/>
            </w:pPr>
            <w:r/>
            <w:r>
              <w:rPr>
                <w:rFonts w:ascii="Arial" w:hAnsi="Arial"/>
                <w:b w:val="0"/>
                <w:sz w:val="13"/>
              </w:rPr>
              <w:t>R</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936"/>
            <w:vAlign w:val="center"/>
            <w:tcMar>
              <w:top w:w="70" w:type="dxa"/>
              <w:start w:w="80" w:type="dxa"/>
              <w:bottom w:w="70" w:type="dxa"/>
              <w:end w:w="80" w:type="dxa"/>
            </w:tcMar>
          </w:tcPr>
          <w:p>
            <w:pPr>
              <w:spacing w:after="0"/>
            </w:pPr>
            <w:r/>
            <w:r>
              <w:rPr>
                <w:rFonts w:ascii="Arial" w:hAnsi="Arial"/>
                <w:b w:val="0"/>
                <w:sz w:val="13"/>
              </w:rPr>
              <w:t>R</w:t>
            </w:r>
          </w:p>
        </w:tc>
        <w:tc>
          <w:tcPr>
            <w:tcW w:type="dxa" w:w="1008"/>
            <w:vAlign w:val="center"/>
            <w:tcMar>
              <w:top w:w="70" w:type="dxa"/>
              <w:start w:w="80" w:type="dxa"/>
              <w:bottom w:w="70" w:type="dxa"/>
              <w:end w:w="80" w:type="dxa"/>
            </w:tcMar>
          </w:tcPr>
          <w:p>
            <w:pPr>
              <w:spacing w:after="0"/>
            </w:pPr>
            <w:r/>
            <w:r>
              <w:rPr>
                <w:rFonts w:ascii="Arial" w:hAnsi="Arial"/>
                <w:b w:val="0"/>
                <w:sz w:val="13"/>
              </w:rPr>
              <w:t>I</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3"/>
              </w:rPr>
              <w:t>Manage consumer change</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w:t>
            </w:r>
          </w:p>
        </w:tc>
        <w:tc>
          <w:tcPr>
            <w:tcW w:type="dxa" w:w="1224"/>
            <w:vAlign w:val="center"/>
            <w:tcMar>
              <w:top w:w="70" w:type="dxa"/>
              <w:start w:w="80" w:type="dxa"/>
              <w:bottom w:w="70" w:type="dxa"/>
              <w:end w:w="80" w:type="dxa"/>
            </w:tcMar>
            <w:shd w:fill="F8F9FA"/>
          </w:tcPr>
          <w:p>
            <w:pPr>
              <w:spacing w:after="0"/>
            </w:pPr>
            <w:r/>
            <w:r>
              <w:rPr>
                <w:rFonts w:ascii="Arial" w:hAnsi="Arial"/>
                <w:b w:val="0"/>
                <w:sz w:val="13"/>
              </w:rPr>
              <w:t>R</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I</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I</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I</w:t>
            </w:r>
          </w:p>
        </w:tc>
        <w:tc>
          <w:tcPr>
            <w:tcW w:type="dxa" w:w="1008"/>
            <w:vAlign w:val="center"/>
            <w:tcMar>
              <w:top w:w="70" w:type="dxa"/>
              <w:start w:w="80" w:type="dxa"/>
              <w:bottom w:w="70" w:type="dxa"/>
              <w:end w:w="80" w:type="dxa"/>
            </w:tcMar>
            <w:shd w:fill="F8F9FA"/>
          </w:tcPr>
          <w:p>
            <w:pPr>
              <w:spacing w:after="0"/>
            </w:pPr>
            <w:r/>
            <w:r>
              <w:rPr>
                <w:rFonts w:ascii="Arial" w:hAnsi="Arial"/>
                <w:b w:val="0"/>
                <w:sz w:val="13"/>
              </w:rPr>
              <w:t>C</w:t>
            </w:r>
          </w:p>
        </w:tc>
      </w:tr>
      <w:tr>
        <w:tc>
          <w:tcPr>
            <w:tcW w:type="dxa" w:w="2232"/>
            <w:vAlign w:val="center"/>
            <w:tcMar>
              <w:top w:w="70" w:type="dxa"/>
              <w:start w:w="80" w:type="dxa"/>
              <w:bottom w:w="70" w:type="dxa"/>
              <w:end w:w="80" w:type="dxa"/>
            </w:tcMar>
          </w:tcPr>
          <w:p>
            <w:pPr>
              <w:spacing w:after="0"/>
            </w:pPr>
            <w:r/>
            <w:r>
              <w:rPr>
                <w:rFonts w:ascii="Arial" w:hAnsi="Arial"/>
                <w:b w:val="0"/>
                <w:sz w:val="13"/>
              </w:rPr>
              <w:t>Review cost</w:t>
            </w:r>
          </w:p>
        </w:tc>
        <w:tc>
          <w:tcPr>
            <w:tcW w:type="dxa" w:w="1152"/>
            <w:vAlign w:val="center"/>
            <w:tcMar>
              <w:top w:w="70" w:type="dxa"/>
              <w:start w:w="80" w:type="dxa"/>
              <w:bottom w:w="70" w:type="dxa"/>
              <w:end w:w="80" w:type="dxa"/>
            </w:tcMar>
          </w:tcPr>
          <w:p>
            <w:pPr>
              <w:spacing w:after="0"/>
            </w:pPr>
            <w:r/>
            <w:r>
              <w:rPr>
                <w:rFonts w:ascii="Arial" w:hAnsi="Arial"/>
                <w:b w:val="0"/>
                <w:sz w:val="13"/>
              </w:rPr>
              <w:t>A</w:t>
            </w:r>
          </w:p>
        </w:tc>
        <w:tc>
          <w:tcPr>
            <w:tcW w:type="dxa" w:w="1224"/>
            <w:vAlign w:val="center"/>
            <w:tcMar>
              <w:top w:w="70" w:type="dxa"/>
              <w:start w:w="80" w:type="dxa"/>
              <w:bottom w:w="70" w:type="dxa"/>
              <w:end w:w="80" w:type="dxa"/>
            </w:tcMar>
          </w:tcPr>
          <w:p>
            <w:pPr>
              <w:spacing w:after="0"/>
            </w:pPr>
            <w:r/>
            <w:r>
              <w:rPr>
                <w:rFonts w:ascii="Arial" w:hAnsi="Arial"/>
                <w:b w:val="0"/>
                <w:sz w:val="13"/>
              </w:rPr>
              <w:t>R</w:t>
            </w:r>
          </w:p>
        </w:tc>
        <w:tc>
          <w:tcPr>
            <w:tcW w:type="dxa" w:w="1080"/>
            <w:vAlign w:val="center"/>
            <w:tcMar>
              <w:top w:w="70" w:type="dxa"/>
              <w:start w:w="80" w:type="dxa"/>
              <w:bottom w:w="70" w:type="dxa"/>
              <w:end w:w="80" w:type="dxa"/>
            </w:tcMar>
          </w:tcPr>
          <w:p>
            <w:pPr>
              <w:spacing w:after="0"/>
            </w:pPr>
            <w:r/>
            <w:r>
              <w:rPr>
                <w:rFonts w:ascii="Arial" w:hAnsi="Arial"/>
                <w:b w:val="0"/>
                <w:sz w:val="13"/>
              </w:rPr>
              <w:t>I</w:t>
            </w:r>
          </w:p>
        </w:tc>
        <w:tc>
          <w:tcPr>
            <w:tcW w:type="dxa" w:w="1080"/>
            <w:vAlign w:val="center"/>
            <w:tcMar>
              <w:top w:w="70" w:type="dxa"/>
              <w:start w:w="80" w:type="dxa"/>
              <w:bottom w:w="70" w:type="dxa"/>
              <w:end w:w="80" w:type="dxa"/>
            </w:tcMar>
          </w:tcPr>
          <w:p>
            <w:pPr>
              <w:spacing w:after="0"/>
            </w:pPr>
            <w:r/>
            <w:r>
              <w:rPr>
                <w:rFonts w:ascii="Arial" w:hAnsi="Arial"/>
                <w:b w:val="0"/>
                <w:sz w:val="13"/>
              </w:rPr>
              <w:t>C</w:t>
            </w:r>
          </w:p>
        </w:tc>
        <w:tc>
          <w:tcPr>
            <w:tcW w:type="dxa" w:w="1080"/>
            <w:vAlign w:val="center"/>
            <w:tcMar>
              <w:top w:w="70" w:type="dxa"/>
              <w:start w:w="80" w:type="dxa"/>
              <w:bottom w:w="70" w:type="dxa"/>
              <w:end w:w="80" w:type="dxa"/>
            </w:tcMar>
          </w:tcPr>
          <w:p>
            <w:pPr>
              <w:spacing w:after="0"/>
            </w:pPr>
            <w:r/>
            <w:r>
              <w:rPr>
                <w:rFonts w:ascii="Arial" w:hAnsi="Arial"/>
                <w:b w:val="0"/>
                <w:sz w:val="13"/>
              </w:rPr>
              <w:t>I</w:t>
            </w:r>
          </w:p>
        </w:tc>
        <w:tc>
          <w:tcPr>
            <w:tcW w:type="dxa" w:w="936"/>
            <w:vAlign w:val="center"/>
            <w:tcMar>
              <w:top w:w="70" w:type="dxa"/>
              <w:start w:w="80" w:type="dxa"/>
              <w:bottom w:w="70" w:type="dxa"/>
              <w:end w:w="80" w:type="dxa"/>
            </w:tcMar>
          </w:tcPr>
          <w:p>
            <w:pPr>
              <w:spacing w:after="0"/>
            </w:pPr>
            <w:r/>
            <w:r>
              <w:rPr>
                <w:rFonts w:ascii="Arial" w:hAnsi="Arial"/>
                <w:b w:val="0"/>
                <w:sz w:val="13"/>
              </w:rPr>
              <w:t>C</w:t>
            </w:r>
          </w:p>
        </w:tc>
        <w:tc>
          <w:tcPr>
            <w:tcW w:type="dxa" w:w="1008"/>
            <w:vAlign w:val="center"/>
            <w:tcMar>
              <w:top w:w="70" w:type="dxa"/>
              <w:start w:w="80" w:type="dxa"/>
              <w:bottom w:w="70" w:type="dxa"/>
              <w:end w:w="80" w:type="dxa"/>
            </w:tcMar>
          </w:tcPr>
          <w:p>
            <w:pPr>
              <w:spacing w:after="0"/>
            </w:pPr>
            <w:r/>
            <w:r>
              <w:rPr>
                <w:rFonts w:ascii="Arial" w:hAnsi="Arial"/>
                <w:b w:val="0"/>
                <w:sz w:val="13"/>
              </w:rPr>
              <w:t>I</w:t>
            </w:r>
          </w:p>
        </w:tc>
      </w:tr>
      <w:tr>
        <w:tc>
          <w:tcPr>
            <w:tcW w:type="dxa" w:w="2232"/>
            <w:vAlign w:val="center"/>
            <w:tcMar>
              <w:top w:w="70" w:type="dxa"/>
              <w:start w:w="80" w:type="dxa"/>
              <w:bottom w:w="70" w:type="dxa"/>
              <w:end w:w="80" w:type="dxa"/>
            </w:tcMar>
            <w:shd w:fill="F8F9FA"/>
          </w:tcPr>
          <w:p>
            <w:pPr>
              <w:spacing w:after="0"/>
            </w:pPr>
            <w:r/>
            <w:r>
              <w:rPr>
                <w:rFonts w:ascii="Arial" w:hAnsi="Arial"/>
                <w:b w:val="0"/>
                <w:sz w:val="13"/>
              </w:rPr>
              <w:t>Deprecate product</w:t>
            </w:r>
          </w:p>
        </w:tc>
        <w:tc>
          <w:tcPr>
            <w:tcW w:type="dxa" w:w="1152"/>
            <w:vAlign w:val="center"/>
            <w:tcMar>
              <w:top w:w="70" w:type="dxa"/>
              <w:start w:w="80" w:type="dxa"/>
              <w:bottom w:w="70" w:type="dxa"/>
              <w:end w:w="80" w:type="dxa"/>
            </w:tcMar>
            <w:shd w:fill="F8F9FA"/>
          </w:tcPr>
          <w:p>
            <w:pPr>
              <w:spacing w:after="0"/>
            </w:pPr>
            <w:r/>
            <w:r>
              <w:rPr>
                <w:rFonts w:ascii="Arial" w:hAnsi="Arial"/>
                <w:b w:val="0"/>
                <w:sz w:val="13"/>
              </w:rPr>
              <w:t>A</w:t>
            </w:r>
          </w:p>
        </w:tc>
        <w:tc>
          <w:tcPr>
            <w:tcW w:type="dxa" w:w="1224"/>
            <w:vAlign w:val="center"/>
            <w:tcMar>
              <w:top w:w="70" w:type="dxa"/>
              <w:start w:w="80" w:type="dxa"/>
              <w:bottom w:w="70" w:type="dxa"/>
              <w:end w:w="80" w:type="dxa"/>
            </w:tcMar>
            <w:shd w:fill="F8F9FA"/>
          </w:tcPr>
          <w:p>
            <w:pPr>
              <w:spacing w:after="0"/>
            </w:pPr>
            <w:r/>
            <w:r>
              <w:rPr>
                <w:rFonts w:ascii="Arial" w:hAnsi="Arial"/>
                <w:b w:val="0"/>
                <w:sz w:val="13"/>
              </w:rPr>
              <w:t>R</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80"/>
            <w:vAlign w:val="center"/>
            <w:tcMar>
              <w:top w:w="70" w:type="dxa"/>
              <w:start w:w="80" w:type="dxa"/>
              <w:bottom w:w="70" w:type="dxa"/>
              <w:end w:w="80" w:type="dxa"/>
            </w:tcMar>
            <w:shd w:fill="F8F9FA"/>
          </w:tcPr>
          <w:p>
            <w:pPr>
              <w:spacing w:after="0"/>
            </w:pPr>
            <w:r/>
            <w:r>
              <w:rPr>
                <w:rFonts w:ascii="Arial" w:hAnsi="Arial"/>
                <w:b w:val="0"/>
                <w:sz w:val="13"/>
              </w:rPr>
              <w:t>C</w:t>
            </w:r>
          </w:p>
        </w:tc>
        <w:tc>
          <w:tcPr>
            <w:tcW w:type="dxa" w:w="936"/>
            <w:vAlign w:val="center"/>
            <w:tcMar>
              <w:top w:w="70" w:type="dxa"/>
              <w:start w:w="80" w:type="dxa"/>
              <w:bottom w:w="70" w:type="dxa"/>
              <w:end w:w="80" w:type="dxa"/>
            </w:tcMar>
            <w:shd w:fill="F8F9FA"/>
          </w:tcPr>
          <w:p>
            <w:pPr>
              <w:spacing w:after="0"/>
            </w:pPr>
            <w:r/>
            <w:r>
              <w:rPr>
                <w:rFonts w:ascii="Arial" w:hAnsi="Arial"/>
                <w:b w:val="0"/>
                <w:sz w:val="13"/>
              </w:rPr>
              <w:t>C</w:t>
            </w:r>
          </w:p>
        </w:tc>
        <w:tc>
          <w:tcPr>
            <w:tcW w:type="dxa" w:w="1008"/>
            <w:vAlign w:val="center"/>
            <w:tcMar>
              <w:top w:w="70" w:type="dxa"/>
              <w:start w:w="80" w:type="dxa"/>
              <w:bottom w:w="70" w:type="dxa"/>
              <w:end w:w="80" w:type="dxa"/>
            </w:tcMar>
            <w:shd w:fill="F8F9FA"/>
          </w:tcPr>
          <w:p>
            <w:pPr>
              <w:spacing w:after="0"/>
            </w:pPr>
            <w:r/>
            <w:r>
              <w:rPr>
                <w:rFonts w:ascii="Arial" w:hAnsi="Arial"/>
                <w:b w:val="0"/>
                <w:sz w:val="13"/>
              </w:rPr>
              <w:t>C</w:t>
            </w:r>
          </w:p>
        </w:tc>
      </w:tr>
    </w:tbl>
    <w:p>
      <w:pPr>
        <w:spacing w:after="20"/>
      </w:pPr>
    </w:p>
    <w:p>
      <w:pPr>
        <w:pStyle w:val="Heading2"/>
      </w:pPr>
      <w:r>
        <w:t>13.4 Support Model</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Support layer</w:t>
            </w:r>
          </w:p>
        </w:tc>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Scope</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Hours</w:t>
            </w:r>
          </w:p>
        </w:tc>
        <w:tc>
          <w:tcPr>
            <w:tcW w:type="dxa" w:w="3384"/>
            <w:vAlign w:val="center"/>
            <w:tcMar>
              <w:top w:w="70" w:type="dxa"/>
              <w:start w:w="80" w:type="dxa"/>
              <w:bottom w:w="70" w:type="dxa"/>
              <w:end w:w="80" w:type="dxa"/>
            </w:tcMar>
            <w:shd w:fill="1A73E8"/>
          </w:tcPr>
          <w:p>
            <w:pPr>
              <w:spacing w:after="0"/>
            </w:pPr>
            <w:r/>
            <w:r>
              <w:rPr>
                <w:rFonts w:ascii="Arial" w:hAnsi="Arial"/>
                <w:b/>
                <w:color w:val="FFFFFF"/>
                <w:sz w:val="16"/>
              </w:rPr>
              <w:t>Responsibilities</w:t>
            </w:r>
          </w:p>
        </w:tc>
        <w:tc>
          <w:tcPr>
            <w:tcW w:type="dxa" w:w="1296"/>
            <w:vAlign w:val="center"/>
            <w:tcMar>
              <w:top w:w="70" w:type="dxa"/>
              <w:start w:w="80" w:type="dxa"/>
              <w:bottom w:w="70" w:type="dxa"/>
              <w:end w:w="80" w:type="dxa"/>
            </w:tcMar>
            <w:shd w:fill="1A73E8"/>
          </w:tcPr>
          <w:p>
            <w:pPr>
              <w:spacing w:after="0"/>
            </w:pPr>
            <w:r/>
            <w:r>
              <w:rPr>
                <w:rFonts w:ascii="Arial" w:hAnsi="Arial"/>
                <w:b/>
                <w:color w:val="FFFFFF"/>
                <w:sz w:val="16"/>
              </w:rPr>
              <w:t>Handoff condition</w:t>
            </w:r>
          </w:p>
        </w:tc>
      </w:tr>
      <w:tr>
        <w:tc>
          <w:tcPr>
            <w:tcW w:type="dxa" w:w="1584"/>
            <w:vAlign w:val="center"/>
            <w:tcMar>
              <w:top w:w="70" w:type="dxa"/>
              <w:start w:w="80" w:type="dxa"/>
              <w:bottom w:w="70" w:type="dxa"/>
              <w:end w:w="80" w:type="dxa"/>
            </w:tcMar>
          </w:tcPr>
          <w:p>
            <w:pPr>
              <w:spacing w:after="0"/>
            </w:pPr>
            <w:r/>
            <w:r>
              <w:rPr>
                <w:rFonts w:ascii="Arial" w:hAnsi="Arial"/>
                <w:b w:val="0"/>
                <w:sz w:val="14"/>
              </w:rPr>
              <w:t>L0 — Automation</w:t>
            </w:r>
          </w:p>
        </w:tc>
        <w:tc>
          <w:tcPr>
            <w:tcW w:type="dxa" w:w="2088"/>
            <w:vAlign w:val="center"/>
            <w:tcMar>
              <w:top w:w="70" w:type="dxa"/>
              <w:start w:w="80" w:type="dxa"/>
              <w:bottom w:w="70" w:type="dxa"/>
              <w:end w:w="80" w:type="dxa"/>
            </w:tcMar>
          </w:tcPr>
          <w:p>
            <w:pPr>
              <w:spacing w:after="0"/>
            </w:pPr>
            <w:r/>
            <w:r>
              <w:rPr>
                <w:rFonts w:ascii="Arial" w:hAnsi="Arial"/>
                <w:b w:val="0"/>
                <w:sz w:val="14"/>
              </w:rPr>
              <w:t>Automated retries, self-healing, policy and runbook actions.</w:t>
            </w:r>
          </w:p>
        </w:tc>
        <w:tc>
          <w:tcPr>
            <w:tcW w:type="dxa" w:w="1728"/>
            <w:vAlign w:val="center"/>
            <w:tcMar>
              <w:top w:w="70" w:type="dxa"/>
              <w:start w:w="80" w:type="dxa"/>
              <w:bottom w:w="70" w:type="dxa"/>
              <w:end w:w="80" w:type="dxa"/>
            </w:tcMar>
          </w:tcPr>
          <w:p>
            <w:pPr>
              <w:spacing w:after="0"/>
            </w:pPr>
            <w:r/>
            <w:r>
              <w:rPr>
                <w:rFonts w:ascii="Arial" w:hAnsi="Arial"/>
                <w:b w:val="0"/>
                <w:sz w:val="14"/>
              </w:rPr>
              <w:t>Continuous</w:t>
            </w:r>
          </w:p>
        </w:tc>
        <w:tc>
          <w:tcPr>
            <w:tcW w:type="dxa" w:w="3384"/>
            <w:vAlign w:val="center"/>
            <w:tcMar>
              <w:top w:w="70" w:type="dxa"/>
              <w:start w:w="80" w:type="dxa"/>
              <w:bottom w:w="70" w:type="dxa"/>
              <w:end w:w="80" w:type="dxa"/>
            </w:tcMar>
          </w:tcPr>
          <w:p>
            <w:pPr>
              <w:spacing w:after="0"/>
            </w:pPr>
            <w:r/>
            <w:r>
              <w:rPr>
                <w:rFonts w:ascii="Arial" w:hAnsi="Arial"/>
                <w:b w:val="0"/>
                <w:sz w:val="14"/>
              </w:rPr>
              <w:t>Recover known transient failures and gather diagnostics.</w:t>
            </w:r>
          </w:p>
        </w:tc>
        <w:tc>
          <w:tcPr>
            <w:tcW w:type="dxa" w:w="1296"/>
            <w:vAlign w:val="center"/>
            <w:tcMar>
              <w:top w:w="70" w:type="dxa"/>
              <w:start w:w="80" w:type="dxa"/>
              <w:bottom w:w="70" w:type="dxa"/>
              <w:end w:w="80" w:type="dxa"/>
            </w:tcMar>
          </w:tcPr>
          <w:p>
            <w:pPr>
              <w:spacing w:after="0"/>
            </w:pPr>
            <w:r/>
            <w:r>
              <w:rPr>
                <w:rFonts w:ascii="Arial" w:hAnsi="Arial"/>
                <w:b w:val="0"/>
                <w:sz w:val="14"/>
              </w:rPr>
              <w:t>Action fails or exceeds time/attempt threshold.</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L1 — Operations</w:t>
            </w:r>
          </w:p>
        </w:tc>
        <w:tc>
          <w:tcPr>
            <w:tcW w:type="dxa" w:w="2088"/>
            <w:vAlign w:val="center"/>
            <w:tcMar>
              <w:top w:w="70" w:type="dxa"/>
              <w:start w:w="80" w:type="dxa"/>
              <w:bottom w:w="70" w:type="dxa"/>
              <w:end w:w="80" w:type="dxa"/>
            </w:tcMar>
            <w:shd w:fill="F8F9FA"/>
          </w:tcPr>
          <w:p>
            <w:pPr>
              <w:spacing w:after="0"/>
            </w:pPr>
            <w:r/>
            <w:r>
              <w:rPr>
                <w:rFonts w:ascii="Arial" w:hAnsi="Arial"/>
                <w:b w:val="0"/>
                <w:sz w:val="14"/>
              </w:rPr>
              <w:t>Monitoring, triage and standard procedures.</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24×7 for Tier 0/1; business hours for lower tiers</w:t>
            </w:r>
          </w:p>
        </w:tc>
        <w:tc>
          <w:tcPr>
            <w:tcW w:type="dxa" w:w="3384"/>
            <w:vAlign w:val="center"/>
            <w:tcMar>
              <w:top w:w="70" w:type="dxa"/>
              <w:start w:w="80" w:type="dxa"/>
              <w:bottom w:w="70" w:type="dxa"/>
              <w:end w:w="80" w:type="dxa"/>
            </w:tcMar>
            <w:shd w:fill="F8F9FA"/>
          </w:tcPr>
          <w:p>
            <w:pPr>
              <w:spacing w:after="0"/>
            </w:pPr>
            <w:r/>
            <w:r>
              <w:rPr>
                <w:rFonts w:ascii="Arial" w:hAnsi="Arial"/>
                <w:b w:val="0"/>
                <w:sz w:val="14"/>
              </w:rPr>
              <w:t>Acknowledge, classify, execute runbook and communicate.</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Product or platform expertise required.</w:t>
            </w:r>
          </w:p>
        </w:tc>
      </w:tr>
      <w:tr>
        <w:tc>
          <w:tcPr>
            <w:tcW w:type="dxa" w:w="1584"/>
            <w:vAlign w:val="center"/>
            <w:tcMar>
              <w:top w:w="70" w:type="dxa"/>
              <w:start w:w="80" w:type="dxa"/>
              <w:bottom w:w="70" w:type="dxa"/>
              <w:end w:w="80" w:type="dxa"/>
            </w:tcMar>
          </w:tcPr>
          <w:p>
            <w:pPr>
              <w:spacing w:after="0"/>
            </w:pPr>
            <w:r/>
            <w:r>
              <w:rPr>
                <w:rFonts w:ascii="Arial" w:hAnsi="Arial"/>
                <w:b w:val="0"/>
                <w:sz w:val="14"/>
              </w:rPr>
              <w:t>L2 — Product/Platform Engineering</w:t>
            </w:r>
          </w:p>
        </w:tc>
        <w:tc>
          <w:tcPr>
            <w:tcW w:type="dxa" w:w="2088"/>
            <w:vAlign w:val="center"/>
            <w:tcMar>
              <w:top w:w="70" w:type="dxa"/>
              <w:start w:w="80" w:type="dxa"/>
              <w:bottom w:w="70" w:type="dxa"/>
              <w:end w:w="80" w:type="dxa"/>
            </w:tcMar>
          </w:tcPr>
          <w:p>
            <w:pPr>
              <w:spacing w:after="0"/>
            </w:pPr>
            <w:r/>
            <w:r>
              <w:rPr>
                <w:rFonts w:ascii="Arial" w:hAnsi="Arial"/>
                <w:b w:val="0"/>
                <w:sz w:val="14"/>
              </w:rPr>
              <w:t>Pipeline, data, service and configuration diagnosis.</w:t>
            </w:r>
          </w:p>
        </w:tc>
        <w:tc>
          <w:tcPr>
            <w:tcW w:type="dxa" w:w="1728"/>
            <w:vAlign w:val="center"/>
            <w:tcMar>
              <w:top w:w="70" w:type="dxa"/>
              <w:start w:w="80" w:type="dxa"/>
              <w:bottom w:w="70" w:type="dxa"/>
              <w:end w:w="80" w:type="dxa"/>
            </w:tcMar>
          </w:tcPr>
          <w:p>
            <w:pPr>
              <w:spacing w:after="0"/>
            </w:pPr>
            <w:r/>
            <w:r>
              <w:rPr>
                <w:rFonts w:ascii="Arial" w:hAnsi="Arial"/>
                <w:b w:val="0"/>
                <w:sz w:val="14"/>
              </w:rPr>
              <w:t>On-call by tier</w:t>
            </w:r>
          </w:p>
        </w:tc>
        <w:tc>
          <w:tcPr>
            <w:tcW w:type="dxa" w:w="3384"/>
            <w:vAlign w:val="center"/>
            <w:tcMar>
              <w:top w:w="70" w:type="dxa"/>
              <w:start w:w="80" w:type="dxa"/>
              <w:bottom w:w="70" w:type="dxa"/>
              <w:end w:w="80" w:type="dxa"/>
            </w:tcMar>
          </w:tcPr>
          <w:p>
            <w:pPr>
              <w:spacing w:after="0"/>
            </w:pPr>
            <w:r/>
            <w:r>
              <w:rPr>
                <w:rFonts w:ascii="Arial" w:hAnsi="Arial"/>
                <w:b w:val="0"/>
                <w:sz w:val="14"/>
              </w:rPr>
              <w:t>Restore service, correct data, manage dependencies and implement safe fix.</w:t>
            </w:r>
          </w:p>
        </w:tc>
        <w:tc>
          <w:tcPr>
            <w:tcW w:type="dxa" w:w="1296"/>
            <w:vAlign w:val="center"/>
            <w:tcMar>
              <w:top w:w="70" w:type="dxa"/>
              <w:start w:w="80" w:type="dxa"/>
              <w:bottom w:w="70" w:type="dxa"/>
              <w:end w:w="80" w:type="dxa"/>
            </w:tcMar>
          </w:tcPr>
          <w:p>
            <w:pPr>
              <w:spacing w:after="0"/>
            </w:pPr>
            <w:r/>
            <w:r>
              <w:rPr>
                <w:rFonts w:ascii="Arial" w:hAnsi="Arial"/>
                <w:b w:val="0"/>
                <w:sz w:val="14"/>
              </w:rPr>
              <w:t>Vendor or architectural defect suspected.</w:t>
            </w:r>
          </w:p>
        </w:tc>
      </w:tr>
      <w:tr>
        <w:tc>
          <w:tcPr>
            <w:tcW w:type="dxa" w:w="1584"/>
            <w:vAlign w:val="center"/>
            <w:tcMar>
              <w:top w:w="70" w:type="dxa"/>
              <w:start w:w="80" w:type="dxa"/>
              <w:bottom w:w="70" w:type="dxa"/>
              <w:end w:w="80" w:type="dxa"/>
            </w:tcMar>
            <w:shd w:fill="F8F9FA"/>
          </w:tcPr>
          <w:p>
            <w:pPr>
              <w:spacing w:after="0"/>
            </w:pPr>
            <w:r/>
            <w:r>
              <w:rPr>
                <w:rFonts w:ascii="Arial" w:hAnsi="Arial"/>
                <w:b w:val="0"/>
                <w:sz w:val="14"/>
              </w:rPr>
              <w:t>L3 — Specialist/Vendor</w:t>
            </w:r>
          </w:p>
        </w:tc>
        <w:tc>
          <w:tcPr>
            <w:tcW w:type="dxa" w:w="2088"/>
            <w:vAlign w:val="center"/>
            <w:tcMar>
              <w:top w:w="70" w:type="dxa"/>
              <w:start w:w="80" w:type="dxa"/>
              <w:bottom w:w="70" w:type="dxa"/>
              <w:end w:w="80" w:type="dxa"/>
            </w:tcMar>
            <w:shd w:fill="F8F9FA"/>
          </w:tcPr>
          <w:p>
            <w:pPr>
              <w:spacing w:after="0"/>
            </w:pPr>
            <w:r/>
            <w:r>
              <w:rPr>
                <w:rFonts w:ascii="Arial" w:hAnsi="Arial"/>
                <w:b w:val="0"/>
                <w:sz w:val="14"/>
              </w:rPr>
              <w:t>Google Cloud support, security, network, database or product specialist.</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Contractual</w:t>
            </w:r>
          </w:p>
        </w:tc>
        <w:tc>
          <w:tcPr>
            <w:tcW w:type="dxa" w:w="3384"/>
            <w:vAlign w:val="center"/>
            <w:tcMar>
              <w:top w:w="70" w:type="dxa"/>
              <w:start w:w="80" w:type="dxa"/>
              <w:bottom w:w="70" w:type="dxa"/>
              <w:end w:w="80" w:type="dxa"/>
            </w:tcMar>
            <w:shd w:fill="F8F9FA"/>
          </w:tcPr>
          <w:p>
            <w:pPr>
              <w:spacing w:after="0"/>
            </w:pPr>
            <w:r/>
            <w:r>
              <w:rPr>
                <w:rFonts w:ascii="Arial" w:hAnsi="Arial"/>
                <w:b w:val="0"/>
                <w:sz w:val="14"/>
              </w:rPr>
              <w:t>Advanced diagnostics, product defect or critical design support.</w:t>
            </w:r>
          </w:p>
        </w:tc>
        <w:tc>
          <w:tcPr>
            <w:tcW w:type="dxa" w:w="1296"/>
            <w:vAlign w:val="center"/>
            <w:tcMar>
              <w:top w:w="70" w:type="dxa"/>
              <w:start w:w="80" w:type="dxa"/>
              <w:bottom w:w="70" w:type="dxa"/>
              <w:end w:w="80" w:type="dxa"/>
            </w:tcMar>
            <w:shd w:fill="F8F9FA"/>
          </w:tcPr>
          <w:p>
            <w:pPr>
              <w:spacing w:after="0"/>
            </w:pPr>
            <w:r/>
            <w:r>
              <w:rPr>
                <w:rFonts w:ascii="Arial" w:hAnsi="Arial"/>
                <w:b w:val="0"/>
                <w:sz w:val="14"/>
              </w:rPr>
              <w:t>Resolution or workaround available.</w:t>
            </w:r>
          </w:p>
        </w:tc>
      </w:tr>
      <w:tr>
        <w:tc>
          <w:tcPr>
            <w:tcW w:type="dxa" w:w="1584"/>
            <w:vAlign w:val="center"/>
            <w:tcMar>
              <w:top w:w="70" w:type="dxa"/>
              <w:start w:w="80" w:type="dxa"/>
              <w:bottom w:w="70" w:type="dxa"/>
              <w:end w:w="80" w:type="dxa"/>
            </w:tcMar>
          </w:tcPr>
          <w:p>
            <w:pPr>
              <w:spacing w:after="0"/>
            </w:pPr>
            <w:r/>
            <w:r>
              <w:rPr>
                <w:rFonts w:ascii="Arial" w:hAnsi="Arial"/>
                <w:b w:val="0"/>
                <w:sz w:val="14"/>
              </w:rPr>
              <w:t>Problem Management</w:t>
            </w:r>
          </w:p>
        </w:tc>
        <w:tc>
          <w:tcPr>
            <w:tcW w:type="dxa" w:w="2088"/>
            <w:vAlign w:val="center"/>
            <w:tcMar>
              <w:top w:w="70" w:type="dxa"/>
              <w:start w:w="80" w:type="dxa"/>
              <w:bottom w:w="70" w:type="dxa"/>
              <w:end w:w="80" w:type="dxa"/>
            </w:tcMar>
          </w:tcPr>
          <w:p>
            <w:pPr>
              <w:spacing w:after="0"/>
            </w:pPr>
            <w:r/>
            <w:r>
              <w:rPr>
                <w:rFonts w:ascii="Arial" w:hAnsi="Arial"/>
                <w:b w:val="0"/>
                <w:sz w:val="14"/>
              </w:rPr>
              <w:t>Recurring incident and structural risk elimination.</w:t>
            </w:r>
          </w:p>
        </w:tc>
        <w:tc>
          <w:tcPr>
            <w:tcW w:type="dxa" w:w="1728"/>
            <w:vAlign w:val="center"/>
            <w:tcMar>
              <w:top w:w="70" w:type="dxa"/>
              <w:start w:w="80" w:type="dxa"/>
              <w:bottom w:w="70" w:type="dxa"/>
              <w:end w:w="80" w:type="dxa"/>
            </w:tcMar>
          </w:tcPr>
          <w:p>
            <w:pPr>
              <w:spacing w:after="0"/>
            </w:pPr>
            <w:r/>
            <w:r>
              <w:rPr>
                <w:rFonts w:ascii="Arial" w:hAnsi="Arial"/>
                <w:b w:val="0"/>
                <w:sz w:val="14"/>
              </w:rPr>
              <w:t>Business cadence</w:t>
            </w:r>
          </w:p>
        </w:tc>
        <w:tc>
          <w:tcPr>
            <w:tcW w:type="dxa" w:w="3384"/>
            <w:vAlign w:val="center"/>
            <w:tcMar>
              <w:top w:w="70" w:type="dxa"/>
              <w:start w:w="80" w:type="dxa"/>
              <w:bottom w:w="70" w:type="dxa"/>
              <w:end w:w="80" w:type="dxa"/>
            </w:tcMar>
          </w:tcPr>
          <w:p>
            <w:pPr>
              <w:spacing w:after="0"/>
            </w:pPr>
            <w:r/>
            <w:r>
              <w:rPr>
                <w:rFonts w:ascii="Arial" w:hAnsi="Arial"/>
                <w:b w:val="0"/>
                <w:sz w:val="14"/>
              </w:rPr>
              <w:t>Root cause, trends, backlog and risk acceptance.</w:t>
            </w:r>
          </w:p>
        </w:tc>
        <w:tc>
          <w:tcPr>
            <w:tcW w:type="dxa" w:w="1296"/>
            <w:vAlign w:val="center"/>
            <w:tcMar>
              <w:top w:w="70" w:type="dxa"/>
              <w:start w:w="80" w:type="dxa"/>
              <w:bottom w:w="70" w:type="dxa"/>
              <w:end w:w="80" w:type="dxa"/>
            </w:tcMar>
          </w:tcPr>
          <w:p>
            <w:pPr>
              <w:spacing w:after="0"/>
            </w:pPr>
            <w:r/>
            <w:r>
              <w:rPr>
                <w:rFonts w:ascii="Arial" w:hAnsi="Arial"/>
                <w:b w:val="0"/>
                <w:sz w:val="14"/>
              </w:rPr>
              <w:t>Corrective action closed and verified.</w:t>
            </w:r>
          </w:p>
        </w:tc>
      </w:tr>
    </w:tbl>
    <w:p>
      <w:pPr>
        <w:spacing w:after="20"/>
      </w:pPr>
    </w:p>
    <w:p>
      <w:pPr>
        <w:pStyle w:val="Heading2"/>
      </w:pPr>
      <w:r>
        <w:t>13.5 Product Lifecycle</w:t>
      </w:r>
    </w:p>
    <w:p>
      <w:pPr>
        <w:pStyle w:val="ListNumber"/>
        <w:spacing w:after="40"/>
      </w:pPr>
      <w:r>
        <w:t>Discover: identify consumer problem, owner, source authority, classification, expected value and service tier.</w:t>
      </w:r>
    </w:p>
    <w:p>
      <w:pPr>
        <w:pStyle w:val="ListNumber"/>
        <w:spacing w:after="40"/>
      </w:pPr>
      <w:r>
        <w:t>Design: define contract, interface, quality, SLO, region, security, cost model, failure modes and lifecycle.</w:t>
      </w:r>
    </w:p>
    <w:p>
      <w:pPr>
        <w:pStyle w:val="ListNumber"/>
        <w:spacing w:after="40"/>
      </w:pPr>
      <w:r>
        <w:t>Build: use approved modules and templates, create automated tests and register metadata.</w:t>
      </w:r>
    </w:p>
    <w:p>
      <w:pPr>
        <w:pStyle w:val="ListNumber"/>
        <w:spacing w:after="40"/>
      </w:pPr>
      <w:r>
        <w:t>Assure: complete architecture, security, privacy, governance, performance, cost and operational reviews.</w:t>
      </w:r>
    </w:p>
    <w:p>
      <w:pPr>
        <w:pStyle w:val="ListNumber"/>
        <w:spacing w:after="40"/>
      </w:pPr>
      <w:r>
        <w:t>Launch: migrate consumers, publish support information and begin SLO, adoption and cost measurement.</w:t>
      </w:r>
    </w:p>
    <w:p>
      <w:pPr>
        <w:pStyle w:val="ListNumber"/>
        <w:spacing w:after="40"/>
      </w:pPr>
      <w:r>
        <w:t>Operate: review quality, freshness, incidents, consumers, changes, cost and technical debt.</w:t>
      </w:r>
    </w:p>
    <w:p>
      <w:pPr>
        <w:pStyle w:val="ListNumber"/>
        <w:spacing w:after="40"/>
      </w:pPr>
      <w:r>
        <w:t>Evolve: version interfaces, communicate changes and preserve compatibility or provide migration.</w:t>
      </w:r>
    </w:p>
    <w:p>
      <w:pPr>
        <w:pStyle w:val="ListNumber"/>
        <w:spacing w:after="40"/>
      </w:pPr>
      <w:r>
        <w:t>Deprecate: notify consumers, restrict new use, archive required evidence and remove resources after approval.</w:t>
      </w:r>
    </w:p>
    <w:p>
      <w:pPr>
        <w:pStyle w:val="Heading2"/>
      </w:pPr>
      <w:r>
        <w:t>13.6 Architecture Exception Lifecycle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vAlign w:val="center"/>
            <w:tcMar>
              <w:top w:w="70" w:type="dxa"/>
              <w:start w:w="80" w:type="dxa"/>
              <w:bottom w:w="70" w:type="dxa"/>
              <w:end w:w="80" w:type="dxa"/>
            </w:tcMar>
            <w:shd w:fill="1A73E8"/>
          </w:tcPr>
          <w:p>
            <w:pPr>
              <w:spacing w:after="0"/>
            </w:pPr>
            <w:r/>
            <w:r>
              <w:rPr>
                <w:rFonts w:ascii="Arial" w:hAnsi="Arial"/>
                <w:b/>
                <w:color w:val="FFFFFF"/>
                <w:sz w:val="16"/>
              </w:rPr>
              <w:t>Stage</w:t>
            </w:r>
          </w:p>
        </w:tc>
        <w:tc>
          <w:tcPr>
            <w:tcW w:type="dxa" w:w="5256"/>
            <w:vAlign w:val="center"/>
            <w:tcMar>
              <w:top w:w="70" w:type="dxa"/>
              <w:start w:w="80" w:type="dxa"/>
              <w:bottom w:w="70" w:type="dxa"/>
              <w:end w:w="80" w:type="dxa"/>
            </w:tcMar>
            <w:shd w:fill="1A73E8"/>
          </w:tcPr>
          <w:p>
            <w:pPr>
              <w:spacing w:after="0"/>
            </w:pPr>
            <w:r/>
            <w:r>
              <w:rPr>
                <w:rFonts w:ascii="Arial" w:hAnsi="Arial"/>
                <w:b/>
                <w:color w:val="FFFFFF"/>
                <w:sz w:val="16"/>
              </w:rPr>
              <w:t>Required action</w:t>
            </w:r>
          </w:p>
        </w:tc>
        <w:tc>
          <w:tcPr>
            <w:tcW w:type="dxa" w:w="3384"/>
            <w:vAlign w:val="center"/>
            <w:tcMar>
              <w:top w:w="70" w:type="dxa"/>
              <w:start w:w="80" w:type="dxa"/>
              <w:bottom w:w="70" w:type="dxa"/>
              <w:end w:w="80" w:type="dxa"/>
            </w:tcMar>
            <w:shd w:fill="1A73E8"/>
          </w:tcPr>
          <w:p>
            <w:pPr>
              <w:spacing w:after="0"/>
            </w:pPr>
            <w:r/>
            <w:r>
              <w:rPr>
                <w:rFonts w:ascii="Arial" w:hAnsi="Arial"/>
                <w:b/>
                <w:color w:val="FFFFFF"/>
                <w:sz w:val="16"/>
              </w:rPr>
              <w:t>Evidence</w:t>
            </w:r>
          </w:p>
        </w:tc>
      </w:tr>
      <w:tr>
        <w:tc>
          <w:tcPr>
            <w:tcW w:type="dxa" w:w="1440"/>
            <w:vAlign w:val="center"/>
            <w:tcMar>
              <w:top w:w="70" w:type="dxa"/>
              <w:start w:w="80" w:type="dxa"/>
              <w:bottom w:w="70" w:type="dxa"/>
              <w:end w:w="80" w:type="dxa"/>
            </w:tcMar>
          </w:tcPr>
          <w:p>
            <w:pPr>
              <w:spacing w:after="0"/>
            </w:pPr>
            <w:r/>
            <w:r>
              <w:rPr>
                <w:rFonts w:ascii="Arial" w:hAnsi="Arial"/>
                <w:b w:val="0"/>
                <w:sz w:val="15"/>
              </w:rPr>
              <w:t>Request</w:t>
            </w:r>
          </w:p>
        </w:tc>
        <w:tc>
          <w:tcPr>
            <w:tcW w:type="dxa" w:w="5256"/>
            <w:vAlign w:val="center"/>
            <w:tcMar>
              <w:top w:w="70" w:type="dxa"/>
              <w:start w:w="80" w:type="dxa"/>
              <w:bottom w:w="70" w:type="dxa"/>
              <w:end w:w="80" w:type="dxa"/>
            </w:tcMar>
          </w:tcPr>
          <w:p>
            <w:pPr>
              <w:spacing w:after="0"/>
            </w:pPr>
            <w:r/>
            <w:r>
              <w:rPr>
                <w:rFonts w:ascii="Arial" w:hAnsi="Arial"/>
                <w:b w:val="0"/>
                <w:sz w:val="15"/>
              </w:rPr>
              <w:t>State unmet requirement, selected alternative, owner and duration.</w:t>
            </w:r>
          </w:p>
        </w:tc>
        <w:tc>
          <w:tcPr>
            <w:tcW w:type="dxa" w:w="3384"/>
            <w:vAlign w:val="center"/>
            <w:tcMar>
              <w:top w:w="70" w:type="dxa"/>
              <w:start w:w="80" w:type="dxa"/>
              <w:bottom w:w="70" w:type="dxa"/>
              <w:end w:w="80" w:type="dxa"/>
            </w:tcMar>
          </w:tcPr>
          <w:p>
            <w:pPr>
              <w:spacing w:after="0"/>
            </w:pPr>
            <w:r/>
            <w:r>
              <w:rPr>
                <w:rFonts w:ascii="Arial" w:hAnsi="Arial"/>
                <w:b w:val="0"/>
                <w:sz w:val="15"/>
              </w:rPr>
              <w:t>Exception request linked to design and ADR.</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5"/>
              </w:rPr>
              <w:t>Assess</w:t>
            </w:r>
          </w:p>
        </w:tc>
        <w:tc>
          <w:tcPr>
            <w:tcW w:type="dxa" w:w="5256"/>
            <w:vAlign w:val="center"/>
            <w:tcMar>
              <w:top w:w="70" w:type="dxa"/>
              <w:start w:w="80" w:type="dxa"/>
              <w:bottom w:w="70" w:type="dxa"/>
              <w:end w:w="80" w:type="dxa"/>
            </w:tcMar>
            <w:shd w:fill="F8F9FA"/>
          </w:tcPr>
          <w:p>
            <w:pPr>
              <w:spacing w:after="0"/>
            </w:pPr>
            <w:r/>
            <w:r>
              <w:rPr>
                <w:rFonts w:ascii="Arial" w:hAnsi="Arial"/>
                <w:b w:val="0"/>
                <w:sz w:val="15"/>
              </w:rPr>
              <w:t>Evaluate security, reliability, interoperability, cost and operational impact.</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Risk assessment and compensating controls.</w:t>
            </w:r>
          </w:p>
        </w:tc>
      </w:tr>
      <w:tr>
        <w:tc>
          <w:tcPr>
            <w:tcW w:type="dxa" w:w="1440"/>
            <w:vAlign w:val="center"/>
            <w:tcMar>
              <w:top w:w="70" w:type="dxa"/>
              <w:start w:w="80" w:type="dxa"/>
              <w:bottom w:w="70" w:type="dxa"/>
              <w:end w:w="80" w:type="dxa"/>
            </w:tcMar>
          </w:tcPr>
          <w:p>
            <w:pPr>
              <w:spacing w:after="0"/>
            </w:pPr>
            <w:r/>
            <w:r>
              <w:rPr>
                <w:rFonts w:ascii="Arial" w:hAnsi="Arial"/>
                <w:b w:val="0"/>
                <w:sz w:val="15"/>
              </w:rPr>
              <w:t>Decide</w:t>
            </w:r>
          </w:p>
        </w:tc>
        <w:tc>
          <w:tcPr>
            <w:tcW w:type="dxa" w:w="5256"/>
            <w:vAlign w:val="center"/>
            <w:tcMar>
              <w:top w:w="70" w:type="dxa"/>
              <w:start w:w="80" w:type="dxa"/>
              <w:bottom w:w="70" w:type="dxa"/>
              <w:end w:w="80" w:type="dxa"/>
            </w:tcMar>
          </w:tcPr>
          <w:p>
            <w:pPr>
              <w:spacing w:after="0"/>
            </w:pPr>
            <w:r/>
            <w:r>
              <w:rPr>
                <w:rFonts w:ascii="Arial" w:hAnsi="Arial"/>
                <w:b w:val="0"/>
                <w:sz w:val="15"/>
              </w:rPr>
              <w:t>Approve, conditionally approve or reject at the correct authority.</w:t>
            </w:r>
          </w:p>
        </w:tc>
        <w:tc>
          <w:tcPr>
            <w:tcW w:type="dxa" w:w="3384"/>
            <w:vAlign w:val="center"/>
            <w:tcMar>
              <w:top w:w="70" w:type="dxa"/>
              <w:start w:w="80" w:type="dxa"/>
              <w:bottom w:w="70" w:type="dxa"/>
              <w:end w:w="80" w:type="dxa"/>
            </w:tcMar>
          </w:tcPr>
          <w:p>
            <w:pPr>
              <w:spacing w:after="0"/>
            </w:pPr>
            <w:r/>
            <w:r>
              <w:rPr>
                <w:rFonts w:ascii="Arial" w:hAnsi="Arial"/>
                <w:b w:val="0"/>
                <w:sz w:val="15"/>
              </w:rPr>
              <w:t>Recorded decision and expiry.</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5"/>
              </w:rPr>
              <w:t>Implement</w:t>
            </w:r>
          </w:p>
        </w:tc>
        <w:tc>
          <w:tcPr>
            <w:tcW w:type="dxa" w:w="5256"/>
            <w:vAlign w:val="center"/>
            <w:tcMar>
              <w:top w:w="70" w:type="dxa"/>
              <w:start w:w="80" w:type="dxa"/>
              <w:bottom w:w="70" w:type="dxa"/>
              <w:end w:w="80" w:type="dxa"/>
            </w:tcMar>
            <w:shd w:fill="F8F9FA"/>
          </w:tcPr>
          <w:p>
            <w:pPr>
              <w:spacing w:after="0"/>
            </w:pPr>
            <w:r/>
            <w:r>
              <w:rPr>
                <w:rFonts w:ascii="Arial" w:hAnsi="Arial"/>
                <w:b w:val="0"/>
                <w:sz w:val="15"/>
              </w:rPr>
              <w:t>Apply controls, monitoring and isolation.</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Test evidence and asset inventory.</w:t>
            </w:r>
          </w:p>
        </w:tc>
      </w:tr>
      <w:tr>
        <w:tc>
          <w:tcPr>
            <w:tcW w:type="dxa" w:w="1440"/>
            <w:vAlign w:val="center"/>
            <w:tcMar>
              <w:top w:w="70" w:type="dxa"/>
              <w:start w:w="80" w:type="dxa"/>
              <w:bottom w:w="70" w:type="dxa"/>
              <w:end w:w="80" w:type="dxa"/>
            </w:tcMar>
          </w:tcPr>
          <w:p>
            <w:pPr>
              <w:spacing w:after="0"/>
            </w:pPr>
            <w:r/>
            <w:r>
              <w:rPr>
                <w:rFonts w:ascii="Arial" w:hAnsi="Arial"/>
                <w:b w:val="0"/>
                <w:sz w:val="15"/>
              </w:rPr>
              <w:t>Review</w:t>
            </w:r>
          </w:p>
        </w:tc>
        <w:tc>
          <w:tcPr>
            <w:tcW w:type="dxa" w:w="5256"/>
            <w:vAlign w:val="center"/>
            <w:tcMar>
              <w:top w:w="70" w:type="dxa"/>
              <w:start w:w="80" w:type="dxa"/>
              <w:bottom w:w="70" w:type="dxa"/>
              <w:end w:w="80" w:type="dxa"/>
            </w:tcMar>
          </w:tcPr>
          <w:p>
            <w:pPr>
              <w:spacing w:after="0"/>
            </w:pPr>
            <w:r/>
            <w:r>
              <w:rPr>
                <w:rFonts w:ascii="Arial" w:hAnsi="Arial"/>
                <w:b w:val="0"/>
                <w:sz w:val="15"/>
              </w:rPr>
              <w:t>Reassess before expiry or after triggering change.</w:t>
            </w:r>
          </w:p>
        </w:tc>
        <w:tc>
          <w:tcPr>
            <w:tcW w:type="dxa" w:w="3384"/>
            <w:vAlign w:val="center"/>
            <w:tcMar>
              <w:top w:w="70" w:type="dxa"/>
              <w:start w:w="80" w:type="dxa"/>
              <w:bottom w:w="70" w:type="dxa"/>
              <w:end w:w="80" w:type="dxa"/>
            </w:tcMar>
          </w:tcPr>
          <w:p>
            <w:pPr>
              <w:spacing w:after="0"/>
            </w:pPr>
            <w:r/>
            <w:r>
              <w:rPr>
                <w:rFonts w:ascii="Arial" w:hAnsi="Arial"/>
                <w:b w:val="0"/>
                <w:sz w:val="15"/>
              </w:rPr>
              <w:t>Updated risk and remediation status.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5"/>
              </w:rPr>
              <w:t>Close</w:t>
            </w:r>
          </w:p>
        </w:tc>
        <w:tc>
          <w:tcPr>
            <w:tcW w:type="dxa" w:w="5256"/>
            <w:vAlign w:val="center"/>
            <w:tcMar>
              <w:top w:w="70" w:type="dxa"/>
              <w:start w:w="80" w:type="dxa"/>
              <w:bottom w:w="70" w:type="dxa"/>
              <w:end w:w="80" w:type="dxa"/>
            </w:tcMar>
            <w:shd w:fill="F8F9FA"/>
          </w:tcPr>
          <w:p>
            <w:pPr>
              <w:spacing w:after="0"/>
            </w:pPr>
            <w:r/>
            <w:r>
              <w:rPr>
                <w:rFonts w:ascii="Arial" w:hAnsi="Arial"/>
                <w:b w:val="0"/>
                <w:sz w:val="15"/>
              </w:rPr>
              <w:t>Return to standard, adopt alternative as strategic, or retire capability.</w:t>
            </w:r>
          </w:p>
        </w:tc>
        <w:tc>
          <w:tcPr>
            <w:tcW w:type="dxa" w:w="3384"/>
            <w:vAlign w:val="center"/>
            <w:tcMar>
              <w:top w:w="70" w:type="dxa"/>
              <w:start w:w="80" w:type="dxa"/>
              <w:bottom w:w="70" w:type="dxa"/>
              <w:end w:w="80" w:type="dxa"/>
            </w:tcMar>
            <w:shd w:fill="F8F9FA"/>
          </w:tcPr>
          <w:p>
            <w:pPr>
              <w:spacing w:after="0"/>
            </w:pPr>
            <w:r/>
            <w:r>
              <w:rPr>
                <w:rFonts w:ascii="Arial" w:hAnsi="Arial"/>
                <w:b w:val="0"/>
                <w:sz w:val="15"/>
              </w:rPr>
              <w:t>Closure evidence and catalog update.</w:t>
            </w:r>
          </w:p>
        </w:tc>
      </w:tr>
    </w:tbl>
    <w:p>
      <w:pPr>
        <w:spacing w:after="20"/>
      </w:pPr>
    </w:p>
    <w:p>
      <w:r>
        <w:br w:type="page"/>
      </w:r>
    </w:p>
    <w:p>
      <w:pPr>
        <w:pStyle w:val="Heading1"/>
      </w:pPr>
      <w:r>
        <w:t>14. Enterprise Architecture Risk Register</w:t>
      </w:r>
    </w:p>
    <w:p>
      <w:pPr>
        <w:pStyle w:val="Lead"/>
      </w:pPr>
      <w:r>
        <w:t>The risk register focuses on risks introduced or materially affected by the reference architecture and transformation. Program risks are reviewed monthly; high and critical risks are escalated to executive governance.</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Risk ownership; Early indicators; Mitigation; Residual-risk decisions.</w:t>
            </w:r>
          </w:p>
        </w:tc>
      </w:tr>
    </w:tbl>
    <w:p>
      <w:pPr>
        <w:spacing w:after="20"/>
      </w:pPr>
    </w:p>
    <w:tbl>
      <w:tblPr>
        <w:tblStyle w:val="TableGrid"/>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792"/>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008"/>
            <w:vAlign w:val="center"/>
            <w:tcMar>
              <w:top w:w="70" w:type="dxa"/>
              <w:start w:w="80" w:type="dxa"/>
              <w:bottom w:w="70" w:type="dxa"/>
              <w:end w:w="80" w:type="dxa"/>
            </w:tcMar>
            <w:shd w:fill="1A73E8"/>
          </w:tcPr>
          <w:p>
            <w:pPr>
              <w:spacing w:after="0"/>
            </w:pPr>
            <w:r/>
            <w:r>
              <w:rPr>
                <w:rFonts w:ascii="Arial" w:hAnsi="Arial"/>
                <w:b/>
                <w:color w:val="FFFFFF"/>
                <w:sz w:val="16"/>
              </w:rPr>
              <w:t>Category</w:t>
            </w:r>
          </w:p>
        </w:tc>
        <w:tc>
          <w:tcPr>
            <w:tcW w:type="dxa" w:w="2376"/>
            <w:vAlign w:val="center"/>
            <w:tcMar>
              <w:top w:w="70" w:type="dxa"/>
              <w:start w:w="80" w:type="dxa"/>
              <w:bottom w:w="70" w:type="dxa"/>
              <w:end w:w="80" w:type="dxa"/>
            </w:tcMar>
            <w:shd w:fill="1A73E8"/>
          </w:tcPr>
          <w:p>
            <w:pPr>
              <w:spacing w:after="0"/>
            </w:pPr>
            <w:r/>
            <w:r>
              <w:rPr>
                <w:rFonts w:ascii="Arial" w:hAnsi="Arial"/>
                <w:b/>
                <w:color w:val="FFFFFF"/>
                <w:sz w:val="16"/>
              </w:rPr>
              <w:t>Risk</w:t>
            </w:r>
          </w:p>
        </w:tc>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Probability</w:t>
            </w:r>
          </w:p>
        </w:tc>
        <w:tc>
          <w:tcPr>
            <w:tcW w:type="dxa" w:w="792"/>
            <w:vAlign w:val="center"/>
            <w:tcMar>
              <w:top w:w="70" w:type="dxa"/>
              <w:start w:w="80" w:type="dxa"/>
              <w:bottom w:w="70" w:type="dxa"/>
              <w:end w:w="80" w:type="dxa"/>
            </w:tcMar>
            <w:shd w:fill="1A73E8"/>
          </w:tcPr>
          <w:p>
            <w:pPr>
              <w:spacing w:after="0"/>
            </w:pPr>
            <w:r/>
            <w:r>
              <w:rPr>
                <w:rFonts w:ascii="Arial" w:hAnsi="Arial"/>
                <w:b/>
                <w:color w:val="FFFFFF"/>
                <w:sz w:val="16"/>
              </w:rPr>
              <w:t>Impact</w:t>
            </w:r>
          </w:p>
        </w:tc>
        <w:tc>
          <w:tcPr>
            <w:tcW w:type="dxa" w:w="792"/>
            <w:vAlign w:val="center"/>
            <w:tcMar>
              <w:top w:w="70" w:type="dxa"/>
              <w:start w:w="80" w:type="dxa"/>
              <w:bottom w:w="70" w:type="dxa"/>
              <w:end w:w="80" w:type="dxa"/>
            </w:tcMar>
            <w:shd w:fill="1A73E8"/>
          </w:tcPr>
          <w:p>
            <w:pPr>
              <w:spacing w:after="0"/>
            </w:pPr>
            <w:r/>
            <w:r>
              <w:rPr>
                <w:rFonts w:ascii="Arial" w:hAnsi="Arial"/>
                <w:b/>
                <w:color w:val="FFFFFF"/>
                <w:sz w:val="16"/>
              </w:rPr>
              <w:t>Rating</w:t>
            </w:r>
          </w:p>
        </w:tc>
        <w:tc>
          <w:tcPr>
            <w:tcW w:type="dxa" w:w="1872"/>
            <w:vAlign w:val="center"/>
            <w:tcMar>
              <w:top w:w="70" w:type="dxa"/>
              <w:start w:w="80" w:type="dxa"/>
              <w:bottom w:w="70" w:type="dxa"/>
              <w:end w:w="80" w:type="dxa"/>
            </w:tcMar>
            <w:shd w:fill="1A73E8"/>
          </w:tcPr>
          <w:p>
            <w:pPr>
              <w:spacing w:after="0"/>
            </w:pPr>
            <w:r/>
            <w:r>
              <w:rPr>
                <w:rFonts w:ascii="Arial" w:hAnsi="Arial"/>
                <w:b/>
                <w:color w:val="FFFFFF"/>
                <w:sz w:val="16"/>
              </w:rPr>
              <w:t>Early indicator</w:t>
            </w:r>
          </w:p>
        </w:tc>
        <w:tc>
          <w:tcPr>
            <w:tcW w:type="dxa" w:w="2520"/>
            <w:vAlign w:val="center"/>
            <w:tcMar>
              <w:top w:w="70" w:type="dxa"/>
              <w:start w:w="80" w:type="dxa"/>
              <w:bottom w:w="70" w:type="dxa"/>
              <w:end w:w="80" w:type="dxa"/>
            </w:tcMar>
            <w:shd w:fill="1A73E8"/>
          </w:tcPr>
          <w:p>
            <w:pPr>
              <w:spacing w:after="0"/>
            </w:pPr>
            <w:r/>
            <w:r>
              <w:rPr>
                <w:rFonts w:ascii="Arial" w:hAnsi="Arial"/>
                <w:b/>
                <w:color w:val="FFFFFF"/>
                <w:sz w:val="16"/>
              </w:rPr>
              <w:t>Mitigation</w:t>
            </w:r>
          </w:p>
        </w:tc>
        <w:tc>
          <w:tcPr>
            <w:tcW w:type="dxa" w:w="1008"/>
            <w:vAlign w:val="center"/>
            <w:tcMar>
              <w:top w:w="70" w:type="dxa"/>
              <w:start w:w="80" w:type="dxa"/>
              <w:bottom w:w="70" w:type="dxa"/>
              <w:end w:w="80" w:type="dxa"/>
            </w:tcMar>
            <w:shd w:fill="1A73E8"/>
          </w:tcPr>
          <w:p>
            <w:pPr>
              <w:spacing w:after="0"/>
            </w:pPr>
            <w:r/>
            <w:r>
              <w:rPr>
                <w:rFonts w:ascii="Arial" w:hAnsi="Arial"/>
                <w:b/>
                <w:color w:val="FFFFFF"/>
                <w:sz w:val="16"/>
              </w:rPr>
              <w:t>Owner</w:t>
            </w:r>
          </w:p>
        </w:tc>
      </w:tr>
      <w:tr>
        <w:tc>
          <w:tcPr>
            <w:tcW w:type="dxa" w:w="792"/>
            <w:vAlign w:val="center"/>
            <w:tcMar>
              <w:top w:w="70" w:type="dxa"/>
              <w:start w:w="80" w:type="dxa"/>
              <w:bottom w:w="70" w:type="dxa"/>
              <w:end w:w="80" w:type="dxa"/>
            </w:tcMar>
          </w:tcPr>
          <w:p>
            <w:pPr>
              <w:spacing w:after="0"/>
            </w:pPr>
            <w:r/>
            <w:r>
              <w:rPr>
                <w:rFonts w:ascii="Arial" w:hAnsi="Arial"/>
                <w:b w:val="0"/>
                <w:sz w:val="11"/>
              </w:rPr>
              <w:t>R-001</w:t>
            </w:r>
          </w:p>
        </w:tc>
        <w:tc>
          <w:tcPr>
            <w:tcW w:type="dxa" w:w="1008"/>
            <w:vAlign w:val="center"/>
            <w:tcMar>
              <w:top w:w="70" w:type="dxa"/>
              <w:start w:w="80" w:type="dxa"/>
              <w:bottom w:w="70" w:type="dxa"/>
              <w:end w:w="80" w:type="dxa"/>
            </w:tcMar>
          </w:tcPr>
          <w:p>
            <w:pPr>
              <w:spacing w:after="0"/>
            </w:pPr>
            <w:r/>
            <w:r>
              <w:rPr>
                <w:rFonts w:ascii="Arial" w:hAnsi="Arial"/>
                <w:b w:val="0"/>
                <w:sz w:val="11"/>
              </w:rPr>
              <w:t>Ownership</w:t>
            </w:r>
          </w:p>
        </w:tc>
        <w:tc>
          <w:tcPr>
            <w:tcW w:type="dxa" w:w="2376"/>
            <w:vAlign w:val="center"/>
            <w:tcMar>
              <w:top w:w="70" w:type="dxa"/>
              <w:start w:w="80" w:type="dxa"/>
              <w:bottom w:w="70" w:type="dxa"/>
              <w:end w:w="80" w:type="dxa"/>
            </w:tcMar>
          </w:tcPr>
          <w:p>
            <w:pPr>
              <w:spacing w:after="0"/>
            </w:pPr>
            <w:r/>
            <w:r>
              <w:rPr>
                <w:rFonts w:ascii="Arial" w:hAnsi="Arial"/>
                <w:b w:val="0"/>
                <w:sz w:val="11"/>
              </w:rPr>
              <w:t>Domains do not fund or perform product ownership, quality and support.</w:t>
            </w:r>
          </w:p>
        </w:tc>
        <w:tc>
          <w:tcPr>
            <w:tcW w:type="dxa" w:w="936"/>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Critical</w:t>
            </w:r>
          </w:p>
        </w:tc>
        <w:tc>
          <w:tcPr>
            <w:tcW w:type="dxa" w:w="1872"/>
            <w:vAlign w:val="center"/>
            <w:tcMar>
              <w:top w:w="70" w:type="dxa"/>
              <w:start w:w="80" w:type="dxa"/>
              <w:bottom w:w="70" w:type="dxa"/>
              <w:end w:w="80" w:type="dxa"/>
            </w:tcMar>
          </w:tcPr>
          <w:p>
            <w:pPr>
              <w:spacing w:after="0"/>
            </w:pPr>
            <w:r/>
            <w:r>
              <w:rPr>
                <w:rFonts w:ascii="Arial" w:hAnsi="Arial"/>
                <w:b w:val="0"/>
                <w:sz w:val="11"/>
              </w:rPr>
              <w:t>Unowned assets, unresolved quality issues, central backlog growth.</w:t>
            </w:r>
          </w:p>
        </w:tc>
        <w:tc>
          <w:tcPr>
            <w:tcW w:type="dxa" w:w="2520"/>
            <w:vAlign w:val="center"/>
            <w:tcMar>
              <w:top w:w="70" w:type="dxa"/>
              <w:start w:w="80" w:type="dxa"/>
              <w:bottom w:w="70" w:type="dxa"/>
              <w:end w:w="80" w:type="dxa"/>
            </w:tcMar>
          </w:tcPr>
          <w:p>
            <w:pPr>
              <w:spacing w:after="0"/>
            </w:pPr>
            <w:r/>
            <w:r>
              <w:rPr>
                <w:rFonts w:ascii="Arial" w:hAnsi="Arial"/>
                <w:b w:val="0"/>
                <w:sz w:val="11"/>
              </w:rPr>
              <w:t>Executive accountability, product funding, RACI and certification gate.</w:t>
            </w:r>
          </w:p>
        </w:tc>
        <w:tc>
          <w:tcPr>
            <w:tcW w:type="dxa" w:w="1008"/>
            <w:vAlign w:val="center"/>
            <w:tcMar>
              <w:top w:w="70" w:type="dxa"/>
              <w:start w:w="80" w:type="dxa"/>
              <w:bottom w:w="70" w:type="dxa"/>
              <w:end w:w="80" w:type="dxa"/>
            </w:tcMar>
          </w:tcPr>
          <w:p>
            <w:pPr>
              <w:spacing w:after="0"/>
            </w:pPr>
            <w:r/>
            <w:r>
              <w:rPr>
                <w:rFonts w:ascii="Arial" w:hAnsi="Arial"/>
                <w:b w:val="0"/>
                <w:sz w:val="11"/>
              </w:rPr>
              <w:t>CDO/Business Executives</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R-002</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Cost</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Cloud consumption grows faster than business value or legacy cost retirement.</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Medium</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Budget variance, scan growth, dual-run duration and idle resources.</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Showback, budgets, reservations, lifecycle, unit economics and retirement gates.</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FinOps/CFO</w:t>
            </w:r>
          </w:p>
        </w:tc>
      </w:tr>
      <w:tr>
        <w:tc>
          <w:tcPr>
            <w:tcW w:type="dxa" w:w="792"/>
            <w:vAlign w:val="center"/>
            <w:tcMar>
              <w:top w:w="70" w:type="dxa"/>
              <w:start w:w="80" w:type="dxa"/>
              <w:bottom w:w="70" w:type="dxa"/>
              <w:end w:w="80" w:type="dxa"/>
            </w:tcMar>
          </w:tcPr>
          <w:p>
            <w:pPr>
              <w:spacing w:after="0"/>
            </w:pPr>
            <w:r/>
            <w:r>
              <w:rPr>
                <w:rFonts w:ascii="Arial" w:hAnsi="Arial"/>
                <w:b w:val="0"/>
                <w:sz w:val="11"/>
              </w:rPr>
              <w:t>R-003</w:t>
            </w:r>
          </w:p>
        </w:tc>
        <w:tc>
          <w:tcPr>
            <w:tcW w:type="dxa" w:w="1008"/>
            <w:vAlign w:val="center"/>
            <w:tcMar>
              <w:top w:w="70" w:type="dxa"/>
              <w:start w:w="80" w:type="dxa"/>
              <w:bottom w:w="70" w:type="dxa"/>
              <w:end w:w="80" w:type="dxa"/>
            </w:tcMar>
          </w:tcPr>
          <w:p>
            <w:pPr>
              <w:spacing w:after="0"/>
            </w:pPr>
            <w:r/>
            <w:r>
              <w:rPr>
                <w:rFonts w:ascii="Arial" w:hAnsi="Arial"/>
                <w:b w:val="0"/>
                <w:sz w:val="11"/>
              </w:rPr>
              <w:t>Security</w:t>
            </w:r>
          </w:p>
        </w:tc>
        <w:tc>
          <w:tcPr>
            <w:tcW w:type="dxa" w:w="2376"/>
            <w:vAlign w:val="center"/>
            <w:tcMar>
              <w:top w:w="70" w:type="dxa"/>
              <w:start w:w="80" w:type="dxa"/>
              <w:bottom w:w="70" w:type="dxa"/>
              <w:end w:w="80" w:type="dxa"/>
            </w:tcMar>
          </w:tcPr>
          <w:p>
            <w:pPr>
              <w:spacing w:after="0"/>
            </w:pPr>
            <w:r/>
            <w:r>
              <w:rPr>
                <w:rFonts w:ascii="Arial" w:hAnsi="Arial"/>
                <w:b w:val="0"/>
                <w:sz w:val="11"/>
              </w:rPr>
              <w:t>Restricted data is exposed through misconfigured access, export, AI or service integration.</w:t>
            </w:r>
          </w:p>
        </w:tc>
        <w:tc>
          <w:tcPr>
            <w:tcW w:type="dxa" w:w="936"/>
            <w:vAlign w:val="center"/>
            <w:tcMar>
              <w:top w:w="70" w:type="dxa"/>
              <w:start w:w="80" w:type="dxa"/>
              <w:bottom w:w="70" w:type="dxa"/>
              <w:end w:w="80" w:type="dxa"/>
            </w:tcMar>
          </w:tcPr>
          <w:p>
            <w:pPr>
              <w:spacing w:after="0"/>
            </w:pPr>
            <w:r/>
            <w:r>
              <w:rPr>
                <w:rFonts w:ascii="Arial" w:hAnsi="Arial"/>
                <w:b w:val="0"/>
                <w:sz w:val="11"/>
              </w:rPr>
              <w:t>Medium</w:t>
            </w:r>
          </w:p>
        </w:tc>
        <w:tc>
          <w:tcPr>
            <w:tcW w:type="dxa" w:w="792"/>
            <w:vAlign w:val="center"/>
            <w:tcMar>
              <w:top w:w="70" w:type="dxa"/>
              <w:start w:w="80" w:type="dxa"/>
              <w:bottom w:w="70" w:type="dxa"/>
              <w:end w:w="80" w:type="dxa"/>
            </w:tcMar>
          </w:tcPr>
          <w:p>
            <w:pPr>
              <w:spacing w:after="0"/>
            </w:pPr>
            <w:r/>
            <w:r>
              <w:rPr>
                <w:rFonts w:ascii="Arial" w:hAnsi="Arial"/>
                <w:b w:val="0"/>
                <w:sz w:val="11"/>
              </w:rPr>
              <w:t>Critical</w:t>
            </w:r>
          </w:p>
        </w:tc>
        <w:tc>
          <w:tcPr>
            <w:tcW w:type="dxa" w:w="792"/>
            <w:vAlign w:val="center"/>
            <w:tcMar>
              <w:top w:w="70" w:type="dxa"/>
              <w:start w:w="80" w:type="dxa"/>
              <w:bottom w:w="70" w:type="dxa"/>
              <w:end w:w="80" w:type="dxa"/>
            </w:tcMar>
          </w:tcPr>
          <w:p>
            <w:pPr>
              <w:spacing w:after="0"/>
            </w:pPr>
            <w:r/>
            <w:r>
              <w:rPr>
                <w:rFonts w:ascii="Arial" w:hAnsi="Arial"/>
                <w:b w:val="0"/>
                <w:sz w:val="11"/>
              </w:rPr>
              <w:t>Critical</w:t>
            </w:r>
          </w:p>
        </w:tc>
        <w:tc>
          <w:tcPr>
            <w:tcW w:type="dxa" w:w="1872"/>
            <w:vAlign w:val="center"/>
            <w:tcMar>
              <w:top w:w="70" w:type="dxa"/>
              <w:start w:w="80" w:type="dxa"/>
              <w:bottom w:w="70" w:type="dxa"/>
              <w:end w:w="80" w:type="dxa"/>
            </w:tcMar>
          </w:tcPr>
          <w:p>
            <w:pPr>
              <w:spacing w:after="0"/>
            </w:pPr>
            <w:r/>
            <w:r>
              <w:rPr>
                <w:rFonts w:ascii="Arial" w:hAnsi="Arial"/>
                <w:b w:val="0"/>
                <w:sz w:val="11"/>
              </w:rPr>
              <w:t>Unexpected principals, egress, sensitive-data findings and unmanaged extracts.</w:t>
            </w:r>
          </w:p>
        </w:tc>
        <w:tc>
          <w:tcPr>
            <w:tcW w:type="dxa" w:w="2520"/>
            <w:vAlign w:val="center"/>
            <w:tcMar>
              <w:top w:w="70" w:type="dxa"/>
              <w:start w:w="80" w:type="dxa"/>
              <w:bottom w:w="70" w:type="dxa"/>
              <w:end w:w="80" w:type="dxa"/>
            </w:tcMar>
          </w:tcPr>
          <w:p>
            <w:pPr>
              <w:spacing w:after="0"/>
            </w:pPr>
            <w:r/>
            <w:r>
              <w:rPr>
                <w:rFonts w:ascii="Arial" w:hAnsi="Arial"/>
                <w:b w:val="0"/>
                <w:sz w:val="11"/>
              </w:rPr>
              <w:t>Classification, least privilege, VPC SC, DLP, audit, AI controls and incident response.</w:t>
            </w:r>
          </w:p>
        </w:tc>
        <w:tc>
          <w:tcPr>
            <w:tcW w:type="dxa" w:w="1008"/>
            <w:vAlign w:val="center"/>
            <w:tcMar>
              <w:top w:w="70" w:type="dxa"/>
              <w:start w:w="80" w:type="dxa"/>
              <w:bottom w:w="70" w:type="dxa"/>
              <w:end w:w="80" w:type="dxa"/>
            </w:tcMar>
          </w:tcPr>
          <w:p>
            <w:pPr>
              <w:spacing w:after="0"/>
            </w:pPr>
            <w:r/>
            <w:r>
              <w:rPr>
                <w:rFonts w:ascii="Arial" w:hAnsi="Arial"/>
                <w:b w:val="0"/>
                <w:sz w:val="11"/>
              </w:rPr>
              <w:t>CISO</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R-004</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Residency</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Data is processed or replicated outside an approved geography.</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Low/Medium</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Critical</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Cross-region transfer, resource-location drift or unapproved SaaS integration.</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Residency policy, regional projects, transfer approvals and continuous scans.</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Privacy/Legal</w:t>
            </w:r>
          </w:p>
        </w:tc>
      </w:tr>
      <w:tr>
        <w:tc>
          <w:tcPr>
            <w:tcW w:type="dxa" w:w="792"/>
            <w:vAlign w:val="center"/>
            <w:tcMar>
              <w:top w:w="70" w:type="dxa"/>
              <w:start w:w="80" w:type="dxa"/>
              <w:bottom w:w="70" w:type="dxa"/>
              <w:end w:w="80" w:type="dxa"/>
            </w:tcMar>
          </w:tcPr>
          <w:p>
            <w:pPr>
              <w:spacing w:after="0"/>
            </w:pPr>
            <w:r/>
            <w:r>
              <w:rPr>
                <w:rFonts w:ascii="Arial" w:hAnsi="Arial"/>
                <w:b w:val="0"/>
                <w:sz w:val="11"/>
              </w:rPr>
              <w:t>R-005</w:t>
            </w:r>
          </w:p>
        </w:tc>
        <w:tc>
          <w:tcPr>
            <w:tcW w:type="dxa" w:w="1008"/>
            <w:vAlign w:val="center"/>
            <w:tcMar>
              <w:top w:w="70" w:type="dxa"/>
              <w:start w:w="80" w:type="dxa"/>
              <w:bottom w:w="70" w:type="dxa"/>
              <w:end w:w="80" w:type="dxa"/>
            </w:tcMar>
          </w:tcPr>
          <w:p>
            <w:pPr>
              <w:spacing w:after="0"/>
            </w:pPr>
            <w:r/>
            <w:r>
              <w:rPr>
                <w:rFonts w:ascii="Arial" w:hAnsi="Arial"/>
                <w:b w:val="0"/>
                <w:sz w:val="11"/>
              </w:rPr>
              <w:t>Reliability</w:t>
            </w:r>
          </w:p>
        </w:tc>
        <w:tc>
          <w:tcPr>
            <w:tcW w:type="dxa" w:w="2376"/>
            <w:vAlign w:val="center"/>
            <w:tcMar>
              <w:top w:w="70" w:type="dxa"/>
              <w:start w:w="80" w:type="dxa"/>
              <w:bottom w:w="70" w:type="dxa"/>
              <w:end w:w="80" w:type="dxa"/>
            </w:tcMar>
          </w:tcPr>
          <w:p>
            <w:pPr>
              <w:spacing w:after="0"/>
            </w:pPr>
            <w:r/>
            <w:r>
              <w:rPr>
                <w:rFonts w:ascii="Arial" w:hAnsi="Arial"/>
                <w:b w:val="0"/>
                <w:sz w:val="11"/>
              </w:rPr>
              <w:t>Managed-service dependencies and recovery assumptions do not meet product targets.</w:t>
            </w:r>
          </w:p>
        </w:tc>
        <w:tc>
          <w:tcPr>
            <w:tcW w:type="dxa" w:w="936"/>
            <w:vAlign w:val="center"/>
            <w:tcMar>
              <w:top w:w="70" w:type="dxa"/>
              <w:start w:w="80" w:type="dxa"/>
              <w:bottom w:w="70" w:type="dxa"/>
              <w:end w:w="80" w:type="dxa"/>
            </w:tcMar>
          </w:tcPr>
          <w:p>
            <w:pPr>
              <w:spacing w:after="0"/>
            </w:pPr>
            <w:r/>
            <w:r>
              <w:rPr>
                <w:rFonts w:ascii="Arial" w:hAnsi="Arial"/>
                <w:b w:val="0"/>
                <w:sz w:val="11"/>
              </w:rPr>
              <w:t>Medium</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1872"/>
            <w:vAlign w:val="center"/>
            <w:tcMar>
              <w:top w:w="70" w:type="dxa"/>
              <w:start w:w="80" w:type="dxa"/>
              <w:bottom w:w="70" w:type="dxa"/>
              <w:end w:w="80" w:type="dxa"/>
            </w:tcMar>
          </w:tcPr>
          <w:p>
            <w:pPr>
              <w:spacing w:after="0"/>
            </w:pPr>
            <w:r/>
            <w:r>
              <w:rPr>
                <w:rFonts w:ascii="Arial" w:hAnsi="Arial"/>
                <w:b w:val="0"/>
                <w:sz w:val="11"/>
              </w:rPr>
              <w:t>Missed SLO, untested runbook, quota saturation or region dependency.</w:t>
            </w:r>
          </w:p>
        </w:tc>
        <w:tc>
          <w:tcPr>
            <w:tcW w:type="dxa" w:w="2520"/>
            <w:vAlign w:val="center"/>
            <w:tcMar>
              <w:top w:w="70" w:type="dxa"/>
              <w:start w:w="80" w:type="dxa"/>
              <w:bottom w:w="70" w:type="dxa"/>
              <w:end w:w="80" w:type="dxa"/>
            </w:tcMar>
          </w:tcPr>
          <w:p>
            <w:pPr>
              <w:spacing w:after="0"/>
            </w:pPr>
            <w:r/>
            <w:r>
              <w:rPr>
                <w:rFonts w:ascii="Arial" w:hAnsi="Arial"/>
                <w:b w:val="0"/>
                <w:sz w:val="11"/>
              </w:rPr>
              <w:t>Tiered design, dependency objectives, load tests and recovery exercises.</w:t>
            </w:r>
          </w:p>
        </w:tc>
        <w:tc>
          <w:tcPr>
            <w:tcW w:type="dxa" w:w="1008"/>
            <w:vAlign w:val="center"/>
            <w:tcMar>
              <w:top w:w="70" w:type="dxa"/>
              <w:start w:w="80" w:type="dxa"/>
              <w:bottom w:w="70" w:type="dxa"/>
              <w:end w:w="80" w:type="dxa"/>
            </w:tcMar>
          </w:tcPr>
          <w:p>
            <w:pPr>
              <w:spacing w:after="0"/>
            </w:pPr>
            <w:r/>
            <w:r>
              <w:rPr>
                <w:rFonts w:ascii="Arial" w:hAnsi="Arial"/>
                <w:b w:val="0"/>
                <w:sz w:val="11"/>
              </w:rPr>
              <w:t>SRE/BCDR</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R-006</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Migration</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Legacy complexity, hidden consumers and reconciliation gaps delay retirement.</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Critical</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Wave slippage, rising exception count, repeated reconciliation failures.</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Assessment factory, lineage/usage discovery, parallel validation and funded decommissioning.</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Migration Lead</w:t>
            </w:r>
          </w:p>
        </w:tc>
      </w:tr>
      <w:tr>
        <w:tc>
          <w:tcPr>
            <w:tcW w:type="dxa" w:w="792"/>
            <w:vAlign w:val="center"/>
            <w:tcMar>
              <w:top w:w="70" w:type="dxa"/>
              <w:start w:w="80" w:type="dxa"/>
              <w:bottom w:w="70" w:type="dxa"/>
              <w:end w:w="80" w:type="dxa"/>
            </w:tcMar>
          </w:tcPr>
          <w:p>
            <w:pPr>
              <w:spacing w:after="0"/>
            </w:pPr>
            <w:r/>
            <w:r>
              <w:rPr>
                <w:rFonts w:ascii="Arial" w:hAnsi="Arial"/>
                <w:b w:val="0"/>
                <w:sz w:val="11"/>
              </w:rPr>
              <w:t>R-007</w:t>
            </w:r>
          </w:p>
        </w:tc>
        <w:tc>
          <w:tcPr>
            <w:tcW w:type="dxa" w:w="1008"/>
            <w:vAlign w:val="center"/>
            <w:tcMar>
              <w:top w:w="70" w:type="dxa"/>
              <w:start w:w="80" w:type="dxa"/>
              <w:bottom w:w="70" w:type="dxa"/>
              <w:end w:w="80" w:type="dxa"/>
            </w:tcMar>
          </w:tcPr>
          <w:p>
            <w:pPr>
              <w:spacing w:after="0"/>
            </w:pPr>
            <w:r/>
            <w:r>
              <w:rPr>
                <w:rFonts w:ascii="Arial" w:hAnsi="Arial"/>
                <w:b w:val="0"/>
                <w:sz w:val="11"/>
              </w:rPr>
              <w:t>Data quality</w:t>
            </w:r>
          </w:p>
        </w:tc>
        <w:tc>
          <w:tcPr>
            <w:tcW w:type="dxa" w:w="2376"/>
            <w:vAlign w:val="center"/>
            <w:tcMar>
              <w:top w:w="70" w:type="dxa"/>
              <w:start w:w="80" w:type="dxa"/>
              <w:bottom w:w="70" w:type="dxa"/>
              <w:end w:w="80" w:type="dxa"/>
            </w:tcMar>
          </w:tcPr>
          <w:p>
            <w:pPr>
              <w:spacing w:after="0"/>
            </w:pPr>
            <w:r/>
            <w:r>
              <w:rPr>
                <w:rFonts w:ascii="Arial" w:hAnsi="Arial"/>
                <w:b w:val="0"/>
                <w:sz w:val="11"/>
              </w:rPr>
              <w:t>Source defects and unclear semantics prevent product certification.</w:t>
            </w:r>
          </w:p>
        </w:tc>
        <w:tc>
          <w:tcPr>
            <w:tcW w:type="dxa" w:w="936"/>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Critical</w:t>
            </w:r>
          </w:p>
        </w:tc>
        <w:tc>
          <w:tcPr>
            <w:tcW w:type="dxa" w:w="1872"/>
            <w:vAlign w:val="center"/>
            <w:tcMar>
              <w:top w:w="70" w:type="dxa"/>
              <w:start w:w="80" w:type="dxa"/>
              <w:bottom w:w="70" w:type="dxa"/>
              <w:end w:w="80" w:type="dxa"/>
            </w:tcMar>
          </w:tcPr>
          <w:p>
            <w:pPr>
              <w:spacing w:after="0"/>
            </w:pPr>
            <w:r/>
            <w:r>
              <w:rPr>
                <w:rFonts w:ascii="Arial" w:hAnsi="Arial"/>
                <w:b w:val="0"/>
                <w:sz w:val="11"/>
              </w:rPr>
              <w:t>Low scorecards, steward backlog and consumer disputes.</w:t>
            </w:r>
          </w:p>
        </w:tc>
        <w:tc>
          <w:tcPr>
            <w:tcW w:type="dxa" w:w="2520"/>
            <w:vAlign w:val="center"/>
            <w:tcMar>
              <w:top w:w="70" w:type="dxa"/>
              <w:start w:w="80" w:type="dxa"/>
              <w:bottom w:w="70" w:type="dxa"/>
              <w:end w:w="80" w:type="dxa"/>
            </w:tcMar>
          </w:tcPr>
          <w:p>
            <w:pPr>
              <w:spacing w:after="0"/>
            </w:pPr>
            <w:r/>
            <w:r>
              <w:rPr>
                <w:rFonts w:ascii="Arial" w:hAnsi="Arial"/>
                <w:b w:val="0"/>
                <w:sz w:val="11"/>
              </w:rPr>
              <w:t>Contracts, source-owner accountability, quarantine, quality gates and issue workflow.</w:t>
            </w:r>
          </w:p>
        </w:tc>
        <w:tc>
          <w:tcPr>
            <w:tcW w:type="dxa" w:w="1008"/>
            <w:vAlign w:val="center"/>
            <w:tcMar>
              <w:top w:w="70" w:type="dxa"/>
              <w:start w:w="80" w:type="dxa"/>
              <w:bottom w:w="70" w:type="dxa"/>
              <w:end w:w="80" w:type="dxa"/>
            </w:tcMar>
          </w:tcPr>
          <w:p>
            <w:pPr>
              <w:spacing w:after="0"/>
            </w:pPr>
            <w:r/>
            <w:r>
              <w:rPr>
                <w:rFonts w:ascii="Arial" w:hAnsi="Arial"/>
                <w:b w:val="0"/>
                <w:sz w:val="11"/>
              </w:rPr>
              <w:t>Domain Owners</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R-008</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Platform bottleneck</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Central teams cannot meet domain demand and workarounds proliferate.</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Medium</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Provisioning queue, shadow projects and declining template adoption.</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Self-service, product SLOs, capacity plan, delegated governance and simpler golden paths.</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Platform Product Owner</w:t>
            </w:r>
          </w:p>
        </w:tc>
      </w:tr>
      <w:tr>
        <w:tc>
          <w:tcPr>
            <w:tcW w:type="dxa" w:w="792"/>
            <w:vAlign w:val="center"/>
            <w:tcMar>
              <w:top w:w="70" w:type="dxa"/>
              <w:start w:w="80" w:type="dxa"/>
              <w:bottom w:w="70" w:type="dxa"/>
              <w:end w:w="80" w:type="dxa"/>
            </w:tcMar>
          </w:tcPr>
          <w:p>
            <w:pPr>
              <w:spacing w:after="0"/>
            </w:pPr>
            <w:r/>
            <w:r>
              <w:rPr>
                <w:rFonts w:ascii="Arial" w:hAnsi="Arial"/>
                <w:b w:val="0"/>
                <w:sz w:val="11"/>
              </w:rPr>
              <w:t>R-009</w:t>
            </w:r>
          </w:p>
        </w:tc>
        <w:tc>
          <w:tcPr>
            <w:tcW w:type="dxa" w:w="1008"/>
            <w:vAlign w:val="center"/>
            <w:tcMar>
              <w:top w:w="70" w:type="dxa"/>
              <w:start w:w="80" w:type="dxa"/>
              <w:bottom w:w="70" w:type="dxa"/>
              <w:end w:w="80" w:type="dxa"/>
            </w:tcMar>
          </w:tcPr>
          <w:p>
            <w:pPr>
              <w:spacing w:after="0"/>
            </w:pPr>
            <w:r/>
            <w:r>
              <w:rPr>
                <w:rFonts w:ascii="Arial" w:hAnsi="Arial"/>
                <w:b w:val="0"/>
                <w:sz w:val="11"/>
              </w:rPr>
              <w:t>Technology sprawl</w:t>
            </w:r>
          </w:p>
        </w:tc>
        <w:tc>
          <w:tcPr>
            <w:tcW w:type="dxa" w:w="2376"/>
            <w:vAlign w:val="center"/>
            <w:tcMar>
              <w:top w:w="70" w:type="dxa"/>
              <w:start w:w="80" w:type="dxa"/>
              <w:bottom w:w="70" w:type="dxa"/>
              <w:end w:w="80" w:type="dxa"/>
            </w:tcMar>
          </w:tcPr>
          <w:p>
            <w:pPr>
              <w:spacing w:after="0"/>
            </w:pPr>
            <w:r/>
            <w:r>
              <w:rPr>
                <w:rFonts w:ascii="Arial" w:hAnsi="Arial"/>
                <w:b w:val="0"/>
                <w:sz w:val="11"/>
              </w:rPr>
              <w:t>Exceptions and acquisitions recreate overlapping platforms.</w:t>
            </w:r>
          </w:p>
        </w:tc>
        <w:tc>
          <w:tcPr>
            <w:tcW w:type="dxa" w:w="936"/>
            <w:vAlign w:val="center"/>
            <w:tcMar>
              <w:top w:w="70" w:type="dxa"/>
              <w:start w:w="80" w:type="dxa"/>
              <w:bottom w:w="70" w:type="dxa"/>
              <w:end w:w="80" w:type="dxa"/>
            </w:tcMar>
          </w:tcPr>
          <w:p>
            <w:pPr>
              <w:spacing w:after="0"/>
            </w:pPr>
            <w:r/>
            <w:r>
              <w:rPr>
                <w:rFonts w:ascii="Arial" w:hAnsi="Arial"/>
                <w:b w:val="0"/>
                <w:sz w:val="11"/>
              </w:rPr>
              <w:t>Medium</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1872"/>
            <w:vAlign w:val="center"/>
            <w:tcMar>
              <w:top w:w="70" w:type="dxa"/>
              <w:start w:w="80" w:type="dxa"/>
              <w:bottom w:w="70" w:type="dxa"/>
              <w:end w:w="80" w:type="dxa"/>
            </w:tcMar>
          </w:tcPr>
          <w:p>
            <w:pPr>
              <w:spacing w:after="0"/>
            </w:pPr>
            <w:r/>
            <w:r>
              <w:rPr>
                <w:rFonts w:ascii="Arial" w:hAnsi="Arial"/>
                <w:b w:val="0"/>
                <w:sz w:val="11"/>
              </w:rPr>
              <w:t>Growing strategic-service catalog and aged exceptions.</w:t>
            </w:r>
          </w:p>
        </w:tc>
        <w:tc>
          <w:tcPr>
            <w:tcW w:type="dxa" w:w="2520"/>
            <w:vAlign w:val="center"/>
            <w:tcMar>
              <w:top w:w="70" w:type="dxa"/>
              <w:start w:w="80" w:type="dxa"/>
              <w:bottom w:w="70" w:type="dxa"/>
              <w:end w:w="80" w:type="dxa"/>
            </w:tcMar>
          </w:tcPr>
          <w:p>
            <w:pPr>
              <w:spacing w:after="0"/>
            </w:pPr>
            <w:r/>
            <w:r>
              <w:rPr>
                <w:rFonts w:ascii="Arial" w:hAnsi="Arial"/>
                <w:b w:val="0"/>
                <w:sz w:val="11"/>
              </w:rPr>
              <w:t>Technology lifecycle, architecture governance, integration standards and retirement plan.</w:t>
            </w:r>
          </w:p>
        </w:tc>
        <w:tc>
          <w:tcPr>
            <w:tcW w:type="dxa" w:w="1008"/>
            <w:vAlign w:val="center"/>
            <w:tcMar>
              <w:top w:w="70" w:type="dxa"/>
              <w:start w:w="80" w:type="dxa"/>
              <w:bottom w:w="70" w:type="dxa"/>
              <w:end w:w="80" w:type="dxa"/>
            </w:tcMar>
          </w:tcPr>
          <w:p>
            <w:pPr>
              <w:spacing w:after="0"/>
            </w:pPr>
            <w:r/>
            <w:r>
              <w:rPr>
                <w:rFonts w:ascii="Arial" w:hAnsi="Arial"/>
                <w:b w:val="0"/>
                <w:sz w:val="11"/>
              </w:rPr>
              <w:t>Chief Architect</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R-010</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Skills</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Internal teams lack cloud, data-product, security and SRE expertise.</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Medium/High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Consultant dependence, defects, slow incident resolution and low reuse.</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Role-based enablement, paired delivery, communities and internal ownership targets.</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Transformation Lead</w:t>
            </w:r>
          </w:p>
        </w:tc>
      </w:tr>
      <w:tr>
        <w:tc>
          <w:tcPr>
            <w:tcW w:type="dxa" w:w="792"/>
            <w:vAlign w:val="center"/>
            <w:tcMar>
              <w:top w:w="70" w:type="dxa"/>
              <w:start w:w="80" w:type="dxa"/>
              <w:bottom w:w="70" w:type="dxa"/>
              <w:end w:w="80" w:type="dxa"/>
            </w:tcMar>
          </w:tcPr>
          <w:p>
            <w:pPr>
              <w:spacing w:after="0"/>
            </w:pPr>
            <w:r/>
            <w:r>
              <w:rPr>
                <w:rFonts w:ascii="Arial" w:hAnsi="Arial"/>
                <w:b w:val="0"/>
                <w:sz w:val="11"/>
              </w:rPr>
              <w:t>R-011</w:t>
            </w:r>
          </w:p>
        </w:tc>
        <w:tc>
          <w:tcPr>
            <w:tcW w:type="dxa" w:w="1008"/>
            <w:vAlign w:val="center"/>
            <w:tcMar>
              <w:top w:w="70" w:type="dxa"/>
              <w:start w:w="80" w:type="dxa"/>
              <w:bottom w:w="70" w:type="dxa"/>
              <w:end w:w="80" w:type="dxa"/>
            </w:tcMar>
          </w:tcPr>
          <w:p>
            <w:pPr>
              <w:spacing w:after="0"/>
            </w:pPr>
            <w:r/>
            <w:r>
              <w:rPr>
                <w:rFonts w:ascii="Arial" w:hAnsi="Arial"/>
                <w:b w:val="0"/>
                <w:sz w:val="11"/>
              </w:rPr>
              <w:t>Vendor dependency</w:t>
            </w:r>
          </w:p>
        </w:tc>
        <w:tc>
          <w:tcPr>
            <w:tcW w:type="dxa" w:w="2376"/>
            <w:vAlign w:val="center"/>
            <w:tcMar>
              <w:top w:w="70" w:type="dxa"/>
              <w:start w:w="80" w:type="dxa"/>
              <w:bottom w:w="70" w:type="dxa"/>
              <w:end w:w="80" w:type="dxa"/>
            </w:tcMar>
          </w:tcPr>
          <w:p>
            <w:pPr>
              <w:spacing w:after="0"/>
            </w:pPr>
            <w:r/>
            <w:r>
              <w:rPr>
                <w:rFonts w:ascii="Arial" w:hAnsi="Arial"/>
                <w:b w:val="0"/>
                <w:sz w:val="11"/>
              </w:rPr>
              <w:t>Deep use of managed capabilities creates switching or negotiation risk.</w:t>
            </w:r>
          </w:p>
        </w:tc>
        <w:tc>
          <w:tcPr>
            <w:tcW w:type="dxa" w:w="936"/>
            <w:vAlign w:val="center"/>
            <w:tcMar>
              <w:top w:w="70" w:type="dxa"/>
              <w:start w:w="80" w:type="dxa"/>
              <w:bottom w:w="70" w:type="dxa"/>
              <w:end w:w="80" w:type="dxa"/>
            </w:tcMar>
          </w:tcPr>
          <w:p>
            <w:pPr>
              <w:spacing w:after="0"/>
            </w:pPr>
            <w:r/>
            <w:r>
              <w:rPr>
                <w:rFonts w:ascii="Arial" w:hAnsi="Arial"/>
                <w:b w:val="0"/>
                <w:sz w:val="11"/>
              </w:rPr>
              <w:t>Medium</w:t>
            </w:r>
          </w:p>
        </w:tc>
        <w:tc>
          <w:tcPr>
            <w:tcW w:type="dxa" w:w="792"/>
            <w:vAlign w:val="center"/>
            <w:tcMar>
              <w:top w:w="70" w:type="dxa"/>
              <w:start w:w="80" w:type="dxa"/>
              <w:bottom w:w="70" w:type="dxa"/>
              <w:end w:w="80" w:type="dxa"/>
            </w:tcMar>
          </w:tcPr>
          <w:p>
            <w:pPr>
              <w:spacing w:after="0"/>
            </w:pPr>
            <w:r/>
            <w:r>
              <w:rPr>
                <w:rFonts w:ascii="Arial" w:hAnsi="Arial"/>
                <w:b w:val="0"/>
                <w:sz w:val="11"/>
              </w:rPr>
              <w:t>Medium</w:t>
            </w:r>
          </w:p>
        </w:tc>
        <w:tc>
          <w:tcPr>
            <w:tcW w:type="dxa" w:w="792"/>
            <w:vAlign w:val="center"/>
            <w:tcMar>
              <w:top w:w="70" w:type="dxa"/>
              <w:start w:w="80" w:type="dxa"/>
              <w:bottom w:w="70" w:type="dxa"/>
              <w:end w:w="80" w:type="dxa"/>
            </w:tcMar>
          </w:tcPr>
          <w:p>
            <w:pPr>
              <w:spacing w:after="0"/>
            </w:pPr>
            <w:r/>
            <w:r>
              <w:rPr>
                <w:rFonts w:ascii="Arial" w:hAnsi="Arial"/>
                <w:b w:val="0"/>
                <w:sz w:val="11"/>
              </w:rPr>
              <w:t>Medium</w:t>
            </w:r>
          </w:p>
        </w:tc>
        <w:tc>
          <w:tcPr>
            <w:tcW w:type="dxa" w:w="1872"/>
            <w:vAlign w:val="center"/>
            <w:tcMar>
              <w:top w:w="70" w:type="dxa"/>
              <w:start w:w="80" w:type="dxa"/>
              <w:bottom w:w="70" w:type="dxa"/>
              <w:end w:w="80" w:type="dxa"/>
            </w:tcMar>
          </w:tcPr>
          <w:p>
            <w:pPr>
              <w:spacing w:after="0"/>
            </w:pPr>
            <w:r/>
            <w:r>
              <w:rPr>
                <w:rFonts w:ascii="Arial" w:hAnsi="Arial"/>
                <w:b w:val="0"/>
                <w:sz w:val="11"/>
              </w:rPr>
              <w:t>Proprietary interfaces without export or exit plan.</w:t>
            </w:r>
          </w:p>
        </w:tc>
        <w:tc>
          <w:tcPr>
            <w:tcW w:type="dxa" w:w="2520"/>
            <w:vAlign w:val="center"/>
            <w:tcMar>
              <w:top w:w="70" w:type="dxa"/>
              <w:start w:w="80" w:type="dxa"/>
              <w:bottom w:w="70" w:type="dxa"/>
              <w:end w:w="80" w:type="dxa"/>
            </w:tcMar>
          </w:tcPr>
          <w:p>
            <w:pPr>
              <w:spacing w:after="0"/>
            </w:pPr>
            <w:r/>
            <w:r>
              <w:rPr>
                <w:rFonts w:ascii="Arial" w:hAnsi="Arial"/>
                <w:b w:val="0"/>
                <w:sz w:val="11"/>
              </w:rPr>
              <w:t>Open formats where valuable, versioned code/data, export tests and ADR reviews.</w:t>
            </w:r>
          </w:p>
        </w:tc>
        <w:tc>
          <w:tcPr>
            <w:tcW w:type="dxa" w:w="1008"/>
            <w:vAlign w:val="center"/>
            <w:tcMar>
              <w:top w:w="70" w:type="dxa"/>
              <w:start w:w="80" w:type="dxa"/>
              <w:bottom w:w="70" w:type="dxa"/>
              <w:end w:w="80" w:type="dxa"/>
            </w:tcMar>
          </w:tcPr>
          <w:p>
            <w:pPr>
              <w:spacing w:after="0"/>
            </w:pPr>
            <w:r/>
            <w:r>
              <w:rPr>
                <w:rFonts w:ascii="Arial" w:hAnsi="Arial"/>
                <w:b w:val="0"/>
                <w:sz w:val="11"/>
              </w:rPr>
              <w:t>Chief Architect</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R-012</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AI governance</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Generative AI provides unsafe, inaccurate or unauthorized output.</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Medium</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Critical</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Critical</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Failed evaluations, missing citations, prompt injection or sensitive output.</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Risk tiers, grounding, evaluations, guardrails, human oversight and audit.</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AI Governance</w:t>
            </w:r>
          </w:p>
        </w:tc>
      </w:tr>
      <w:tr>
        <w:tc>
          <w:tcPr>
            <w:tcW w:type="dxa" w:w="792"/>
            <w:vAlign w:val="center"/>
            <w:tcMar>
              <w:top w:w="70" w:type="dxa"/>
              <w:start w:w="80" w:type="dxa"/>
              <w:bottom w:w="70" w:type="dxa"/>
              <w:end w:w="80" w:type="dxa"/>
            </w:tcMar>
          </w:tcPr>
          <w:p>
            <w:pPr>
              <w:spacing w:after="0"/>
            </w:pPr>
            <w:r/>
            <w:r>
              <w:rPr>
                <w:rFonts w:ascii="Arial" w:hAnsi="Arial"/>
                <w:b w:val="0"/>
                <w:sz w:val="11"/>
              </w:rPr>
              <w:t>R-013</w:t>
            </w:r>
          </w:p>
        </w:tc>
        <w:tc>
          <w:tcPr>
            <w:tcW w:type="dxa" w:w="1008"/>
            <w:vAlign w:val="center"/>
            <w:tcMar>
              <w:top w:w="70" w:type="dxa"/>
              <w:start w:w="80" w:type="dxa"/>
              <w:bottom w:w="70" w:type="dxa"/>
              <w:end w:w="80" w:type="dxa"/>
            </w:tcMar>
          </w:tcPr>
          <w:p>
            <w:pPr>
              <w:spacing w:after="0"/>
            </w:pPr>
            <w:r/>
            <w:r>
              <w:rPr>
                <w:rFonts w:ascii="Arial" w:hAnsi="Arial"/>
                <w:b w:val="0"/>
                <w:sz w:val="11"/>
              </w:rPr>
              <w:t>IaC</w:t>
            </w:r>
          </w:p>
        </w:tc>
        <w:tc>
          <w:tcPr>
            <w:tcW w:type="dxa" w:w="2376"/>
            <w:vAlign w:val="center"/>
            <w:tcMar>
              <w:top w:w="70" w:type="dxa"/>
              <w:start w:w="80" w:type="dxa"/>
              <w:bottom w:w="70" w:type="dxa"/>
              <w:end w:w="80" w:type="dxa"/>
            </w:tcMar>
          </w:tcPr>
          <w:p>
            <w:pPr>
              <w:spacing w:after="0"/>
            </w:pPr>
            <w:r/>
            <w:r>
              <w:rPr>
                <w:rFonts w:ascii="Arial" w:hAnsi="Arial"/>
                <w:b w:val="0"/>
                <w:sz w:val="11"/>
              </w:rPr>
              <w:t>Terraform state or pipeline error creates destructive change at scale.</w:t>
            </w:r>
          </w:p>
        </w:tc>
        <w:tc>
          <w:tcPr>
            <w:tcW w:type="dxa" w:w="936"/>
            <w:vAlign w:val="center"/>
            <w:tcMar>
              <w:top w:w="70" w:type="dxa"/>
              <w:start w:w="80" w:type="dxa"/>
              <w:bottom w:w="70" w:type="dxa"/>
              <w:end w:w="80" w:type="dxa"/>
            </w:tcMar>
          </w:tcPr>
          <w:p>
            <w:pPr>
              <w:spacing w:after="0"/>
            </w:pPr>
            <w:r/>
            <w:r>
              <w:rPr>
                <w:rFonts w:ascii="Arial" w:hAnsi="Arial"/>
                <w:b w:val="0"/>
                <w:sz w:val="11"/>
              </w:rPr>
              <w:t>Low/Medium</w:t>
            </w:r>
          </w:p>
        </w:tc>
        <w:tc>
          <w:tcPr>
            <w:tcW w:type="dxa" w:w="792"/>
            <w:vAlign w:val="center"/>
            <w:tcMar>
              <w:top w:w="70" w:type="dxa"/>
              <w:start w:w="80" w:type="dxa"/>
              <w:bottom w:w="70" w:type="dxa"/>
              <w:end w:w="80" w:type="dxa"/>
            </w:tcMar>
          </w:tcPr>
          <w:p>
            <w:pPr>
              <w:spacing w:after="0"/>
            </w:pPr>
            <w:r/>
            <w:r>
              <w:rPr>
                <w:rFonts w:ascii="Arial" w:hAnsi="Arial"/>
                <w:b w:val="0"/>
                <w:sz w:val="11"/>
              </w:rPr>
              <w:t>Critical</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1872"/>
            <w:vAlign w:val="center"/>
            <w:tcMar>
              <w:top w:w="70" w:type="dxa"/>
              <w:start w:w="80" w:type="dxa"/>
              <w:bottom w:w="70" w:type="dxa"/>
              <w:end w:w="80" w:type="dxa"/>
            </w:tcMar>
          </w:tcPr>
          <w:p>
            <w:pPr>
              <w:spacing w:after="0"/>
            </w:pPr>
            <w:r/>
            <w:r>
              <w:rPr>
                <w:rFonts w:ascii="Arial" w:hAnsi="Arial"/>
                <w:b w:val="0"/>
                <w:sz w:val="11"/>
              </w:rPr>
              <w:t>Unexpected plan, drift, provider regression or state-access anomaly.</w:t>
            </w:r>
          </w:p>
        </w:tc>
        <w:tc>
          <w:tcPr>
            <w:tcW w:type="dxa" w:w="2520"/>
            <w:vAlign w:val="center"/>
            <w:tcMar>
              <w:top w:w="70" w:type="dxa"/>
              <w:start w:w="80" w:type="dxa"/>
              <w:bottom w:w="70" w:type="dxa"/>
              <w:end w:w="80" w:type="dxa"/>
            </w:tcMar>
          </w:tcPr>
          <w:p>
            <w:pPr>
              <w:spacing w:after="0"/>
            </w:pPr>
            <w:r/>
            <w:r>
              <w:rPr>
                <w:rFonts w:ascii="Arial" w:hAnsi="Arial"/>
                <w:b w:val="0"/>
                <w:sz w:val="11"/>
              </w:rPr>
              <w:t>Protected state, plan/apply separation, tests, deletion protection and rollback.</w:t>
            </w:r>
          </w:p>
        </w:tc>
        <w:tc>
          <w:tcPr>
            <w:tcW w:type="dxa" w:w="1008"/>
            <w:vAlign w:val="center"/>
            <w:tcMar>
              <w:top w:w="70" w:type="dxa"/>
              <w:start w:w="80" w:type="dxa"/>
              <w:bottom w:w="70" w:type="dxa"/>
              <w:end w:w="80" w:type="dxa"/>
            </w:tcMar>
          </w:tcPr>
          <w:p>
            <w:pPr>
              <w:spacing w:after="0"/>
            </w:pPr>
            <w:r/>
            <w:r>
              <w:rPr>
                <w:rFonts w:ascii="Arial" w:hAnsi="Arial"/>
                <w:b w:val="0"/>
                <w:sz w:val="11"/>
              </w:rPr>
              <w:t>DevSecOps</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R-014</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Observability</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Teams monitor components but cannot detect product freshness or quality impact.</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Medium</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Healthy services with missed consumer commitments.</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Product SLIs, end-to-end timestamps, quality metrics and dependency dashboards.</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SRE/Product Owners</w:t>
            </w:r>
          </w:p>
        </w:tc>
      </w:tr>
      <w:tr>
        <w:tc>
          <w:tcPr>
            <w:tcW w:type="dxa" w:w="792"/>
            <w:vAlign w:val="center"/>
            <w:tcMar>
              <w:top w:w="70" w:type="dxa"/>
              <w:start w:w="80" w:type="dxa"/>
              <w:bottom w:w="70" w:type="dxa"/>
              <w:end w:w="80" w:type="dxa"/>
            </w:tcMar>
          </w:tcPr>
          <w:p>
            <w:pPr>
              <w:spacing w:after="0"/>
            </w:pPr>
            <w:r/>
            <w:r>
              <w:rPr>
                <w:rFonts w:ascii="Arial" w:hAnsi="Arial"/>
                <w:b w:val="0"/>
                <w:sz w:val="11"/>
              </w:rPr>
              <w:t>R-015</w:t>
            </w:r>
          </w:p>
        </w:tc>
        <w:tc>
          <w:tcPr>
            <w:tcW w:type="dxa" w:w="1008"/>
            <w:vAlign w:val="center"/>
            <w:tcMar>
              <w:top w:w="70" w:type="dxa"/>
              <w:start w:w="80" w:type="dxa"/>
              <w:bottom w:w="70" w:type="dxa"/>
              <w:end w:w="80" w:type="dxa"/>
            </w:tcMar>
          </w:tcPr>
          <w:p>
            <w:pPr>
              <w:spacing w:after="0"/>
            </w:pPr>
            <w:r/>
            <w:r>
              <w:rPr>
                <w:rFonts w:ascii="Arial" w:hAnsi="Arial"/>
                <w:b w:val="0"/>
                <w:sz w:val="11"/>
              </w:rPr>
              <w:t>Compliance evidence</w:t>
            </w:r>
          </w:p>
        </w:tc>
        <w:tc>
          <w:tcPr>
            <w:tcW w:type="dxa" w:w="2376"/>
            <w:vAlign w:val="center"/>
            <w:tcMar>
              <w:top w:w="70" w:type="dxa"/>
              <w:start w:w="80" w:type="dxa"/>
              <w:bottom w:w="70" w:type="dxa"/>
              <w:end w:w="80" w:type="dxa"/>
            </w:tcMar>
          </w:tcPr>
          <w:p>
            <w:pPr>
              <w:spacing w:after="0"/>
            </w:pPr>
            <w:r/>
            <w:r>
              <w:rPr>
                <w:rFonts w:ascii="Arial" w:hAnsi="Arial"/>
                <w:b w:val="0"/>
                <w:sz w:val="11"/>
              </w:rPr>
              <w:t>Controls exist but evidence cannot be reproduced for audit.</w:t>
            </w:r>
          </w:p>
        </w:tc>
        <w:tc>
          <w:tcPr>
            <w:tcW w:type="dxa" w:w="936"/>
            <w:vAlign w:val="center"/>
            <w:tcMar>
              <w:top w:w="70" w:type="dxa"/>
              <w:start w:w="80" w:type="dxa"/>
              <w:bottom w:w="70" w:type="dxa"/>
              <w:end w:w="80" w:type="dxa"/>
            </w:tcMar>
          </w:tcPr>
          <w:p>
            <w:pPr>
              <w:spacing w:after="0"/>
            </w:pPr>
            <w:r/>
            <w:r>
              <w:rPr>
                <w:rFonts w:ascii="Arial" w:hAnsi="Arial"/>
                <w:b w:val="0"/>
                <w:sz w:val="11"/>
              </w:rPr>
              <w:t>Medium</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1872"/>
            <w:vAlign w:val="center"/>
            <w:tcMar>
              <w:top w:w="70" w:type="dxa"/>
              <w:start w:w="80" w:type="dxa"/>
              <w:bottom w:w="70" w:type="dxa"/>
              <w:end w:w="80" w:type="dxa"/>
            </w:tcMar>
          </w:tcPr>
          <w:p>
            <w:pPr>
              <w:spacing w:after="0"/>
            </w:pPr>
            <w:r/>
            <w:r>
              <w:rPr>
                <w:rFonts w:ascii="Arial" w:hAnsi="Arial"/>
                <w:b w:val="0"/>
                <w:sz w:val="11"/>
              </w:rPr>
              <w:t>Manual screenshots, inconsistent logs or missing approvals.</w:t>
            </w:r>
          </w:p>
        </w:tc>
        <w:tc>
          <w:tcPr>
            <w:tcW w:type="dxa" w:w="2520"/>
            <w:vAlign w:val="center"/>
            <w:tcMar>
              <w:top w:w="70" w:type="dxa"/>
              <w:start w:w="80" w:type="dxa"/>
              <w:bottom w:w="70" w:type="dxa"/>
              <w:end w:w="80" w:type="dxa"/>
            </w:tcMar>
          </w:tcPr>
          <w:p>
            <w:pPr>
              <w:spacing w:after="0"/>
            </w:pPr>
            <w:r/>
            <w:r>
              <w:rPr>
                <w:rFonts w:ascii="Arial" w:hAnsi="Arial"/>
                <w:b w:val="0"/>
                <w:sz w:val="11"/>
              </w:rPr>
              <w:t>Automated evidence, protected logs, control owner and sampled assurance.</w:t>
            </w:r>
          </w:p>
        </w:tc>
        <w:tc>
          <w:tcPr>
            <w:tcW w:type="dxa" w:w="1008"/>
            <w:vAlign w:val="center"/>
            <w:tcMar>
              <w:top w:w="70" w:type="dxa"/>
              <w:start w:w="80" w:type="dxa"/>
              <w:bottom w:w="70" w:type="dxa"/>
              <w:end w:w="80" w:type="dxa"/>
            </w:tcMar>
          </w:tcPr>
          <w:p>
            <w:pPr>
              <w:spacing w:after="0"/>
            </w:pPr>
            <w:r/>
            <w:r>
              <w:rPr>
                <w:rFonts w:ascii="Arial" w:hAnsi="Arial"/>
                <w:b w:val="0"/>
                <w:sz w:val="11"/>
              </w:rPr>
              <w:t>Compliance</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R-016</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Change adoption</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Business users retain legacy reports and extracts despite new products.</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Medium</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High</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Low product adoption and continued duplicate metrics.</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Consumer migration plan, KPI governance, training and legacy deprecation.</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Business Owners</w:t>
            </w:r>
          </w:p>
        </w:tc>
      </w:tr>
      <w:tr>
        <w:tc>
          <w:tcPr>
            <w:tcW w:type="dxa" w:w="792"/>
            <w:vAlign w:val="center"/>
            <w:tcMar>
              <w:top w:w="70" w:type="dxa"/>
              <w:start w:w="80" w:type="dxa"/>
              <w:bottom w:w="70" w:type="dxa"/>
              <w:end w:w="80" w:type="dxa"/>
            </w:tcMar>
          </w:tcPr>
          <w:p>
            <w:pPr>
              <w:spacing w:after="0"/>
            </w:pPr>
            <w:r/>
            <w:r>
              <w:rPr>
                <w:rFonts w:ascii="Arial" w:hAnsi="Arial"/>
                <w:b w:val="0"/>
                <w:sz w:val="11"/>
              </w:rPr>
              <w:t>R-017</w:t>
            </w:r>
          </w:p>
        </w:tc>
        <w:tc>
          <w:tcPr>
            <w:tcW w:type="dxa" w:w="1008"/>
            <w:vAlign w:val="center"/>
            <w:tcMar>
              <w:top w:w="70" w:type="dxa"/>
              <w:start w:w="80" w:type="dxa"/>
              <w:bottom w:w="70" w:type="dxa"/>
              <w:end w:w="80" w:type="dxa"/>
            </w:tcMar>
          </w:tcPr>
          <w:p>
            <w:pPr>
              <w:spacing w:after="0"/>
            </w:pPr>
            <w:r/>
            <w:r>
              <w:rPr>
                <w:rFonts w:ascii="Arial" w:hAnsi="Arial"/>
                <w:b w:val="0"/>
                <w:sz w:val="11"/>
              </w:rPr>
              <w:t>Quotas and scale</w:t>
            </w:r>
          </w:p>
        </w:tc>
        <w:tc>
          <w:tcPr>
            <w:tcW w:type="dxa" w:w="2376"/>
            <w:vAlign w:val="center"/>
            <w:tcMar>
              <w:top w:w="70" w:type="dxa"/>
              <w:start w:w="80" w:type="dxa"/>
              <w:bottom w:w="70" w:type="dxa"/>
              <w:end w:w="80" w:type="dxa"/>
            </w:tcMar>
          </w:tcPr>
          <w:p>
            <w:pPr>
              <w:spacing w:after="0"/>
            </w:pPr>
            <w:r/>
            <w:r>
              <w:rPr>
                <w:rFonts w:ascii="Arial" w:hAnsi="Arial"/>
                <w:b w:val="0"/>
                <w:sz w:val="11"/>
              </w:rPr>
              <w:t>Service quotas or hot partitions constrain peak workloads.</w:t>
            </w:r>
          </w:p>
        </w:tc>
        <w:tc>
          <w:tcPr>
            <w:tcW w:type="dxa" w:w="936"/>
            <w:vAlign w:val="center"/>
            <w:tcMar>
              <w:top w:w="70" w:type="dxa"/>
              <w:start w:w="80" w:type="dxa"/>
              <w:bottom w:w="70" w:type="dxa"/>
              <w:end w:w="80" w:type="dxa"/>
            </w:tcMar>
          </w:tcPr>
          <w:p>
            <w:pPr>
              <w:spacing w:after="0"/>
            </w:pPr>
            <w:r/>
            <w:r>
              <w:rPr>
                <w:rFonts w:ascii="Arial" w:hAnsi="Arial"/>
                <w:b w:val="0"/>
                <w:sz w:val="11"/>
              </w:rPr>
              <w:t>Medium</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792"/>
            <w:vAlign w:val="center"/>
            <w:tcMar>
              <w:top w:w="70" w:type="dxa"/>
              <w:start w:w="80" w:type="dxa"/>
              <w:bottom w:w="70" w:type="dxa"/>
              <w:end w:w="80" w:type="dxa"/>
            </w:tcMar>
          </w:tcPr>
          <w:p>
            <w:pPr>
              <w:spacing w:after="0"/>
            </w:pPr>
            <w:r/>
            <w:r>
              <w:rPr>
                <w:rFonts w:ascii="Arial" w:hAnsi="Arial"/>
                <w:b w:val="0"/>
                <w:sz w:val="11"/>
              </w:rPr>
              <w:t>High</w:t>
            </w:r>
          </w:p>
        </w:tc>
        <w:tc>
          <w:tcPr>
            <w:tcW w:type="dxa" w:w="1872"/>
            <w:vAlign w:val="center"/>
            <w:tcMar>
              <w:top w:w="70" w:type="dxa"/>
              <w:start w:w="80" w:type="dxa"/>
              <w:bottom w:w="70" w:type="dxa"/>
              <w:end w:w="80" w:type="dxa"/>
            </w:tcMar>
          </w:tcPr>
          <w:p>
            <w:pPr>
              <w:spacing w:after="0"/>
            </w:pPr>
            <w:r/>
            <w:r>
              <w:rPr>
                <w:rFonts w:ascii="Arial" w:hAnsi="Arial"/>
                <w:b w:val="0"/>
                <w:sz w:val="11"/>
              </w:rPr>
              <w:t>Backlog, throttling, query queue or hot-key indicators.</w:t>
            </w:r>
          </w:p>
        </w:tc>
        <w:tc>
          <w:tcPr>
            <w:tcW w:type="dxa" w:w="2520"/>
            <w:vAlign w:val="center"/>
            <w:tcMar>
              <w:top w:w="70" w:type="dxa"/>
              <w:start w:w="80" w:type="dxa"/>
              <w:bottom w:w="70" w:type="dxa"/>
              <w:end w:w="80" w:type="dxa"/>
            </w:tcMar>
          </w:tcPr>
          <w:p>
            <w:pPr>
              <w:spacing w:after="0"/>
            </w:pPr>
            <w:r/>
            <w:r>
              <w:rPr>
                <w:rFonts w:ascii="Arial" w:hAnsi="Arial"/>
                <w:b w:val="0"/>
                <w:sz w:val="11"/>
              </w:rPr>
              <w:t>Quota inventory, load tests, partition design, scaling requests and capacity review.</w:t>
            </w:r>
          </w:p>
        </w:tc>
        <w:tc>
          <w:tcPr>
            <w:tcW w:type="dxa" w:w="1008"/>
            <w:vAlign w:val="center"/>
            <w:tcMar>
              <w:top w:w="70" w:type="dxa"/>
              <w:start w:w="80" w:type="dxa"/>
              <w:bottom w:w="70" w:type="dxa"/>
              <w:end w:w="80" w:type="dxa"/>
            </w:tcMar>
          </w:tcPr>
          <w:p>
            <w:pPr>
              <w:spacing w:after="0"/>
            </w:pPr>
            <w:r/>
            <w:r>
              <w:rPr>
                <w:rFonts w:ascii="Arial" w:hAnsi="Arial"/>
                <w:b w:val="0"/>
                <w:sz w:val="11"/>
              </w:rPr>
              <w:t>Platform/SRE</w:t>
            </w:r>
          </w:p>
        </w:tc>
      </w:tr>
      <w:tr>
        <w:tc>
          <w:tcPr>
            <w:tcW w:type="dxa" w:w="792"/>
            <w:vAlign w:val="center"/>
            <w:tcMar>
              <w:top w:w="70" w:type="dxa"/>
              <w:start w:w="80" w:type="dxa"/>
              <w:bottom w:w="70" w:type="dxa"/>
              <w:end w:w="80" w:type="dxa"/>
            </w:tcMar>
            <w:shd w:fill="F8F9FA"/>
          </w:tcPr>
          <w:p>
            <w:pPr>
              <w:spacing w:after="0"/>
            </w:pPr>
            <w:r/>
            <w:r>
              <w:rPr>
                <w:rFonts w:ascii="Arial" w:hAnsi="Arial"/>
                <w:b w:val="0"/>
                <w:sz w:val="11"/>
              </w:rPr>
              <w:t>R-018</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Data lifecycle</w:t>
            </w:r>
          </w:p>
        </w:tc>
        <w:tc>
          <w:tcPr>
            <w:tcW w:type="dxa" w:w="2376"/>
            <w:vAlign w:val="center"/>
            <w:tcMar>
              <w:top w:w="70" w:type="dxa"/>
              <w:start w:w="80" w:type="dxa"/>
              <w:bottom w:w="70" w:type="dxa"/>
              <w:end w:w="80" w:type="dxa"/>
            </w:tcMar>
            <w:shd w:fill="F8F9FA"/>
          </w:tcPr>
          <w:p>
            <w:pPr>
              <w:spacing w:after="0"/>
            </w:pPr>
            <w:r/>
            <w:r>
              <w:rPr>
                <w:rFonts w:ascii="Arial" w:hAnsi="Arial"/>
                <w:b w:val="0"/>
                <w:sz w:val="11"/>
              </w:rPr>
              <w:t>Retention, legal hold or privacy deletion is incomplete across derived copies.</w:t>
            </w:r>
          </w:p>
        </w:tc>
        <w:tc>
          <w:tcPr>
            <w:tcW w:type="dxa" w:w="936"/>
            <w:vAlign w:val="center"/>
            <w:tcMar>
              <w:top w:w="70" w:type="dxa"/>
              <w:start w:w="80" w:type="dxa"/>
              <w:bottom w:w="70" w:type="dxa"/>
              <w:end w:w="80" w:type="dxa"/>
            </w:tcMar>
            <w:shd w:fill="F8F9FA"/>
          </w:tcPr>
          <w:p>
            <w:pPr>
              <w:spacing w:after="0"/>
            </w:pPr>
            <w:r/>
            <w:r>
              <w:rPr>
                <w:rFonts w:ascii="Arial" w:hAnsi="Arial"/>
                <w:b w:val="0"/>
                <w:sz w:val="11"/>
              </w:rPr>
              <w:t>Medium</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Critical</w:t>
            </w:r>
          </w:p>
        </w:tc>
        <w:tc>
          <w:tcPr>
            <w:tcW w:type="dxa" w:w="792"/>
            <w:vAlign w:val="center"/>
            <w:tcMar>
              <w:top w:w="70" w:type="dxa"/>
              <w:start w:w="80" w:type="dxa"/>
              <w:bottom w:w="70" w:type="dxa"/>
              <w:end w:w="80" w:type="dxa"/>
            </w:tcMar>
            <w:shd w:fill="F8F9FA"/>
          </w:tcPr>
          <w:p>
            <w:pPr>
              <w:spacing w:after="0"/>
            </w:pPr>
            <w:r/>
            <w:r>
              <w:rPr>
                <w:rFonts w:ascii="Arial" w:hAnsi="Arial"/>
                <w:b w:val="0"/>
                <w:sz w:val="11"/>
              </w:rPr>
              <w:t>Critical</w:t>
            </w:r>
          </w:p>
        </w:tc>
        <w:tc>
          <w:tcPr>
            <w:tcW w:type="dxa" w:w="1872"/>
            <w:vAlign w:val="center"/>
            <w:tcMar>
              <w:top w:w="70" w:type="dxa"/>
              <w:start w:w="80" w:type="dxa"/>
              <w:bottom w:w="70" w:type="dxa"/>
              <w:end w:w="80" w:type="dxa"/>
            </w:tcMar>
            <w:shd w:fill="F8F9FA"/>
          </w:tcPr>
          <w:p>
            <w:pPr>
              <w:spacing w:after="0"/>
            </w:pPr>
            <w:r/>
            <w:r>
              <w:rPr>
                <w:rFonts w:ascii="Arial" w:hAnsi="Arial"/>
                <w:b w:val="0"/>
                <w:sz w:val="11"/>
              </w:rPr>
              <w:t>Orphan copies, missed deletion evidence or conflicting policies.</w:t>
            </w:r>
          </w:p>
        </w:tc>
        <w:tc>
          <w:tcPr>
            <w:tcW w:type="dxa" w:w="2520"/>
            <w:vAlign w:val="center"/>
            <w:tcMar>
              <w:top w:w="70" w:type="dxa"/>
              <w:start w:w="80" w:type="dxa"/>
              <w:bottom w:w="70" w:type="dxa"/>
              <w:end w:w="80" w:type="dxa"/>
            </w:tcMar>
            <w:shd w:fill="F8F9FA"/>
          </w:tcPr>
          <w:p>
            <w:pPr>
              <w:spacing w:after="0"/>
            </w:pPr>
            <w:r/>
            <w:r>
              <w:rPr>
                <w:rFonts w:ascii="Arial" w:hAnsi="Arial"/>
                <w:b w:val="0"/>
                <w:sz w:val="11"/>
              </w:rPr>
              <w:t>Product lineage, policy metadata, controlled copies and end-to-end lifecycle tests.</w:t>
            </w:r>
          </w:p>
        </w:tc>
        <w:tc>
          <w:tcPr>
            <w:tcW w:type="dxa" w:w="1008"/>
            <w:vAlign w:val="center"/>
            <w:tcMar>
              <w:top w:w="70" w:type="dxa"/>
              <w:start w:w="80" w:type="dxa"/>
              <w:bottom w:w="70" w:type="dxa"/>
              <w:end w:w="80" w:type="dxa"/>
            </w:tcMar>
            <w:shd w:fill="F8F9FA"/>
          </w:tcPr>
          <w:p>
            <w:pPr>
              <w:spacing w:after="0"/>
            </w:pPr>
            <w:r/>
            <w:r>
              <w:rPr>
                <w:rFonts w:ascii="Arial" w:hAnsi="Arial"/>
                <w:b w:val="0"/>
                <w:sz w:val="11"/>
              </w:rPr>
              <w:t>Privacy/Governance</w:t>
            </w:r>
          </w:p>
        </w:tc>
      </w:tr>
    </w:tbl>
    <w:p>
      <w:pPr>
        <w:spacing w:after="20"/>
      </w:pPr>
    </w:p>
    <w:p>
      <w:pPr>
        <w:pStyle w:val="Heading2"/>
      </w:pPr>
      <w:r>
        <w:t>14.1 Risk Scoring and Escalation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Rating</w:t>
            </w:r>
          </w:p>
        </w:tc>
        <w:tc>
          <w:tcPr>
            <w:tcW w:type="dxa" w:w="6192"/>
            <w:vAlign w:val="center"/>
            <w:tcMar>
              <w:top w:w="70" w:type="dxa"/>
              <w:start w:w="80" w:type="dxa"/>
              <w:bottom w:w="70" w:type="dxa"/>
              <w:end w:w="80" w:type="dxa"/>
            </w:tcMar>
            <w:shd w:fill="1A73E8"/>
          </w:tcPr>
          <w:p>
            <w:pPr>
              <w:spacing w:after="0"/>
            </w:pPr>
            <w:r/>
            <w:r>
              <w:rPr>
                <w:rFonts w:ascii="Arial" w:hAnsi="Arial"/>
                <w:b/>
                <w:color w:val="FFFFFF"/>
                <w:sz w:val="16"/>
              </w:rPr>
              <w:t>Treatment</w:t>
            </w:r>
          </w:p>
        </w:tc>
        <w:tc>
          <w:tcPr>
            <w:tcW w:type="dxa" w:w="2664"/>
            <w:vAlign w:val="center"/>
            <w:tcMar>
              <w:top w:w="70" w:type="dxa"/>
              <w:start w:w="80" w:type="dxa"/>
              <w:bottom w:w="70" w:type="dxa"/>
              <w:end w:w="80" w:type="dxa"/>
            </w:tcMar>
            <w:shd w:fill="1A73E8"/>
          </w:tcPr>
          <w:p>
            <w:pPr>
              <w:spacing w:after="0"/>
            </w:pPr>
            <w:r/>
            <w:r>
              <w:rPr>
                <w:rFonts w:ascii="Arial" w:hAnsi="Arial"/>
                <w:b/>
                <w:color w:val="FFFFFF"/>
                <w:sz w:val="16"/>
              </w:rPr>
              <w:t>Governance</w:t>
            </w:r>
          </w:p>
        </w:tc>
      </w:tr>
      <w:tr>
        <w:tc>
          <w:tcPr>
            <w:tcW w:type="dxa" w:w="1224"/>
            <w:vAlign w:val="center"/>
            <w:tcMar>
              <w:top w:w="70" w:type="dxa"/>
              <w:start w:w="80" w:type="dxa"/>
              <w:bottom w:w="70" w:type="dxa"/>
              <w:end w:w="80" w:type="dxa"/>
            </w:tcMar>
          </w:tcPr>
          <w:p>
            <w:pPr>
              <w:spacing w:after="0"/>
            </w:pPr>
            <w:r/>
            <w:r>
              <w:rPr>
                <w:rFonts w:ascii="Arial" w:hAnsi="Arial"/>
                <w:b w:val="0"/>
                <w:sz w:val="15"/>
              </w:rPr>
              <w:t>Critical</w:t>
            </w:r>
          </w:p>
        </w:tc>
        <w:tc>
          <w:tcPr>
            <w:tcW w:type="dxa" w:w="6192"/>
            <w:vAlign w:val="center"/>
            <w:tcMar>
              <w:top w:w="70" w:type="dxa"/>
              <w:start w:w="80" w:type="dxa"/>
              <w:bottom w:w="70" w:type="dxa"/>
              <w:end w:w="80" w:type="dxa"/>
            </w:tcMar>
          </w:tcPr>
          <w:p>
            <w:pPr>
              <w:spacing w:after="0"/>
            </w:pPr>
            <w:r/>
            <w:r>
              <w:rPr>
                <w:rFonts w:ascii="Arial" w:hAnsi="Arial"/>
                <w:b w:val="0"/>
                <w:sz w:val="15"/>
              </w:rPr>
              <w:t>Immediate mitigation plan; no go-live without explicit executive risk acceptance.</w:t>
            </w:r>
          </w:p>
        </w:tc>
        <w:tc>
          <w:tcPr>
            <w:tcW w:type="dxa" w:w="2664"/>
            <w:vAlign w:val="center"/>
            <w:tcMar>
              <w:top w:w="70" w:type="dxa"/>
              <w:start w:w="80" w:type="dxa"/>
              <w:bottom w:w="70" w:type="dxa"/>
              <w:end w:w="80" w:type="dxa"/>
            </w:tcMar>
          </w:tcPr>
          <w:p>
            <w:pPr>
              <w:spacing w:after="0"/>
            </w:pPr>
            <w:r/>
            <w:r>
              <w:rPr>
                <w:rFonts w:ascii="Arial" w:hAnsi="Arial"/>
                <w:b w:val="0"/>
                <w:sz w:val="15"/>
              </w:rPr>
              <w:t>Weekly review and executive escalation.</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5"/>
              </w:rPr>
              <w:t>High</w:t>
            </w:r>
          </w:p>
        </w:tc>
        <w:tc>
          <w:tcPr>
            <w:tcW w:type="dxa" w:w="6192"/>
            <w:vAlign w:val="center"/>
            <w:tcMar>
              <w:top w:w="70" w:type="dxa"/>
              <w:start w:w="80" w:type="dxa"/>
              <w:bottom w:w="70" w:type="dxa"/>
              <w:end w:w="80" w:type="dxa"/>
            </w:tcMar>
            <w:shd w:fill="F8F9FA"/>
          </w:tcPr>
          <w:p>
            <w:pPr>
              <w:spacing w:after="0"/>
            </w:pPr>
            <w:r/>
            <w:r>
              <w:rPr>
                <w:rFonts w:ascii="Arial" w:hAnsi="Arial"/>
                <w:b w:val="0"/>
                <w:sz w:val="15"/>
              </w:rPr>
              <w:t>Funded mitigation with owner and target date; production conditions may apply.</w:t>
            </w:r>
          </w:p>
        </w:tc>
        <w:tc>
          <w:tcPr>
            <w:tcW w:type="dxa" w:w="2664"/>
            <w:vAlign w:val="center"/>
            <w:tcMar>
              <w:top w:w="70" w:type="dxa"/>
              <w:start w:w="80" w:type="dxa"/>
              <w:bottom w:w="70" w:type="dxa"/>
              <w:end w:w="80" w:type="dxa"/>
            </w:tcMar>
            <w:shd w:fill="F8F9FA"/>
          </w:tcPr>
          <w:p>
            <w:pPr>
              <w:spacing w:after="0"/>
            </w:pPr>
            <w:r/>
            <w:r>
              <w:rPr>
                <w:rFonts w:ascii="Arial" w:hAnsi="Arial"/>
                <w:b w:val="0"/>
                <w:sz w:val="15"/>
              </w:rPr>
              <w:t>Monthly architecture/program review.</w:t>
            </w:r>
          </w:p>
        </w:tc>
      </w:tr>
      <w:tr>
        <w:tc>
          <w:tcPr>
            <w:tcW w:type="dxa" w:w="1224"/>
            <w:vAlign w:val="center"/>
            <w:tcMar>
              <w:top w:w="70" w:type="dxa"/>
              <w:start w:w="80" w:type="dxa"/>
              <w:bottom w:w="70" w:type="dxa"/>
              <w:end w:w="80" w:type="dxa"/>
            </w:tcMar>
          </w:tcPr>
          <w:p>
            <w:pPr>
              <w:spacing w:after="0"/>
            </w:pPr>
            <w:r/>
            <w:r>
              <w:rPr>
                <w:rFonts w:ascii="Arial" w:hAnsi="Arial"/>
                <w:b w:val="0"/>
                <w:sz w:val="15"/>
              </w:rPr>
              <w:t>Medium</w:t>
            </w:r>
          </w:p>
        </w:tc>
        <w:tc>
          <w:tcPr>
            <w:tcW w:type="dxa" w:w="6192"/>
            <w:vAlign w:val="center"/>
            <w:tcMar>
              <w:top w:w="70" w:type="dxa"/>
              <w:start w:w="80" w:type="dxa"/>
              <w:bottom w:w="70" w:type="dxa"/>
              <w:end w:w="80" w:type="dxa"/>
            </w:tcMar>
          </w:tcPr>
          <w:p>
            <w:pPr>
              <w:spacing w:after="0"/>
            </w:pPr>
            <w:r/>
            <w:r>
              <w:rPr>
                <w:rFonts w:ascii="Arial" w:hAnsi="Arial"/>
                <w:b w:val="0"/>
                <w:sz w:val="15"/>
              </w:rPr>
              <w:t>Monitor indicators and implement proportionate controls.</w:t>
            </w:r>
          </w:p>
        </w:tc>
        <w:tc>
          <w:tcPr>
            <w:tcW w:type="dxa" w:w="2664"/>
            <w:vAlign w:val="center"/>
            <w:tcMar>
              <w:top w:w="70" w:type="dxa"/>
              <w:start w:w="80" w:type="dxa"/>
              <w:bottom w:w="70" w:type="dxa"/>
              <w:end w:w="80" w:type="dxa"/>
            </w:tcMar>
          </w:tcPr>
          <w:p>
            <w:pPr>
              <w:spacing w:after="0"/>
            </w:pPr>
            <w:r/>
            <w:r>
              <w:rPr>
                <w:rFonts w:ascii="Arial" w:hAnsi="Arial"/>
                <w:b w:val="0"/>
                <w:sz w:val="15"/>
              </w:rPr>
              <w:t>Quarterly review.</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5"/>
              </w:rPr>
              <w:t>Low</w:t>
            </w:r>
          </w:p>
        </w:tc>
        <w:tc>
          <w:tcPr>
            <w:tcW w:type="dxa" w:w="6192"/>
            <w:vAlign w:val="center"/>
            <w:tcMar>
              <w:top w:w="70" w:type="dxa"/>
              <w:start w:w="80" w:type="dxa"/>
              <w:bottom w:w="70" w:type="dxa"/>
              <w:end w:w="80" w:type="dxa"/>
            </w:tcMar>
            <w:shd w:fill="F8F9FA"/>
          </w:tcPr>
          <w:p>
            <w:pPr>
              <w:spacing w:after="0"/>
            </w:pPr>
            <w:r/>
            <w:r>
              <w:rPr>
                <w:rFonts w:ascii="Arial" w:hAnsi="Arial"/>
                <w:b w:val="0"/>
                <w:sz w:val="15"/>
              </w:rPr>
              <w:t>Accept or manage through standard controls.</w:t>
            </w:r>
          </w:p>
        </w:tc>
        <w:tc>
          <w:tcPr>
            <w:tcW w:type="dxa" w:w="2664"/>
            <w:vAlign w:val="center"/>
            <w:tcMar>
              <w:top w:w="70" w:type="dxa"/>
              <w:start w:w="80" w:type="dxa"/>
              <w:bottom w:w="70" w:type="dxa"/>
              <w:end w:w="80" w:type="dxa"/>
            </w:tcMar>
            <w:shd w:fill="F8F9FA"/>
          </w:tcPr>
          <w:p>
            <w:pPr>
              <w:spacing w:after="0"/>
            </w:pPr>
            <w:r/>
            <w:r>
              <w:rPr>
                <w:rFonts w:ascii="Arial" w:hAnsi="Arial"/>
                <w:b w:val="0"/>
                <w:sz w:val="15"/>
              </w:rPr>
              <w:t>Annual or change-triggered review.</w:t>
            </w:r>
          </w:p>
        </w:tc>
      </w:tr>
    </w:tbl>
    <w:p>
      <w:pPr>
        <w:spacing w:after="20"/>
      </w:pPr>
    </w:p>
    <w:p>
      <w:pPr>
        <w:pStyle w:val="Heading2"/>
      </w:pPr>
      <w:r>
        <w:t>14.2 Residual-risk Acceptance</w:t>
      </w:r>
    </w:p>
    <w:p>
      <w:pPr>
        <w:pStyle w:val="ListBullet"/>
        <w:spacing w:after="40"/>
      </w:pPr>
      <w:r>
        <w:t>The risk owner must be senior enough to own the business impact, not only the technical implementation.</w:t>
      </w:r>
    </w:p>
    <w:p>
      <w:pPr>
        <w:pStyle w:val="ListBullet"/>
        <w:spacing w:after="40"/>
      </w:pPr>
      <w:r>
        <w:t>Acceptance states scope, duration, financial or regulatory exposure, compensating controls and review trigger.</w:t>
      </w:r>
    </w:p>
    <w:p>
      <w:pPr>
        <w:pStyle w:val="ListBullet"/>
        <w:spacing w:after="40"/>
      </w:pPr>
      <w:r>
        <w:t>Critical security, privacy and safety risks require the designated executive and control-owner approval.</w:t>
      </w:r>
    </w:p>
    <w:p>
      <w:pPr>
        <w:pStyle w:val="ListBullet"/>
        <w:spacing w:after="40"/>
      </w:pPr>
      <w:r>
        <w:t>An accepted risk remains visible in dashboards and does not disappear from the register.</w:t>
      </w:r>
    </w:p>
    <w:p>
      <w:pPr>
        <w:pStyle w:val="ListBullet"/>
        <w:spacing w:after="40"/>
      </w:pPr>
      <w:r>
        <w:t>Expired acceptance blocks further production change until renewed or remediated.</w:t>
      </w:r>
    </w:p>
    <w:p>
      <w:r>
        <w:br w:type="page"/>
      </w:r>
    </w:p>
    <w:p>
      <w:pPr>
        <w:pStyle w:val="Heading1"/>
      </w:pPr>
      <w:r>
        <w:t>15. Architecture Assurance and Production Readiness</w:t>
      </w:r>
    </w:p>
    <w:p>
      <w:pPr>
        <w:pStyle w:val="Lead"/>
      </w:pPr>
      <w:r>
        <w:t>Architecture assurance validates that implementation preserves the reference architecture's intent. Reviews are evidence-based and proportional to data classification, service tier, scale and AI risk.</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Review lifecycle; Conformance criteria; Production readiness; Quality gates.</w:t>
            </w:r>
          </w:p>
        </w:tc>
      </w:tr>
    </w:tbl>
    <w:p>
      <w:pPr>
        <w:spacing w:after="20"/>
      </w:pPr>
    </w:p>
    <w:p>
      <w:pPr>
        <w:pStyle w:val="Heading2"/>
      </w:pPr>
      <w:r>
        <w:t>15.1 Assurance Lifecycle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Review point</w:t>
            </w:r>
          </w:p>
        </w:tc>
        <w:tc>
          <w:tcPr>
            <w:tcW w:type="dxa" w:w="2304"/>
            <w:vAlign w:val="center"/>
            <w:tcMar>
              <w:top w:w="70" w:type="dxa"/>
              <w:start w:w="80" w:type="dxa"/>
              <w:bottom w:w="70" w:type="dxa"/>
              <w:end w:w="80" w:type="dxa"/>
            </w:tcMar>
            <w:shd w:fill="1A73E8"/>
          </w:tcPr>
          <w:p>
            <w:pPr>
              <w:spacing w:after="0"/>
            </w:pPr>
            <w:r/>
            <w:r>
              <w:rPr>
                <w:rFonts w:ascii="Arial" w:hAnsi="Arial"/>
                <w:b/>
                <w:color w:val="FFFFFF"/>
                <w:sz w:val="16"/>
              </w:rPr>
              <w:t>Purpose</w:t>
            </w:r>
          </w:p>
        </w:tc>
        <w:tc>
          <w:tcPr>
            <w:tcW w:type="dxa" w:w="4392"/>
            <w:vAlign w:val="center"/>
            <w:tcMar>
              <w:top w:w="70" w:type="dxa"/>
              <w:start w:w="80" w:type="dxa"/>
              <w:bottom w:w="70" w:type="dxa"/>
              <w:end w:w="80" w:type="dxa"/>
            </w:tcMar>
            <w:shd w:fill="1A73E8"/>
          </w:tcPr>
          <w:p>
            <w:pPr>
              <w:spacing w:after="0"/>
            </w:pPr>
            <w:r/>
            <w:r>
              <w:rPr>
                <w:rFonts w:ascii="Arial" w:hAnsi="Arial"/>
                <w:b/>
                <w:color w:val="FFFFFF"/>
                <w:sz w:val="16"/>
              </w:rPr>
              <w:t>Required artifacts</w:t>
            </w:r>
          </w:p>
        </w:tc>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Outcome</w:t>
            </w:r>
          </w:p>
        </w:tc>
      </w:tr>
      <w:tr>
        <w:tc>
          <w:tcPr>
            <w:tcW w:type="dxa" w:w="1800"/>
            <w:vAlign w:val="center"/>
            <w:tcMar>
              <w:top w:w="70" w:type="dxa"/>
              <w:start w:w="80" w:type="dxa"/>
              <w:bottom w:w="70" w:type="dxa"/>
              <w:end w:w="80" w:type="dxa"/>
            </w:tcMar>
          </w:tcPr>
          <w:p>
            <w:pPr>
              <w:spacing w:after="0"/>
            </w:pPr>
            <w:r/>
            <w:r>
              <w:rPr>
                <w:rFonts w:ascii="Arial" w:hAnsi="Arial"/>
                <w:b w:val="0"/>
                <w:sz w:val="14"/>
              </w:rPr>
              <w:t>Concept review</w:t>
            </w:r>
          </w:p>
        </w:tc>
        <w:tc>
          <w:tcPr>
            <w:tcW w:type="dxa" w:w="2304"/>
            <w:vAlign w:val="center"/>
            <w:tcMar>
              <w:top w:w="70" w:type="dxa"/>
              <w:start w:w="80" w:type="dxa"/>
              <w:bottom w:w="70" w:type="dxa"/>
              <w:end w:w="80" w:type="dxa"/>
            </w:tcMar>
          </w:tcPr>
          <w:p>
            <w:pPr>
              <w:spacing w:after="0"/>
            </w:pPr>
            <w:r/>
            <w:r>
              <w:rPr>
                <w:rFonts w:ascii="Arial" w:hAnsi="Arial"/>
                <w:b w:val="0"/>
                <w:sz w:val="14"/>
              </w:rPr>
              <w:t>Confirm business value, ownership, classification, tier and strategic fit.</w:t>
            </w:r>
          </w:p>
        </w:tc>
        <w:tc>
          <w:tcPr>
            <w:tcW w:type="dxa" w:w="4392"/>
            <w:vAlign w:val="center"/>
            <w:tcMar>
              <w:top w:w="70" w:type="dxa"/>
              <w:start w:w="80" w:type="dxa"/>
              <w:bottom w:w="70" w:type="dxa"/>
              <w:end w:w="80" w:type="dxa"/>
            </w:tcMar>
          </w:tcPr>
          <w:p>
            <w:pPr>
              <w:spacing w:after="0"/>
            </w:pPr>
            <w:r/>
            <w:r>
              <w:rPr>
                <w:rFonts w:ascii="Arial" w:hAnsi="Arial"/>
                <w:b w:val="0"/>
                <w:sz w:val="14"/>
              </w:rPr>
              <w:t>Problem statement, product concept, consumer, source and initial risk.</w:t>
            </w:r>
          </w:p>
        </w:tc>
        <w:tc>
          <w:tcPr>
            <w:tcW w:type="dxa" w:w="1584"/>
            <w:vAlign w:val="center"/>
            <w:tcMar>
              <w:top w:w="70" w:type="dxa"/>
              <w:start w:w="80" w:type="dxa"/>
              <w:bottom w:w="70" w:type="dxa"/>
              <w:end w:w="80" w:type="dxa"/>
            </w:tcMar>
          </w:tcPr>
          <w:p>
            <w:pPr>
              <w:spacing w:after="0"/>
            </w:pPr>
            <w:r/>
            <w:r>
              <w:rPr>
                <w:rFonts w:ascii="Arial" w:hAnsi="Arial"/>
                <w:b w:val="0"/>
                <w:sz w:val="14"/>
              </w:rPr>
              <w:t>Proceed, revise or stop before detailed design.</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Architecture review</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Validate logical/physical design, service choices, region, security, failure and cost.</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Architecture diagrams, ADRs, data flows, threat model, NFR design and forecast.</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Approved, conditional or exception required.</w:t>
            </w:r>
          </w:p>
        </w:tc>
      </w:tr>
      <w:tr>
        <w:tc>
          <w:tcPr>
            <w:tcW w:type="dxa" w:w="1800"/>
            <w:vAlign w:val="center"/>
            <w:tcMar>
              <w:top w:w="70" w:type="dxa"/>
              <w:start w:w="80" w:type="dxa"/>
              <w:bottom w:w="70" w:type="dxa"/>
              <w:end w:w="80" w:type="dxa"/>
            </w:tcMar>
          </w:tcPr>
          <w:p>
            <w:pPr>
              <w:spacing w:after="0"/>
            </w:pPr>
            <w:r/>
            <w:r>
              <w:rPr>
                <w:rFonts w:ascii="Arial" w:hAnsi="Arial"/>
                <w:b w:val="0"/>
                <w:sz w:val="14"/>
              </w:rPr>
              <w:t>Detailed design review</w:t>
            </w:r>
          </w:p>
        </w:tc>
        <w:tc>
          <w:tcPr>
            <w:tcW w:type="dxa" w:w="2304"/>
            <w:vAlign w:val="center"/>
            <w:tcMar>
              <w:top w:w="70" w:type="dxa"/>
              <w:start w:w="80" w:type="dxa"/>
              <w:bottom w:w="70" w:type="dxa"/>
              <w:end w:w="80" w:type="dxa"/>
            </w:tcMar>
          </w:tcPr>
          <w:p>
            <w:pPr>
              <w:spacing w:after="0"/>
            </w:pPr>
            <w:r/>
            <w:r>
              <w:rPr>
                <w:rFonts w:ascii="Arial" w:hAnsi="Arial"/>
                <w:b w:val="0"/>
                <w:sz w:val="14"/>
              </w:rPr>
              <w:t>Validate implementation-ready specifications and interfaces.</w:t>
            </w:r>
          </w:p>
        </w:tc>
        <w:tc>
          <w:tcPr>
            <w:tcW w:type="dxa" w:w="4392"/>
            <w:vAlign w:val="center"/>
            <w:tcMar>
              <w:top w:w="70" w:type="dxa"/>
              <w:start w:w="80" w:type="dxa"/>
              <w:bottom w:w="70" w:type="dxa"/>
              <w:end w:w="80" w:type="dxa"/>
            </w:tcMar>
          </w:tcPr>
          <w:p>
            <w:pPr>
              <w:spacing w:after="0"/>
            </w:pPr>
            <w:r/>
            <w:r>
              <w:rPr>
                <w:rFonts w:ascii="Arial" w:hAnsi="Arial"/>
                <w:b w:val="0"/>
                <w:sz w:val="14"/>
              </w:rPr>
              <w:t>Schemas/contracts, IAM, network flows, Terraform plan, pipeline design and tests.</w:t>
            </w:r>
          </w:p>
        </w:tc>
        <w:tc>
          <w:tcPr>
            <w:tcW w:type="dxa" w:w="1584"/>
            <w:vAlign w:val="center"/>
            <w:tcMar>
              <w:top w:w="70" w:type="dxa"/>
              <w:start w:w="80" w:type="dxa"/>
              <w:bottom w:w="70" w:type="dxa"/>
              <w:end w:w="80" w:type="dxa"/>
            </w:tcMar>
          </w:tcPr>
          <w:p>
            <w:pPr>
              <w:spacing w:after="0"/>
            </w:pPr>
            <w:r/>
            <w:r>
              <w:rPr>
                <w:rFonts w:ascii="Arial" w:hAnsi="Arial"/>
                <w:b w:val="0"/>
                <w:sz w:val="14"/>
              </w:rPr>
              <w:t>Ready to build or action list.</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Security/privacy review</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Validate control implementation and regulatory obligations.</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Data classification, access model, perimeter, keys, logs, DLP and privacy workflow.</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Security approval or remediation.</w:t>
            </w:r>
          </w:p>
        </w:tc>
      </w:tr>
      <w:tr>
        <w:tc>
          <w:tcPr>
            <w:tcW w:type="dxa" w:w="1800"/>
            <w:vAlign w:val="center"/>
            <w:tcMar>
              <w:top w:w="70" w:type="dxa"/>
              <w:start w:w="80" w:type="dxa"/>
              <w:bottom w:w="70" w:type="dxa"/>
              <w:end w:w="80" w:type="dxa"/>
            </w:tcMar>
          </w:tcPr>
          <w:p>
            <w:pPr>
              <w:spacing w:after="0"/>
            </w:pPr>
            <w:r/>
            <w:r>
              <w:rPr>
                <w:rFonts w:ascii="Arial" w:hAnsi="Arial"/>
                <w:b w:val="0"/>
                <w:sz w:val="14"/>
              </w:rPr>
              <w:t>Performance/capacity review</w:t>
            </w:r>
          </w:p>
        </w:tc>
        <w:tc>
          <w:tcPr>
            <w:tcW w:type="dxa" w:w="2304"/>
            <w:vAlign w:val="center"/>
            <w:tcMar>
              <w:top w:w="70" w:type="dxa"/>
              <w:start w:w="80" w:type="dxa"/>
              <w:bottom w:w="70" w:type="dxa"/>
              <w:end w:w="80" w:type="dxa"/>
            </w:tcMar>
          </w:tcPr>
          <w:p>
            <w:pPr>
              <w:spacing w:after="0"/>
            </w:pPr>
            <w:r/>
            <w:r>
              <w:rPr>
                <w:rFonts w:ascii="Arial" w:hAnsi="Arial"/>
                <w:b w:val="0"/>
                <w:sz w:val="14"/>
              </w:rPr>
              <w:t>Validate expected scale and quotas.</w:t>
            </w:r>
          </w:p>
        </w:tc>
        <w:tc>
          <w:tcPr>
            <w:tcW w:type="dxa" w:w="4392"/>
            <w:vAlign w:val="center"/>
            <w:tcMar>
              <w:top w:w="70" w:type="dxa"/>
              <w:start w:w="80" w:type="dxa"/>
              <w:bottom w:w="70" w:type="dxa"/>
              <w:end w:w="80" w:type="dxa"/>
            </w:tcMar>
          </w:tcPr>
          <w:p>
            <w:pPr>
              <w:spacing w:after="0"/>
            </w:pPr>
            <w:r/>
            <w:r>
              <w:rPr>
                <w:rFonts w:ascii="Arial" w:hAnsi="Arial"/>
                <w:b w:val="0"/>
                <w:sz w:val="14"/>
              </w:rPr>
              <w:t>Load model, benchmark, query/partition design, autoscaling and quota plan.</w:t>
            </w:r>
          </w:p>
        </w:tc>
        <w:tc>
          <w:tcPr>
            <w:tcW w:type="dxa" w:w="1584"/>
            <w:vAlign w:val="center"/>
            <w:tcMar>
              <w:top w:w="70" w:type="dxa"/>
              <w:start w:w="80" w:type="dxa"/>
              <w:bottom w:w="70" w:type="dxa"/>
              <w:end w:w="80" w:type="dxa"/>
            </w:tcMar>
          </w:tcPr>
          <w:p>
            <w:pPr>
              <w:spacing w:after="0"/>
            </w:pPr>
            <w:r/>
            <w:r>
              <w:rPr>
                <w:rFonts w:ascii="Arial" w:hAnsi="Arial"/>
                <w:b w:val="0"/>
                <w:sz w:val="14"/>
              </w:rPr>
              <w:t>Capacity approved.</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Operational readiness review</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Validate ownership and support.</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SLOs, dashboards, alerts, runbooks, escalation, cost and dependencies.</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Operations approval.</w:t>
            </w:r>
          </w:p>
        </w:tc>
      </w:tr>
      <w:tr>
        <w:tc>
          <w:tcPr>
            <w:tcW w:type="dxa" w:w="1800"/>
            <w:vAlign w:val="center"/>
            <w:tcMar>
              <w:top w:w="70" w:type="dxa"/>
              <w:start w:w="80" w:type="dxa"/>
              <w:bottom w:w="70" w:type="dxa"/>
              <w:end w:w="80" w:type="dxa"/>
            </w:tcMar>
          </w:tcPr>
          <w:p>
            <w:pPr>
              <w:spacing w:after="0"/>
            </w:pPr>
            <w:r/>
            <w:r>
              <w:rPr>
                <w:rFonts w:ascii="Arial" w:hAnsi="Arial"/>
                <w:b w:val="0"/>
                <w:sz w:val="14"/>
              </w:rPr>
              <w:t>Recovery review</w:t>
            </w:r>
          </w:p>
        </w:tc>
        <w:tc>
          <w:tcPr>
            <w:tcW w:type="dxa" w:w="2304"/>
            <w:vAlign w:val="center"/>
            <w:tcMar>
              <w:top w:w="70" w:type="dxa"/>
              <w:start w:w="80" w:type="dxa"/>
              <w:bottom w:w="70" w:type="dxa"/>
              <w:end w:w="80" w:type="dxa"/>
            </w:tcMar>
          </w:tcPr>
          <w:p>
            <w:pPr>
              <w:spacing w:after="0"/>
            </w:pPr>
            <w:r/>
            <w:r>
              <w:rPr>
                <w:rFonts w:ascii="Arial" w:hAnsi="Arial"/>
                <w:b w:val="0"/>
                <w:sz w:val="14"/>
              </w:rPr>
              <w:t>Validate RTO/RPO and service-specific recovery.</w:t>
            </w:r>
          </w:p>
        </w:tc>
        <w:tc>
          <w:tcPr>
            <w:tcW w:type="dxa" w:w="4392"/>
            <w:vAlign w:val="center"/>
            <w:tcMar>
              <w:top w:w="70" w:type="dxa"/>
              <w:start w:w="80" w:type="dxa"/>
              <w:bottom w:w="70" w:type="dxa"/>
              <w:end w:w="80" w:type="dxa"/>
            </w:tcMar>
          </w:tcPr>
          <w:p>
            <w:pPr>
              <w:spacing w:after="0"/>
            </w:pPr>
            <w:r/>
            <w:r>
              <w:rPr>
                <w:rFonts w:ascii="Arial" w:hAnsi="Arial"/>
                <w:b w:val="0"/>
                <w:sz w:val="14"/>
              </w:rPr>
              <w:t>Recovery design, backup/replay, IaC, test evidence and failback.</w:t>
            </w:r>
          </w:p>
        </w:tc>
        <w:tc>
          <w:tcPr>
            <w:tcW w:type="dxa" w:w="1584"/>
            <w:vAlign w:val="center"/>
            <w:tcMar>
              <w:top w:w="70" w:type="dxa"/>
              <w:start w:w="80" w:type="dxa"/>
              <w:bottom w:w="70" w:type="dxa"/>
              <w:end w:w="80" w:type="dxa"/>
            </w:tcMar>
          </w:tcPr>
          <w:p>
            <w:pPr>
              <w:spacing w:after="0"/>
            </w:pPr>
            <w:r/>
            <w:r>
              <w:rPr>
                <w:rFonts w:ascii="Arial" w:hAnsi="Arial"/>
                <w:b w:val="0"/>
                <w:sz w:val="14"/>
              </w:rPr>
              <w:t>Recovery approval.</w:t>
            </w:r>
          </w:p>
        </w:tc>
      </w:tr>
      <w:tr>
        <w:tc>
          <w:tcPr>
            <w:tcW w:type="dxa" w:w="1800"/>
            <w:vAlign w:val="center"/>
            <w:tcMar>
              <w:top w:w="70" w:type="dxa"/>
              <w:start w:w="80" w:type="dxa"/>
              <w:bottom w:w="70" w:type="dxa"/>
              <w:end w:w="80" w:type="dxa"/>
            </w:tcMar>
            <w:shd w:fill="F8F9FA"/>
          </w:tcPr>
          <w:p>
            <w:pPr>
              <w:spacing w:after="0"/>
            </w:pPr>
            <w:r/>
            <w:r>
              <w:rPr>
                <w:rFonts w:ascii="Arial" w:hAnsi="Arial"/>
                <w:b w:val="0"/>
                <w:sz w:val="14"/>
              </w:rPr>
              <w:t>Production readiness review</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Confirm all evidence and residual risk.</w:t>
            </w:r>
          </w:p>
        </w:tc>
        <w:tc>
          <w:tcPr>
            <w:tcW w:type="dxa" w:w="4392"/>
            <w:vAlign w:val="center"/>
            <w:tcMar>
              <w:top w:w="70" w:type="dxa"/>
              <w:start w:w="80" w:type="dxa"/>
              <w:bottom w:w="70" w:type="dxa"/>
              <w:end w:w="80" w:type="dxa"/>
            </w:tcMar>
            <w:shd w:fill="F8F9FA"/>
          </w:tcPr>
          <w:p>
            <w:pPr>
              <w:spacing w:after="0"/>
            </w:pPr>
            <w:r/>
            <w:r>
              <w:rPr>
                <w:rFonts w:ascii="Arial" w:hAnsi="Arial"/>
                <w:b w:val="0"/>
                <w:sz w:val="14"/>
              </w:rPr>
              <w:t>Acceptance matrix, release/rollback, business sign-off and open conditions.</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Go, conditional go or no-go.</w:t>
            </w:r>
          </w:p>
        </w:tc>
      </w:tr>
      <w:tr>
        <w:tc>
          <w:tcPr>
            <w:tcW w:type="dxa" w:w="1800"/>
            <w:vAlign w:val="center"/>
            <w:tcMar>
              <w:top w:w="70" w:type="dxa"/>
              <w:start w:w="80" w:type="dxa"/>
              <w:bottom w:w="70" w:type="dxa"/>
              <w:end w:w="80" w:type="dxa"/>
            </w:tcMar>
          </w:tcPr>
          <w:p>
            <w:pPr>
              <w:spacing w:after="0"/>
            </w:pPr>
            <w:r/>
            <w:r>
              <w:rPr>
                <w:rFonts w:ascii="Arial" w:hAnsi="Arial"/>
                <w:b w:val="0"/>
                <w:sz w:val="14"/>
              </w:rPr>
              <w:t>Post-launch review</w:t>
            </w:r>
          </w:p>
        </w:tc>
        <w:tc>
          <w:tcPr>
            <w:tcW w:type="dxa" w:w="2304"/>
            <w:vAlign w:val="center"/>
            <w:tcMar>
              <w:top w:w="70" w:type="dxa"/>
              <w:start w:w="80" w:type="dxa"/>
              <w:bottom w:w="70" w:type="dxa"/>
              <w:end w:w="80" w:type="dxa"/>
            </w:tcMar>
          </w:tcPr>
          <w:p>
            <w:pPr>
              <w:spacing w:after="0"/>
            </w:pPr>
            <w:r/>
            <w:r>
              <w:rPr>
                <w:rFonts w:ascii="Arial" w:hAnsi="Arial"/>
                <w:b w:val="0"/>
                <w:sz w:val="14"/>
              </w:rPr>
              <w:t>Validate actual outcome, stability and cost.</w:t>
            </w:r>
          </w:p>
        </w:tc>
        <w:tc>
          <w:tcPr>
            <w:tcW w:type="dxa" w:w="4392"/>
            <w:vAlign w:val="center"/>
            <w:tcMar>
              <w:top w:w="70" w:type="dxa"/>
              <w:start w:w="80" w:type="dxa"/>
              <w:bottom w:w="70" w:type="dxa"/>
              <w:end w:w="80" w:type="dxa"/>
            </w:tcMar>
          </w:tcPr>
          <w:p>
            <w:pPr>
              <w:spacing w:after="0"/>
            </w:pPr>
            <w:r/>
            <w:r>
              <w:rPr>
                <w:rFonts w:ascii="Arial" w:hAnsi="Arial"/>
                <w:b w:val="0"/>
                <w:sz w:val="14"/>
              </w:rPr>
              <w:t>SLO, incidents, quality, adoption, cost and user feedback.</w:t>
            </w:r>
          </w:p>
        </w:tc>
        <w:tc>
          <w:tcPr>
            <w:tcW w:type="dxa" w:w="1584"/>
            <w:vAlign w:val="center"/>
            <w:tcMar>
              <w:top w:w="70" w:type="dxa"/>
              <w:start w:w="80" w:type="dxa"/>
              <w:bottom w:w="70" w:type="dxa"/>
              <w:end w:w="80" w:type="dxa"/>
            </w:tcMar>
          </w:tcPr>
          <w:p>
            <w:pPr>
              <w:spacing w:after="0"/>
            </w:pPr>
            <w:r/>
            <w:r>
              <w:rPr>
                <w:rFonts w:ascii="Arial" w:hAnsi="Arial"/>
                <w:b w:val="0"/>
                <w:sz w:val="14"/>
              </w:rPr>
              <w:t>Stabilize, optimize or remediate.</w:t>
            </w:r>
          </w:p>
        </w:tc>
      </w:tr>
    </w:tbl>
    <w:p>
      <w:pPr>
        <w:spacing w:after="20"/>
      </w:pPr>
    </w:p>
    <w:p>
      <w:pPr>
        <w:pStyle w:val="Heading2"/>
      </w:pPr>
      <w:r>
        <w:t>15.2 Mandatory Production-readiness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tcMar>
              <w:top w:w="70" w:type="dxa"/>
              <w:start w:w="80" w:type="dxa"/>
              <w:bottom w:w="70" w:type="dxa"/>
              <w:end w:w="80" w:type="dxa"/>
            </w:tcMar>
            <w:shd w:fill="1A73E8"/>
          </w:tcPr>
          <w:p>
            <w:pPr>
              <w:spacing w:after="0"/>
            </w:pPr>
            <w:r/>
            <w:r>
              <w:rPr>
                <w:rFonts w:ascii="Arial" w:hAnsi="Arial"/>
                <w:b/>
                <w:color w:val="FFFFFF"/>
                <w:sz w:val="16"/>
              </w:rPr>
              <w:t>Area</w:t>
            </w:r>
          </w:p>
        </w:tc>
        <w:tc>
          <w:tcPr>
            <w:tcW w:type="dxa" w:w="6696"/>
            <w:vAlign w:val="center"/>
            <w:tcMar>
              <w:top w:w="70" w:type="dxa"/>
              <w:start w:w="80" w:type="dxa"/>
              <w:bottom w:w="70" w:type="dxa"/>
              <w:end w:w="80" w:type="dxa"/>
            </w:tcMar>
            <w:shd w:fill="1A73E8"/>
          </w:tcPr>
          <w:p>
            <w:pPr>
              <w:spacing w:after="0"/>
            </w:pPr>
            <w:r/>
            <w:r>
              <w:rPr>
                <w:rFonts w:ascii="Arial" w:hAnsi="Arial"/>
                <w:b/>
                <w:color w:val="FFFFFF"/>
                <w:sz w:val="16"/>
              </w:rPr>
              <w:t>Production-readiness requirement</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Pass evidence</w:t>
            </w:r>
          </w:p>
        </w:tc>
      </w:tr>
      <w:tr>
        <w:tc>
          <w:tcPr>
            <w:tcW w:type="dxa" w:w="1656"/>
            <w:vAlign w:val="center"/>
            <w:tcMar>
              <w:top w:w="70" w:type="dxa"/>
              <w:start w:w="80" w:type="dxa"/>
              <w:bottom w:w="70" w:type="dxa"/>
              <w:end w:w="80" w:type="dxa"/>
            </w:tcMar>
          </w:tcPr>
          <w:p>
            <w:pPr>
              <w:spacing w:after="0"/>
            </w:pPr>
            <w:r/>
            <w:r>
              <w:rPr>
                <w:rFonts w:ascii="Arial" w:hAnsi="Arial"/>
                <w:b w:val="0"/>
                <w:sz w:val="14"/>
              </w:rPr>
              <w:t>Ownership</w:t>
            </w:r>
          </w:p>
        </w:tc>
        <w:tc>
          <w:tcPr>
            <w:tcW w:type="dxa" w:w="6696"/>
            <w:vAlign w:val="center"/>
            <w:tcMar>
              <w:top w:w="70" w:type="dxa"/>
              <w:start w:w="80" w:type="dxa"/>
              <w:bottom w:w="70" w:type="dxa"/>
              <w:end w:w="80" w:type="dxa"/>
            </w:tcMar>
          </w:tcPr>
          <w:p>
            <w:pPr>
              <w:spacing w:after="0"/>
            </w:pPr>
            <w:r/>
            <w:r>
              <w:rPr>
                <w:rFonts w:ascii="Arial" w:hAnsi="Arial"/>
                <w:b w:val="0"/>
                <w:sz w:val="14"/>
              </w:rPr>
              <w:t>Business owner, product owner, technical owner, data steward and on-call owner are named.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Requirements</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Functional and non-functional requirements map to implemented controls and tests.</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Classification</w:t>
            </w:r>
          </w:p>
        </w:tc>
        <w:tc>
          <w:tcPr>
            <w:tcW w:type="dxa" w:w="6696"/>
            <w:vAlign w:val="center"/>
            <w:tcMar>
              <w:top w:w="70" w:type="dxa"/>
              <w:start w:w="80" w:type="dxa"/>
              <w:bottom w:w="70" w:type="dxa"/>
              <w:end w:w="80" w:type="dxa"/>
            </w:tcMar>
          </w:tcPr>
          <w:p>
            <w:pPr>
              <w:spacing w:after="0"/>
            </w:pPr>
            <w:r/>
            <w:r>
              <w:rPr>
                <w:rFonts w:ascii="Arial" w:hAnsi="Arial"/>
                <w:b w:val="0"/>
                <w:sz w:val="14"/>
              </w:rPr>
              <w:t>Data classification, residency and service tier are approved and propagated.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Architecture</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Conceptual, logical, physical, data-flow and trust-boundary diagrams are current.</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ADRs</w:t>
            </w:r>
          </w:p>
        </w:tc>
        <w:tc>
          <w:tcPr>
            <w:tcW w:type="dxa" w:w="6696"/>
            <w:vAlign w:val="center"/>
            <w:tcMar>
              <w:top w:w="70" w:type="dxa"/>
              <w:start w:w="80" w:type="dxa"/>
              <w:bottom w:w="70" w:type="dxa"/>
              <w:end w:w="80" w:type="dxa"/>
            </w:tcMar>
          </w:tcPr>
          <w:p>
            <w:pPr>
              <w:spacing w:after="0"/>
            </w:pPr>
            <w:r/>
            <w:r>
              <w:rPr>
                <w:rFonts w:ascii="Arial" w:hAnsi="Arial"/>
                <w:b w:val="0"/>
                <w:sz w:val="14"/>
              </w:rPr>
              <w:t>Material decisions and deviations are recorded and approved.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Identity</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Human and workload identities are least privilege; no prohibited long-lived credentials exist.</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Network</w:t>
            </w:r>
          </w:p>
        </w:tc>
        <w:tc>
          <w:tcPr>
            <w:tcW w:type="dxa" w:w="6696"/>
            <w:vAlign w:val="center"/>
            <w:tcMar>
              <w:top w:w="70" w:type="dxa"/>
              <w:start w:w="80" w:type="dxa"/>
              <w:bottom w:w="70" w:type="dxa"/>
              <w:end w:w="80" w:type="dxa"/>
            </w:tcMar>
          </w:tcPr>
          <w:p>
            <w:pPr>
              <w:spacing w:after="0"/>
            </w:pPr>
            <w:r/>
            <w:r>
              <w:rPr>
                <w:rFonts w:ascii="Arial" w:hAnsi="Arial"/>
                <w:b w:val="0"/>
                <w:sz w:val="14"/>
              </w:rPr>
              <w:t>Ingress, egress, DNS, private access, perimeter and firewall behavior are tested.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Encryption</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At-rest and in-transit encryption are confirmed; CMEK lifecycle is tested where required.</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Data lifecycle</w:t>
            </w:r>
          </w:p>
        </w:tc>
        <w:tc>
          <w:tcPr>
            <w:tcW w:type="dxa" w:w="6696"/>
            <w:vAlign w:val="center"/>
            <w:tcMar>
              <w:top w:w="70" w:type="dxa"/>
              <w:start w:w="80" w:type="dxa"/>
              <w:bottom w:w="70" w:type="dxa"/>
              <w:end w:w="80" w:type="dxa"/>
            </w:tcMar>
          </w:tcPr>
          <w:p>
            <w:pPr>
              <w:spacing w:after="0"/>
            </w:pPr>
            <w:r/>
            <w:r>
              <w:rPr>
                <w:rFonts w:ascii="Arial" w:hAnsi="Arial"/>
                <w:b w:val="0"/>
                <w:sz w:val="14"/>
              </w:rPr>
              <w:t>Retention, archive, legal hold and privacy deletion are implemented and tested.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Quality</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Quality rules, thresholds, issue workflow and publishing gates are active.</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Contracts</w:t>
            </w:r>
          </w:p>
        </w:tc>
        <w:tc>
          <w:tcPr>
            <w:tcW w:type="dxa" w:w="6696"/>
            <w:vAlign w:val="center"/>
            <w:tcMar>
              <w:top w:w="70" w:type="dxa"/>
              <w:start w:w="80" w:type="dxa"/>
              <w:bottom w:w="70" w:type="dxa"/>
              <w:end w:w="80" w:type="dxa"/>
            </w:tcMar>
          </w:tcPr>
          <w:p>
            <w:pPr>
              <w:spacing w:after="0"/>
            </w:pPr>
            <w:r/>
            <w:r>
              <w:rPr>
                <w:rFonts w:ascii="Arial" w:hAnsi="Arial"/>
                <w:b w:val="0"/>
                <w:sz w:val="14"/>
              </w:rPr>
              <w:t>Schemas/interfaces, compatibility, versioning and deprecation are documented.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Lineage</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Critical source-to-product and product-to-consumer lineage is visible.</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Performance</w:t>
            </w:r>
          </w:p>
        </w:tc>
        <w:tc>
          <w:tcPr>
            <w:tcW w:type="dxa" w:w="6696"/>
            <w:vAlign w:val="center"/>
            <w:tcMar>
              <w:top w:w="70" w:type="dxa"/>
              <w:start w:w="80" w:type="dxa"/>
              <w:bottom w:w="70" w:type="dxa"/>
              <w:end w:w="80" w:type="dxa"/>
            </w:tcMar>
          </w:tcPr>
          <w:p>
            <w:pPr>
              <w:spacing w:after="0"/>
            </w:pPr>
            <w:r/>
            <w:r>
              <w:rPr>
                <w:rFonts w:ascii="Arial" w:hAnsi="Arial"/>
                <w:b w:val="0"/>
                <w:sz w:val="14"/>
              </w:rPr>
              <w:t>Representative volume, burst and concurrency tests meet targets.</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Quotas</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Relevant service quotas and scaling limits are documented and monitored.</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SLOs</w:t>
            </w:r>
          </w:p>
        </w:tc>
        <w:tc>
          <w:tcPr>
            <w:tcW w:type="dxa" w:w="6696"/>
            <w:vAlign w:val="center"/>
            <w:tcMar>
              <w:top w:w="70" w:type="dxa"/>
              <w:start w:w="80" w:type="dxa"/>
              <w:bottom w:w="70" w:type="dxa"/>
              <w:end w:w="80" w:type="dxa"/>
            </w:tcMar>
          </w:tcPr>
          <w:p>
            <w:pPr>
              <w:spacing w:after="0"/>
            </w:pPr>
            <w:r/>
            <w:r>
              <w:rPr>
                <w:rFonts w:ascii="Arial" w:hAnsi="Arial"/>
                <w:b w:val="0"/>
                <w:sz w:val="14"/>
              </w:rPr>
              <w:t>Availability, freshness, quality and latency SLIs/SLOs are measured.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Observability</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Dashboards, actionable alerts, ownership and runbook links are complete.</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Incident</w:t>
            </w:r>
          </w:p>
        </w:tc>
        <w:tc>
          <w:tcPr>
            <w:tcW w:type="dxa" w:w="6696"/>
            <w:vAlign w:val="center"/>
            <w:tcMar>
              <w:top w:w="70" w:type="dxa"/>
              <w:start w:w="80" w:type="dxa"/>
              <w:bottom w:w="70" w:type="dxa"/>
              <w:end w:w="80" w:type="dxa"/>
            </w:tcMar>
          </w:tcPr>
          <w:p>
            <w:pPr>
              <w:spacing w:after="0"/>
            </w:pPr>
            <w:r/>
            <w:r>
              <w:rPr>
                <w:rFonts w:ascii="Arial" w:hAnsi="Arial"/>
                <w:b w:val="0"/>
                <w:sz w:val="14"/>
              </w:rPr>
              <w:t>Escalation, incident command and communication procedures are tested.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Recovery</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RTO/RPO design and recovery/failback tests meet the product tier.</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CI/CD</w:t>
            </w:r>
          </w:p>
        </w:tc>
        <w:tc>
          <w:tcPr>
            <w:tcW w:type="dxa" w:w="6696"/>
            <w:vAlign w:val="center"/>
            <w:tcMar>
              <w:top w:w="70" w:type="dxa"/>
              <w:start w:w="80" w:type="dxa"/>
              <w:bottom w:w="70" w:type="dxa"/>
              <w:end w:w="80" w:type="dxa"/>
            </w:tcMar>
          </w:tcPr>
          <w:p>
            <w:pPr>
              <w:spacing w:after="0"/>
            </w:pPr>
            <w:r/>
            <w:r>
              <w:rPr>
                <w:rFonts w:ascii="Arial" w:hAnsi="Arial"/>
                <w:b w:val="0"/>
                <w:sz w:val="14"/>
              </w:rPr>
              <w:t>Build, tests, provenance, approvals, deployment and rollback are demonstrated.</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Security testing</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Threat scenarios, negative access tests and vulnerability findings are resolved.</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Compliance evidence</w:t>
            </w:r>
          </w:p>
        </w:tc>
        <w:tc>
          <w:tcPr>
            <w:tcW w:type="dxa" w:w="6696"/>
            <w:vAlign w:val="center"/>
            <w:tcMar>
              <w:top w:w="70" w:type="dxa"/>
              <w:start w:w="80" w:type="dxa"/>
              <w:bottom w:w="70" w:type="dxa"/>
              <w:end w:w="80" w:type="dxa"/>
            </w:tcMar>
          </w:tcPr>
          <w:p>
            <w:pPr>
              <w:spacing w:after="0"/>
            </w:pPr>
            <w:r/>
            <w:r>
              <w:rPr>
                <w:rFonts w:ascii="Arial" w:hAnsi="Arial"/>
                <w:b w:val="0"/>
                <w:sz w:val="14"/>
              </w:rPr>
              <w:t>Control mappings, approvals and logs are reproducible.</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Cost</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Forecast, budget, allocation metadata and optimization controls are active.</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Consumer readiness</w:t>
            </w:r>
          </w:p>
        </w:tc>
        <w:tc>
          <w:tcPr>
            <w:tcW w:type="dxa" w:w="6696"/>
            <w:vAlign w:val="center"/>
            <w:tcMar>
              <w:top w:w="70" w:type="dxa"/>
              <w:start w:w="80" w:type="dxa"/>
              <w:bottom w:w="70" w:type="dxa"/>
              <w:end w:w="80" w:type="dxa"/>
            </w:tcMar>
          </w:tcPr>
          <w:p>
            <w:pPr>
              <w:spacing w:after="0"/>
            </w:pPr>
            <w:r/>
            <w:r>
              <w:rPr>
                <w:rFonts w:ascii="Arial" w:hAnsi="Arial"/>
                <w:b w:val="0"/>
                <w:sz w:val="14"/>
              </w:rPr>
              <w:t>Access, documentation, support, training and migration are complete.</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Legacy impact</w:t>
            </w:r>
          </w:p>
        </w:tc>
        <w:tc>
          <w:tcPr>
            <w:tcW w:type="dxa" w:w="6696"/>
            <w:vAlign w:val="center"/>
            <w:tcMar>
              <w:top w:w="70" w:type="dxa"/>
              <w:start w:w="80" w:type="dxa"/>
              <w:bottom w:w="70" w:type="dxa"/>
              <w:end w:w="80" w:type="dxa"/>
            </w:tcMar>
            <w:shd w:fill="F8F9FA"/>
          </w:tcPr>
          <w:p>
            <w:pPr>
              <w:spacing w:after="0"/>
            </w:pPr>
            <w:r/>
            <w:r>
              <w:rPr>
                <w:rFonts w:ascii="Arial" w:hAnsi="Arial"/>
                <w:b w:val="0"/>
                <w:sz w:val="14"/>
              </w:rPr>
              <w:t>Coexistence, rollback and decommissioning obligations are understood.</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Evidence link or test result recorded in the product assurance record.</w:t>
            </w:r>
          </w:p>
        </w:tc>
      </w:tr>
      <w:tr>
        <w:tc>
          <w:tcPr>
            <w:tcW w:type="dxa" w:w="1656"/>
            <w:vAlign w:val="center"/>
            <w:tcMar>
              <w:top w:w="70" w:type="dxa"/>
              <w:start w:w="80" w:type="dxa"/>
              <w:bottom w:w="70" w:type="dxa"/>
              <w:end w:w="80" w:type="dxa"/>
            </w:tcMar>
          </w:tcPr>
          <w:p>
            <w:pPr>
              <w:spacing w:after="0"/>
            </w:pPr>
            <w:r/>
            <w:r>
              <w:rPr>
                <w:rFonts w:ascii="Arial" w:hAnsi="Arial"/>
                <w:b w:val="0"/>
                <w:sz w:val="14"/>
              </w:rPr>
              <w:t>Residual risk</w:t>
            </w:r>
          </w:p>
        </w:tc>
        <w:tc>
          <w:tcPr>
            <w:tcW w:type="dxa" w:w="6696"/>
            <w:vAlign w:val="center"/>
            <w:tcMar>
              <w:top w:w="70" w:type="dxa"/>
              <w:start w:w="80" w:type="dxa"/>
              <w:bottom w:w="70" w:type="dxa"/>
              <w:end w:w="80" w:type="dxa"/>
            </w:tcMar>
          </w:tcPr>
          <w:p>
            <w:pPr>
              <w:spacing w:after="0"/>
            </w:pPr>
            <w:r/>
            <w:r>
              <w:rPr>
                <w:rFonts w:ascii="Arial" w:hAnsi="Arial"/>
                <w:b w:val="0"/>
                <w:sz w:val="14"/>
              </w:rPr>
              <w:t>Open conditions have owners, dates and approved risk acceptance.</w:t>
            </w:r>
          </w:p>
        </w:tc>
        <w:tc>
          <w:tcPr>
            <w:tcW w:type="dxa" w:w="1728"/>
            <w:vAlign w:val="center"/>
            <w:tcMar>
              <w:top w:w="70" w:type="dxa"/>
              <w:start w:w="80" w:type="dxa"/>
              <w:bottom w:w="70" w:type="dxa"/>
              <w:end w:w="80" w:type="dxa"/>
            </w:tcMar>
          </w:tcPr>
          <w:p>
            <w:pPr>
              <w:spacing w:after="0"/>
            </w:pPr>
            <w:r/>
            <w:r>
              <w:rPr>
                <w:rFonts w:ascii="Arial" w:hAnsi="Arial"/>
                <w:b w:val="0"/>
                <w:sz w:val="14"/>
              </w:rPr>
              <w:t>Evidence link or test result recorded in the product assurance record.</w:t>
            </w:r>
          </w:p>
        </w:tc>
      </w:tr>
    </w:tbl>
    <w:p>
      <w:pPr>
        <w:spacing w:after="20"/>
      </w:pPr>
    </w:p>
    <w:p>
      <w:pPr>
        <w:pStyle w:val="Heading2"/>
      </w:pPr>
      <w:r>
        <w:t>15.3 Conformance Scorecard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70" w:type="dxa"/>
              <w:start w:w="80" w:type="dxa"/>
              <w:bottom w:w="70" w:type="dxa"/>
              <w:end w:w="80" w:type="dxa"/>
            </w:tcMar>
            <w:shd w:fill="1A73E8"/>
          </w:tcPr>
          <w:p>
            <w:pPr>
              <w:spacing w:after="0"/>
            </w:pPr>
            <w:r/>
            <w:r>
              <w:rPr>
                <w:rFonts w:ascii="Arial" w:hAnsi="Arial"/>
                <w:b/>
                <w:color w:val="FFFFFF"/>
                <w:sz w:val="16"/>
              </w:rPr>
              <w:t>Domain</w:t>
            </w:r>
          </w:p>
        </w:tc>
        <w:tc>
          <w:tcPr>
            <w:tcW w:type="dxa" w:w="1080"/>
            <w:vAlign w:val="center"/>
            <w:tcMar>
              <w:top w:w="70" w:type="dxa"/>
              <w:start w:w="80" w:type="dxa"/>
              <w:bottom w:w="70" w:type="dxa"/>
              <w:end w:w="80" w:type="dxa"/>
            </w:tcMar>
            <w:shd w:fill="1A73E8"/>
          </w:tcPr>
          <w:p>
            <w:pPr>
              <w:spacing w:after="0"/>
            </w:pPr>
            <w:r/>
            <w:r>
              <w:rPr>
                <w:rFonts w:ascii="Arial" w:hAnsi="Arial"/>
                <w:b/>
                <w:color w:val="FFFFFF"/>
                <w:sz w:val="16"/>
              </w:rPr>
              <w:t>Weight</w:t>
            </w:r>
          </w:p>
        </w:tc>
        <w:tc>
          <w:tcPr>
            <w:tcW w:type="dxa" w:w="6480"/>
            <w:vAlign w:val="center"/>
            <w:tcMar>
              <w:top w:w="70" w:type="dxa"/>
              <w:start w:w="80" w:type="dxa"/>
              <w:bottom w:w="70" w:type="dxa"/>
              <w:end w:w="80" w:type="dxa"/>
            </w:tcMar>
            <w:shd w:fill="1A73E8"/>
          </w:tcPr>
          <w:p>
            <w:pPr>
              <w:spacing w:after="0"/>
            </w:pPr>
            <w:r/>
            <w:r>
              <w:rPr>
                <w:rFonts w:ascii="Arial" w:hAnsi="Arial"/>
                <w:b/>
                <w:color w:val="FFFFFF"/>
                <w:sz w:val="16"/>
              </w:rPr>
              <w:t>Conformant criteria</w:t>
            </w:r>
          </w:p>
        </w:tc>
      </w:tr>
      <w:tr>
        <w:tc>
          <w:tcPr>
            <w:tcW w:type="dxa" w:w="2520"/>
            <w:vAlign w:val="center"/>
            <w:tcMar>
              <w:top w:w="70" w:type="dxa"/>
              <w:start w:w="80" w:type="dxa"/>
              <w:bottom w:w="70" w:type="dxa"/>
              <w:end w:w="80" w:type="dxa"/>
            </w:tcMar>
          </w:tcPr>
          <w:p>
            <w:pPr>
              <w:spacing w:after="0"/>
            </w:pPr>
            <w:r/>
            <w:r>
              <w:rPr>
                <w:rFonts w:ascii="Arial" w:hAnsi="Arial"/>
                <w:b w:val="0"/>
                <w:sz w:val="15"/>
              </w:rPr>
              <w:t>Business and product</w:t>
            </w:r>
          </w:p>
        </w:tc>
        <w:tc>
          <w:tcPr>
            <w:tcW w:type="dxa" w:w="1080"/>
            <w:vAlign w:val="center"/>
            <w:tcMar>
              <w:top w:w="70" w:type="dxa"/>
              <w:start w:w="80" w:type="dxa"/>
              <w:bottom w:w="70" w:type="dxa"/>
              <w:end w:w="80" w:type="dxa"/>
            </w:tcMar>
          </w:tcPr>
          <w:p>
            <w:pPr>
              <w:spacing w:after="0"/>
            </w:pPr>
            <w:r/>
            <w:r>
              <w:rPr>
                <w:rFonts w:ascii="Arial" w:hAnsi="Arial"/>
                <w:b w:val="0"/>
                <w:sz w:val="15"/>
              </w:rPr>
              <w:t>10%</w:t>
            </w:r>
          </w:p>
        </w:tc>
        <w:tc>
          <w:tcPr>
            <w:tcW w:type="dxa" w:w="6480"/>
            <w:vAlign w:val="center"/>
            <w:tcMar>
              <w:top w:w="70" w:type="dxa"/>
              <w:start w:w="80" w:type="dxa"/>
              <w:bottom w:w="70" w:type="dxa"/>
              <w:end w:w="80" w:type="dxa"/>
            </w:tcMar>
          </w:tcPr>
          <w:p>
            <w:pPr>
              <w:spacing w:after="0"/>
            </w:pPr>
            <w:r/>
            <w:r>
              <w:rPr>
                <w:rFonts w:ascii="Arial" w:hAnsi="Arial"/>
                <w:b w:val="0"/>
                <w:sz w:val="15"/>
              </w:rPr>
              <w:t>Outcome, ownership, consumer, roadmap and lifecycle are approved.</w:t>
            </w:r>
          </w:p>
        </w:tc>
      </w:tr>
      <w:tr>
        <w:tc>
          <w:tcPr>
            <w:tcW w:type="dxa" w:w="2520"/>
            <w:vAlign w:val="center"/>
            <w:tcMar>
              <w:top w:w="70" w:type="dxa"/>
              <w:start w:w="80" w:type="dxa"/>
              <w:bottom w:w="70" w:type="dxa"/>
              <w:end w:w="80" w:type="dxa"/>
            </w:tcMar>
            <w:shd w:fill="F8F9FA"/>
          </w:tcPr>
          <w:p>
            <w:pPr>
              <w:spacing w:after="0"/>
            </w:pPr>
            <w:r/>
            <w:r>
              <w:rPr>
                <w:rFonts w:ascii="Arial" w:hAnsi="Arial"/>
                <w:b w:val="0"/>
                <w:sz w:val="15"/>
              </w:rPr>
              <w:t>Data and governance</w:t>
            </w:r>
          </w:p>
        </w:tc>
        <w:tc>
          <w:tcPr>
            <w:tcW w:type="dxa" w:w="1080"/>
            <w:vAlign w:val="center"/>
            <w:tcMar>
              <w:top w:w="70" w:type="dxa"/>
              <w:start w:w="80" w:type="dxa"/>
              <w:bottom w:w="70" w:type="dxa"/>
              <w:end w:w="80" w:type="dxa"/>
            </w:tcMar>
            <w:shd w:fill="F8F9FA"/>
          </w:tcPr>
          <w:p>
            <w:pPr>
              <w:spacing w:after="0"/>
            </w:pPr>
            <w:r/>
            <w:r>
              <w:rPr>
                <w:rFonts w:ascii="Arial" w:hAnsi="Arial"/>
                <w:b w:val="0"/>
                <w:sz w:val="15"/>
              </w:rPr>
              <w:t>15%</w:t>
            </w:r>
          </w:p>
        </w:tc>
        <w:tc>
          <w:tcPr>
            <w:tcW w:type="dxa" w:w="6480"/>
            <w:vAlign w:val="center"/>
            <w:tcMar>
              <w:top w:w="70" w:type="dxa"/>
              <w:start w:w="80" w:type="dxa"/>
              <w:bottom w:w="70" w:type="dxa"/>
              <w:end w:w="80" w:type="dxa"/>
            </w:tcMar>
            <w:shd w:fill="F8F9FA"/>
          </w:tcPr>
          <w:p>
            <w:pPr>
              <w:spacing w:after="0"/>
            </w:pPr>
            <w:r/>
            <w:r>
              <w:rPr>
                <w:rFonts w:ascii="Arial" w:hAnsi="Arial"/>
                <w:b w:val="0"/>
                <w:sz w:val="15"/>
              </w:rPr>
              <w:t>Layers, contracts, quality, metadata, lineage and certification comply.</w:t>
            </w:r>
          </w:p>
        </w:tc>
      </w:tr>
      <w:tr>
        <w:tc>
          <w:tcPr>
            <w:tcW w:type="dxa" w:w="2520"/>
            <w:vAlign w:val="center"/>
            <w:tcMar>
              <w:top w:w="70" w:type="dxa"/>
              <w:start w:w="80" w:type="dxa"/>
              <w:bottom w:w="70" w:type="dxa"/>
              <w:end w:w="80" w:type="dxa"/>
            </w:tcMar>
          </w:tcPr>
          <w:p>
            <w:pPr>
              <w:spacing w:after="0"/>
            </w:pPr>
            <w:r/>
            <w:r>
              <w:rPr>
                <w:rFonts w:ascii="Arial" w:hAnsi="Arial"/>
                <w:b w:val="0"/>
                <w:sz w:val="15"/>
              </w:rPr>
              <w:t>Security and privacy</w:t>
            </w:r>
          </w:p>
        </w:tc>
        <w:tc>
          <w:tcPr>
            <w:tcW w:type="dxa" w:w="1080"/>
            <w:vAlign w:val="center"/>
            <w:tcMar>
              <w:top w:w="70" w:type="dxa"/>
              <w:start w:w="80" w:type="dxa"/>
              <w:bottom w:w="70" w:type="dxa"/>
              <w:end w:w="80" w:type="dxa"/>
            </w:tcMar>
          </w:tcPr>
          <w:p>
            <w:pPr>
              <w:spacing w:after="0"/>
            </w:pPr>
            <w:r/>
            <w:r>
              <w:rPr>
                <w:rFonts w:ascii="Arial" w:hAnsi="Arial"/>
                <w:b w:val="0"/>
                <w:sz w:val="15"/>
              </w:rPr>
              <w:t>20%</w:t>
            </w:r>
          </w:p>
        </w:tc>
        <w:tc>
          <w:tcPr>
            <w:tcW w:type="dxa" w:w="6480"/>
            <w:vAlign w:val="center"/>
            <w:tcMar>
              <w:top w:w="70" w:type="dxa"/>
              <w:start w:w="80" w:type="dxa"/>
              <w:bottom w:w="70" w:type="dxa"/>
              <w:end w:w="80" w:type="dxa"/>
            </w:tcMar>
          </w:tcPr>
          <w:p>
            <w:pPr>
              <w:spacing w:after="0"/>
            </w:pPr>
            <w:r/>
            <w:r>
              <w:rPr>
                <w:rFonts w:ascii="Arial" w:hAnsi="Arial"/>
                <w:b w:val="0"/>
                <w:sz w:val="15"/>
              </w:rPr>
              <w:t>Identity, classification, network, encryption, audit and privacy controls pass.</w:t>
            </w:r>
          </w:p>
        </w:tc>
      </w:tr>
      <w:tr>
        <w:tc>
          <w:tcPr>
            <w:tcW w:type="dxa" w:w="2520"/>
            <w:vAlign w:val="center"/>
            <w:tcMar>
              <w:top w:w="70" w:type="dxa"/>
              <w:start w:w="80" w:type="dxa"/>
              <w:bottom w:w="70" w:type="dxa"/>
              <w:end w:w="80" w:type="dxa"/>
            </w:tcMar>
            <w:shd w:fill="F8F9FA"/>
          </w:tcPr>
          <w:p>
            <w:pPr>
              <w:spacing w:after="0"/>
            </w:pPr>
            <w:r/>
            <w:r>
              <w:rPr>
                <w:rFonts w:ascii="Arial" w:hAnsi="Arial"/>
                <w:b w:val="0"/>
                <w:sz w:val="15"/>
              </w:rPr>
              <w:t>Reliability and recovery</w:t>
            </w:r>
          </w:p>
        </w:tc>
        <w:tc>
          <w:tcPr>
            <w:tcW w:type="dxa" w:w="1080"/>
            <w:vAlign w:val="center"/>
            <w:tcMar>
              <w:top w:w="70" w:type="dxa"/>
              <w:start w:w="80" w:type="dxa"/>
              <w:bottom w:w="70" w:type="dxa"/>
              <w:end w:w="80" w:type="dxa"/>
            </w:tcMar>
            <w:shd w:fill="F8F9FA"/>
          </w:tcPr>
          <w:p>
            <w:pPr>
              <w:spacing w:after="0"/>
            </w:pPr>
            <w:r/>
            <w:r>
              <w:rPr>
                <w:rFonts w:ascii="Arial" w:hAnsi="Arial"/>
                <w:b w:val="0"/>
                <w:sz w:val="15"/>
              </w:rPr>
              <w:t>15%</w:t>
            </w:r>
          </w:p>
        </w:tc>
        <w:tc>
          <w:tcPr>
            <w:tcW w:type="dxa" w:w="6480"/>
            <w:vAlign w:val="center"/>
            <w:tcMar>
              <w:top w:w="70" w:type="dxa"/>
              <w:start w:w="80" w:type="dxa"/>
              <w:bottom w:w="70" w:type="dxa"/>
              <w:end w:w="80" w:type="dxa"/>
            </w:tcMar>
            <w:shd w:fill="F8F9FA"/>
          </w:tcPr>
          <w:p>
            <w:pPr>
              <w:spacing w:after="0"/>
            </w:pPr>
            <w:r/>
            <w:r>
              <w:rPr>
                <w:rFonts w:ascii="Arial" w:hAnsi="Arial"/>
                <w:b w:val="0"/>
                <w:sz w:val="15"/>
              </w:rPr>
              <w:t>SLO, capacity, failure modes, RTO/RPO and tests pass.</w:t>
            </w:r>
          </w:p>
        </w:tc>
      </w:tr>
      <w:tr>
        <w:tc>
          <w:tcPr>
            <w:tcW w:type="dxa" w:w="2520"/>
            <w:vAlign w:val="center"/>
            <w:tcMar>
              <w:top w:w="70" w:type="dxa"/>
              <w:start w:w="80" w:type="dxa"/>
              <w:bottom w:w="70" w:type="dxa"/>
              <w:end w:w="80" w:type="dxa"/>
            </w:tcMar>
          </w:tcPr>
          <w:p>
            <w:pPr>
              <w:spacing w:after="0"/>
            </w:pPr>
            <w:r/>
            <w:r>
              <w:rPr>
                <w:rFonts w:ascii="Arial" w:hAnsi="Arial"/>
                <w:b w:val="0"/>
                <w:sz w:val="15"/>
              </w:rPr>
              <w:t>Engineering and delivery</w:t>
            </w:r>
          </w:p>
        </w:tc>
        <w:tc>
          <w:tcPr>
            <w:tcW w:type="dxa" w:w="1080"/>
            <w:vAlign w:val="center"/>
            <w:tcMar>
              <w:top w:w="70" w:type="dxa"/>
              <w:start w:w="80" w:type="dxa"/>
              <w:bottom w:w="70" w:type="dxa"/>
              <w:end w:w="80" w:type="dxa"/>
            </w:tcMar>
          </w:tcPr>
          <w:p>
            <w:pPr>
              <w:spacing w:after="0"/>
            </w:pPr>
            <w:r/>
            <w:r>
              <w:rPr>
                <w:rFonts w:ascii="Arial" w:hAnsi="Arial"/>
                <w:b w:val="0"/>
                <w:sz w:val="15"/>
              </w:rPr>
              <w:t>15%</w:t>
            </w:r>
          </w:p>
        </w:tc>
        <w:tc>
          <w:tcPr>
            <w:tcW w:type="dxa" w:w="6480"/>
            <w:vAlign w:val="center"/>
            <w:tcMar>
              <w:top w:w="70" w:type="dxa"/>
              <w:start w:w="80" w:type="dxa"/>
              <w:bottom w:w="70" w:type="dxa"/>
              <w:end w:w="80" w:type="dxa"/>
            </w:tcMar>
          </w:tcPr>
          <w:p>
            <w:pPr>
              <w:spacing w:after="0"/>
            </w:pPr>
            <w:r/>
            <w:r>
              <w:rPr>
                <w:rFonts w:ascii="Arial" w:hAnsi="Arial"/>
                <w:b w:val="0"/>
                <w:sz w:val="15"/>
              </w:rPr>
              <w:t>IaC, CI/CD, tests, versioning and rollback comply.</w:t>
            </w:r>
          </w:p>
        </w:tc>
      </w:tr>
      <w:tr>
        <w:tc>
          <w:tcPr>
            <w:tcW w:type="dxa" w:w="2520"/>
            <w:vAlign w:val="center"/>
            <w:tcMar>
              <w:top w:w="70" w:type="dxa"/>
              <w:start w:w="80" w:type="dxa"/>
              <w:bottom w:w="70" w:type="dxa"/>
              <w:end w:w="80" w:type="dxa"/>
            </w:tcMar>
            <w:shd w:fill="F8F9FA"/>
          </w:tcPr>
          <w:p>
            <w:pPr>
              <w:spacing w:after="0"/>
            </w:pPr>
            <w:r/>
            <w:r>
              <w:rPr>
                <w:rFonts w:ascii="Arial" w:hAnsi="Arial"/>
                <w:b w:val="0"/>
                <w:sz w:val="15"/>
              </w:rPr>
              <w:t>Operations</w:t>
            </w:r>
          </w:p>
        </w:tc>
        <w:tc>
          <w:tcPr>
            <w:tcW w:type="dxa" w:w="1080"/>
            <w:vAlign w:val="center"/>
            <w:tcMar>
              <w:top w:w="70" w:type="dxa"/>
              <w:start w:w="80" w:type="dxa"/>
              <w:bottom w:w="70" w:type="dxa"/>
              <w:end w:w="80" w:type="dxa"/>
            </w:tcMar>
            <w:shd w:fill="F8F9FA"/>
          </w:tcPr>
          <w:p>
            <w:pPr>
              <w:spacing w:after="0"/>
            </w:pPr>
            <w:r/>
            <w:r>
              <w:rPr>
                <w:rFonts w:ascii="Arial" w:hAnsi="Arial"/>
                <w:b w:val="0"/>
                <w:sz w:val="15"/>
              </w:rPr>
              <w:t>10%</w:t>
            </w:r>
          </w:p>
        </w:tc>
        <w:tc>
          <w:tcPr>
            <w:tcW w:type="dxa" w:w="6480"/>
            <w:vAlign w:val="center"/>
            <w:tcMar>
              <w:top w:w="70" w:type="dxa"/>
              <w:start w:w="80" w:type="dxa"/>
              <w:bottom w:w="70" w:type="dxa"/>
              <w:end w:w="80" w:type="dxa"/>
            </w:tcMar>
            <w:shd w:fill="F8F9FA"/>
          </w:tcPr>
          <w:p>
            <w:pPr>
              <w:spacing w:after="0"/>
            </w:pPr>
            <w:r/>
            <w:r>
              <w:rPr>
                <w:rFonts w:ascii="Arial" w:hAnsi="Arial"/>
                <w:b w:val="0"/>
                <w:sz w:val="15"/>
              </w:rPr>
              <w:t>Monitoring, alerts, runbooks, incident and support are ready.</w:t>
            </w:r>
          </w:p>
        </w:tc>
      </w:tr>
      <w:tr>
        <w:tc>
          <w:tcPr>
            <w:tcW w:type="dxa" w:w="2520"/>
            <w:vAlign w:val="center"/>
            <w:tcMar>
              <w:top w:w="70" w:type="dxa"/>
              <w:start w:w="80" w:type="dxa"/>
              <w:bottom w:w="70" w:type="dxa"/>
              <w:end w:w="80" w:type="dxa"/>
            </w:tcMar>
          </w:tcPr>
          <w:p>
            <w:pPr>
              <w:spacing w:after="0"/>
            </w:pPr>
            <w:r/>
            <w:r>
              <w:rPr>
                <w:rFonts w:ascii="Arial" w:hAnsi="Arial"/>
                <w:b w:val="0"/>
                <w:sz w:val="15"/>
              </w:rPr>
              <w:t>FinOps</w:t>
            </w:r>
          </w:p>
        </w:tc>
        <w:tc>
          <w:tcPr>
            <w:tcW w:type="dxa" w:w="1080"/>
            <w:vAlign w:val="center"/>
            <w:tcMar>
              <w:top w:w="70" w:type="dxa"/>
              <w:start w:w="80" w:type="dxa"/>
              <w:bottom w:w="70" w:type="dxa"/>
              <w:end w:w="80" w:type="dxa"/>
            </w:tcMar>
          </w:tcPr>
          <w:p>
            <w:pPr>
              <w:spacing w:after="0"/>
            </w:pPr>
            <w:r/>
            <w:r>
              <w:rPr>
                <w:rFonts w:ascii="Arial" w:hAnsi="Arial"/>
                <w:b w:val="0"/>
                <w:sz w:val="15"/>
              </w:rPr>
              <w:t>5%</w:t>
            </w:r>
          </w:p>
        </w:tc>
        <w:tc>
          <w:tcPr>
            <w:tcW w:type="dxa" w:w="6480"/>
            <w:vAlign w:val="center"/>
            <w:tcMar>
              <w:top w:w="70" w:type="dxa"/>
              <w:start w:w="80" w:type="dxa"/>
              <w:bottom w:w="70" w:type="dxa"/>
              <w:end w:w="80" w:type="dxa"/>
            </w:tcMar>
          </w:tcPr>
          <w:p>
            <w:pPr>
              <w:spacing w:after="0"/>
            </w:pPr>
            <w:r/>
            <w:r>
              <w:rPr>
                <w:rFonts w:ascii="Arial" w:hAnsi="Arial"/>
                <w:b w:val="0"/>
                <w:sz w:val="15"/>
              </w:rPr>
              <w:t>Forecast, allocation, budget and unit metrics are active.</w:t>
            </w:r>
          </w:p>
        </w:tc>
      </w:tr>
      <w:tr>
        <w:tc>
          <w:tcPr>
            <w:tcW w:type="dxa" w:w="2520"/>
            <w:vAlign w:val="center"/>
            <w:tcMar>
              <w:top w:w="70" w:type="dxa"/>
              <w:start w:w="80" w:type="dxa"/>
              <w:bottom w:w="70" w:type="dxa"/>
              <w:end w:w="80" w:type="dxa"/>
            </w:tcMar>
            <w:shd w:fill="F8F9FA"/>
          </w:tcPr>
          <w:p>
            <w:pPr>
              <w:spacing w:after="0"/>
            </w:pPr>
            <w:r/>
            <w:r>
              <w:rPr>
                <w:rFonts w:ascii="Arial" w:hAnsi="Arial"/>
                <w:b w:val="0"/>
                <w:sz w:val="15"/>
              </w:rPr>
              <w:t>Architecture and interoperability</w:t>
            </w:r>
          </w:p>
        </w:tc>
        <w:tc>
          <w:tcPr>
            <w:tcW w:type="dxa" w:w="1080"/>
            <w:vAlign w:val="center"/>
            <w:tcMar>
              <w:top w:w="70" w:type="dxa"/>
              <w:start w:w="80" w:type="dxa"/>
              <w:bottom w:w="70" w:type="dxa"/>
              <w:end w:w="80" w:type="dxa"/>
            </w:tcMar>
            <w:shd w:fill="F8F9FA"/>
          </w:tcPr>
          <w:p>
            <w:pPr>
              <w:spacing w:after="0"/>
            </w:pPr>
            <w:r/>
            <w:r>
              <w:rPr>
                <w:rFonts w:ascii="Arial" w:hAnsi="Arial"/>
                <w:b w:val="0"/>
                <w:sz w:val="15"/>
              </w:rPr>
              <w:t>10%</w:t>
            </w:r>
          </w:p>
        </w:tc>
        <w:tc>
          <w:tcPr>
            <w:tcW w:type="dxa" w:w="6480"/>
            <w:vAlign w:val="center"/>
            <w:tcMar>
              <w:top w:w="70" w:type="dxa"/>
              <w:start w:w="80" w:type="dxa"/>
              <w:bottom w:w="70" w:type="dxa"/>
              <w:end w:w="80" w:type="dxa"/>
            </w:tcMar>
            <w:shd w:fill="F8F9FA"/>
          </w:tcPr>
          <w:p>
            <w:pPr>
              <w:spacing w:after="0"/>
            </w:pPr>
            <w:r/>
            <w:r>
              <w:rPr>
                <w:rFonts w:ascii="Arial" w:hAnsi="Arial"/>
                <w:b w:val="0"/>
                <w:sz w:val="15"/>
              </w:rPr>
              <w:t>Strategic services, interfaces, ADRs and exceptions are valid.</w:t>
            </w:r>
          </w:p>
        </w:tc>
      </w:tr>
    </w:tbl>
    <w:p>
      <w:pPr>
        <w:spacing w:after="20"/>
      </w:pPr>
    </w:p>
    <w:p>
      <w:r>
        <w:t>A Tier 0 or Tier 1 product must be conformant in every critical security, privacy, reliability and recovery item. An aggregate score cannot offset failure of a mandatory control. Conditional approval records evidence due dates and may restrict scale or consumer access.</w:t>
      </w:r>
    </w:p>
    <w:p>
      <w:pPr>
        <w:pStyle w:val="Heading2"/>
      </w:pPr>
      <w:r>
        <w:t>15.4 Reference Architecture Maintenance</w:t>
      </w:r>
    </w:p>
    <w:p>
      <w:pPr>
        <w:pStyle w:val="ListBullet"/>
        <w:spacing w:after="40"/>
      </w:pPr>
      <w:r>
        <w:t>Review this volume at least annually and after material Google Cloud service, regulatory or enterprise-strategy change.</w:t>
      </w:r>
    </w:p>
    <w:p>
      <w:pPr>
        <w:pStyle w:val="ListBullet"/>
        <w:spacing w:after="40"/>
      </w:pPr>
      <w:r>
        <w:t>Track official service renames and retire deprecated terminology from diagrams, code and standards.</w:t>
      </w:r>
    </w:p>
    <w:p>
      <w:pPr>
        <w:pStyle w:val="ListBullet"/>
        <w:spacing w:after="40"/>
      </w:pPr>
      <w:r>
        <w:t>Validate regional availability, quotas, SLA, CMEK and VPC Service Controls support for each implementation.</w:t>
      </w:r>
    </w:p>
    <w:p>
      <w:pPr>
        <w:pStyle w:val="ListBullet"/>
        <w:spacing w:after="40"/>
      </w:pPr>
      <w:r>
        <w:t>Promote repeated approved exceptions into the strategic catalog only after enterprise evaluation.</w:t>
      </w:r>
    </w:p>
    <w:p>
      <w:pPr>
        <w:pStyle w:val="ListBullet"/>
        <w:spacing w:after="40"/>
      </w:pPr>
      <w:r>
        <w:t>Retire obsolete patterns and publish migration guidance rather than retaining multiple permanent golden paths.</w:t>
      </w:r>
    </w:p>
    <w:p>
      <w:pPr>
        <w:pStyle w:val="ListBullet"/>
        <w:spacing w:after="40"/>
      </w:pPr>
      <w:r>
        <w:t>Maintain alignment across detailed landing-zone, data platform, security, AI, DevSecOps, FinOps, SRE and Terraform volumes.</w:t>
      </w:r>
    </w:p>
    <w:p>
      <w:r>
        <w:br w:type="page"/>
      </w:r>
    </w:p>
    <w:p>
      <w:pPr>
        <w:pStyle w:val="Heading1"/>
      </w:pPr>
      <w:r>
        <w:t>16. Executive Decisions and Prioritized Actions</w:t>
      </w:r>
    </w:p>
    <w:p>
      <w:pPr>
        <w:pStyle w:val="Lead"/>
      </w:pPr>
      <w:r>
        <w:t>The blueprint can proceed only when decision rights, funding, ownership and the initial transformation scope are explicit. The following actions convert the reference architecture into an executable enterprise program.</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Section outcomes</w:t>
            </w:r>
          </w:p>
          <w:p>
            <w:pPr>
              <w:pStyle w:val="BodyText"/>
              <w:spacing w:after="0"/>
            </w:pPr>
            <w:r>
              <w:t>Executive decisions; First 180-day actions; Expected evidence; Next-volume dependencies.</w:t>
            </w:r>
          </w:p>
        </w:tc>
      </w:tr>
    </w:tbl>
    <w:p>
      <w:pPr>
        <w:spacing w:after="20"/>
      </w:pPr>
    </w:p>
    <w:p>
      <w:pPr>
        <w:pStyle w:val="Heading2"/>
      </w:pPr>
      <w:r>
        <w:t>16.1 Executive Decisions Required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5616"/>
            <w:vAlign w:val="center"/>
            <w:tcMar>
              <w:top w:w="70" w:type="dxa"/>
              <w:start w:w="80" w:type="dxa"/>
              <w:bottom w:w="70" w:type="dxa"/>
              <w:end w:w="80" w:type="dxa"/>
            </w:tcMar>
            <w:shd w:fill="1A73E8"/>
          </w:tcPr>
          <w:p>
            <w:pPr>
              <w:spacing w:after="0"/>
            </w:pPr>
            <w:r/>
            <w:r>
              <w:rPr>
                <w:rFonts w:ascii="Arial" w:hAnsi="Arial"/>
                <w:b/>
                <w:color w:val="FFFFFF"/>
                <w:sz w:val="16"/>
              </w:rPr>
              <w:t>Decision</w:t>
            </w:r>
          </w:p>
        </w:tc>
        <w:tc>
          <w:tcPr>
            <w:tcW w:type="dxa" w:w="1944"/>
            <w:vAlign w:val="center"/>
            <w:tcMar>
              <w:top w:w="70" w:type="dxa"/>
              <w:start w:w="80" w:type="dxa"/>
              <w:bottom w:w="70" w:type="dxa"/>
              <w:end w:w="80" w:type="dxa"/>
            </w:tcMar>
            <w:shd w:fill="1A73E8"/>
          </w:tcPr>
          <w:p>
            <w:pPr>
              <w:spacing w:after="0"/>
            </w:pPr>
            <w:r/>
            <w:r>
              <w:rPr>
                <w:rFonts w:ascii="Arial" w:hAnsi="Arial"/>
                <w:b/>
                <w:color w:val="FFFFFF"/>
                <w:sz w:val="16"/>
              </w:rPr>
              <w:t>Authority</w:t>
            </w:r>
          </w:p>
        </w:tc>
        <w:tc>
          <w:tcPr>
            <w:tcW w:type="dxa" w:w="1584"/>
            <w:vAlign w:val="center"/>
            <w:tcMar>
              <w:top w:w="70" w:type="dxa"/>
              <w:start w:w="80" w:type="dxa"/>
              <w:bottom w:w="70" w:type="dxa"/>
              <w:end w:w="80" w:type="dxa"/>
            </w:tcMar>
            <w:shd w:fill="1A73E8"/>
          </w:tcPr>
          <w:p>
            <w:pPr>
              <w:spacing w:after="0"/>
            </w:pPr>
            <w:r/>
            <w:r>
              <w:rPr>
                <w:rFonts w:ascii="Arial" w:hAnsi="Arial"/>
                <w:b/>
                <w:color w:val="FFFFFF"/>
                <w:sz w:val="16"/>
              </w:rPr>
              <w:t>Required output</w:t>
            </w:r>
          </w:p>
        </w:tc>
      </w:tr>
      <w:tr>
        <w:tc>
          <w:tcPr>
            <w:tcW w:type="dxa" w:w="936"/>
            <w:vAlign w:val="center"/>
            <w:tcMar>
              <w:top w:w="70" w:type="dxa"/>
              <w:start w:w="80" w:type="dxa"/>
              <w:bottom w:w="70" w:type="dxa"/>
              <w:end w:w="80" w:type="dxa"/>
            </w:tcMar>
          </w:tcPr>
          <w:p>
            <w:pPr>
              <w:spacing w:after="0"/>
            </w:pPr>
            <w:r/>
            <w:r>
              <w:rPr>
                <w:rFonts w:ascii="Arial" w:hAnsi="Arial"/>
                <w:b w:val="0"/>
                <w:sz w:val="14"/>
              </w:rPr>
              <w:t>ED-01</w:t>
            </w:r>
          </w:p>
        </w:tc>
        <w:tc>
          <w:tcPr>
            <w:tcW w:type="dxa" w:w="5616"/>
            <w:vAlign w:val="center"/>
            <w:tcMar>
              <w:top w:w="70" w:type="dxa"/>
              <w:start w:w="80" w:type="dxa"/>
              <w:bottom w:w="70" w:type="dxa"/>
              <w:end w:w="80" w:type="dxa"/>
            </w:tcMar>
          </w:tcPr>
          <w:p>
            <w:pPr>
              <w:spacing w:after="0"/>
            </w:pPr>
            <w:r/>
            <w:r>
              <w:rPr>
                <w:rFonts w:ascii="Arial" w:hAnsi="Arial"/>
                <w:b w:val="0"/>
                <w:sz w:val="14"/>
              </w:rPr>
              <w:t>Approve the central platform product and federated domain ownership model.</w:t>
            </w:r>
          </w:p>
        </w:tc>
        <w:tc>
          <w:tcPr>
            <w:tcW w:type="dxa" w:w="1944"/>
            <w:vAlign w:val="center"/>
            <w:tcMar>
              <w:top w:w="70" w:type="dxa"/>
              <w:start w:w="80" w:type="dxa"/>
              <w:bottom w:w="70" w:type="dxa"/>
              <w:end w:w="80" w:type="dxa"/>
            </w:tcMar>
          </w:tcPr>
          <w:p>
            <w:pPr>
              <w:spacing w:after="0"/>
            </w:pPr>
            <w:r/>
            <w:r>
              <w:rPr>
                <w:rFonts w:ascii="Arial" w:hAnsi="Arial"/>
                <w:b w:val="0"/>
                <w:sz w:val="14"/>
              </w:rPr>
              <w:t>CIO and CDO</w:t>
            </w:r>
          </w:p>
        </w:tc>
        <w:tc>
          <w:tcPr>
            <w:tcW w:type="dxa" w:w="1584"/>
            <w:vAlign w:val="center"/>
            <w:tcMar>
              <w:top w:w="70" w:type="dxa"/>
              <w:start w:w="80" w:type="dxa"/>
              <w:bottom w:w="70" w:type="dxa"/>
              <w:end w:w="80" w:type="dxa"/>
            </w:tcMar>
          </w:tcPr>
          <w:p>
            <w:pPr>
              <w:spacing w:after="0"/>
            </w:pPr>
            <w:r/>
            <w:r>
              <w:rPr>
                <w:rFonts w:ascii="Arial" w:hAnsi="Arial"/>
                <w:b w:val="0"/>
                <w:sz w:val="14"/>
              </w:rPr>
              <w:t>Platform charter, RACI and funded owners.</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ED-02</w:t>
            </w:r>
          </w:p>
        </w:tc>
        <w:tc>
          <w:tcPr>
            <w:tcW w:type="dxa" w:w="5616"/>
            <w:vAlign w:val="center"/>
            <w:tcMar>
              <w:top w:w="70" w:type="dxa"/>
              <w:start w:w="80" w:type="dxa"/>
              <w:bottom w:w="70" w:type="dxa"/>
              <w:end w:w="80" w:type="dxa"/>
            </w:tcMar>
            <w:shd w:fill="F8F9FA"/>
          </w:tcPr>
          <w:p>
            <w:pPr>
              <w:spacing w:after="0"/>
            </w:pPr>
            <w:r/>
            <w:r>
              <w:rPr>
                <w:rFonts w:ascii="Arial" w:hAnsi="Arial"/>
                <w:b w:val="0"/>
                <w:sz w:val="14"/>
              </w:rPr>
              <w:t>Approve regional residency zones and the initial primary/recovery region pairs.</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CISO, Privacy and Regional CIOs</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Residency matrix and legal assessment.</w:t>
            </w:r>
          </w:p>
        </w:tc>
      </w:tr>
      <w:tr>
        <w:tc>
          <w:tcPr>
            <w:tcW w:type="dxa" w:w="936"/>
            <w:vAlign w:val="center"/>
            <w:tcMar>
              <w:top w:w="70" w:type="dxa"/>
              <w:start w:w="80" w:type="dxa"/>
              <w:bottom w:w="70" w:type="dxa"/>
              <w:end w:w="80" w:type="dxa"/>
            </w:tcMar>
          </w:tcPr>
          <w:p>
            <w:pPr>
              <w:spacing w:after="0"/>
            </w:pPr>
            <w:r/>
            <w:r>
              <w:rPr>
                <w:rFonts w:ascii="Arial" w:hAnsi="Arial"/>
                <w:b w:val="0"/>
                <w:sz w:val="14"/>
              </w:rPr>
              <w:t>ED-03</w:t>
            </w:r>
          </w:p>
        </w:tc>
        <w:tc>
          <w:tcPr>
            <w:tcW w:type="dxa" w:w="5616"/>
            <w:vAlign w:val="center"/>
            <w:tcMar>
              <w:top w:w="70" w:type="dxa"/>
              <w:start w:w="80" w:type="dxa"/>
              <w:bottom w:w="70" w:type="dxa"/>
              <w:end w:w="80" w:type="dxa"/>
            </w:tcMar>
          </w:tcPr>
          <w:p>
            <w:pPr>
              <w:spacing w:after="0"/>
            </w:pPr>
            <w:r/>
            <w:r>
              <w:rPr>
                <w:rFonts w:ascii="Arial" w:hAnsi="Arial"/>
                <w:b w:val="0"/>
                <w:sz w:val="14"/>
              </w:rPr>
              <w:t>Approve BigQuery, Cloud Storage/BigLake, Dataflow, Pub/Sub, Dataform, Knowledge Catalog, Looker and Vertex AI as strategic defaults.</w:t>
            </w:r>
          </w:p>
        </w:tc>
        <w:tc>
          <w:tcPr>
            <w:tcW w:type="dxa" w:w="1944"/>
            <w:vAlign w:val="center"/>
            <w:tcMar>
              <w:top w:w="70" w:type="dxa"/>
              <w:start w:w="80" w:type="dxa"/>
              <w:bottom w:w="70" w:type="dxa"/>
              <w:end w:w="80" w:type="dxa"/>
            </w:tcMar>
          </w:tcPr>
          <w:p>
            <w:pPr>
              <w:spacing w:after="0"/>
            </w:pPr>
            <w:r/>
            <w:r>
              <w:rPr>
                <w:rFonts w:ascii="Arial" w:hAnsi="Arial"/>
                <w:b w:val="0"/>
                <w:sz w:val="14"/>
              </w:rPr>
              <w:t>CTO and Architecture Board</w:t>
            </w:r>
          </w:p>
        </w:tc>
        <w:tc>
          <w:tcPr>
            <w:tcW w:type="dxa" w:w="1584"/>
            <w:vAlign w:val="center"/>
            <w:tcMar>
              <w:top w:w="70" w:type="dxa"/>
              <w:start w:w="80" w:type="dxa"/>
              <w:bottom w:w="70" w:type="dxa"/>
              <w:end w:w="80" w:type="dxa"/>
            </w:tcMar>
          </w:tcPr>
          <w:p>
            <w:pPr>
              <w:spacing w:after="0"/>
            </w:pPr>
            <w:r/>
            <w:r>
              <w:rPr>
                <w:rFonts w:ascii="Arial" w:hAnsi="Arial"/>
                <w:b w:val="0"/>
                <w:sz w:val="14"/>
              </w:rPr>
              <w:t>Strategic service catalog and exception policy.</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ED-04</w:t>
            </w:r>
          </w:p>
        </w:tc>
        <w:tc>
          <w:tcPr>
            <w:tcW w:type="dxa" w:w="5616"/>
            <w:vAlign w:val="center"/>
            <w:tcMar>
              <w:top w:w="70" w:type="dxa"/>
              <w:start w:w="80" w:type="dxa"/>
              <w:bottom w:w="70" w:type="dxa"/>
              <w:end w:w="80" w:type="dxa"/>
            </w:tcMar>
            <w:shd w:fill="F8F9FA"/>
          </w:tcPr>
          <w:p>
            <w:pPr>
              <w:spacing w:after="0"/>
            </w:pPr>
            <w:r/>
            <w:r>
              <w:rPr>
                <w:rFonts w:ascii="Arial" w:hAnsi="Arial"/>
                <w:b w:val="0"/>
                <w:sz w:val="14"/>
              </w:rPr>
              <w:t>Approve classification-based CMEK and VPC Service Controls for restricted-data zones.</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CISO</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Security control standard.</w:t>
            </w:r>
          </w:p>
        </w:tc>
      </w:tr>
      <w:tr>
        <w:tc>
          <w:tcPr>
            <w:tcW w:type="dxa" w:w="936"/>
            <w:vAlign w:val="center"/>
            <w:tcMar>
              <w:top w:w="70" w:type="dxa"/>
              <w:start w:w="80" w:type="dxa"/>
              <w:bottom w:w="70" w:type="dxa"/>
              <w:end w:w="80" w:type="dxa"/>
            </w:tcMar>
          </w:tcPr>
          <w:p>
            <w:pPr>
              <w:spacing w:after="0"/>
            </w:pPr>
            <w:r/>
            <w:r>
              <w:rPr>
                <w:rFonts w:ascii="Arial" w:hAnsi="Arial"/>
                <w:b w:val="0"/>
                <w:sz w:val="14"/>
              </w:rPr>
              <w:t>ED-05</w:t>
            </w:r>
          </w:p>
        </w:tc>
        <w:tc>
          <w:tcPr>
            <w:tcW w:type="dxa" w:w="5616"/>
            <w:vAlign w:val="center"/>
            <w:tcMar>
              <w:top w:w="70" w:type="dxa"/>
              <w:start w:w="80" w:type="dxa"/>
              <w:bottom w:w="70" w:type="dxa"/>
              <w:end w:w="80" w:type="dxa"/>
            </w:tcMar>
          </w:tcPr>
          <w:p>
            <w:pPr>
              <w:spacing w:after="0"/>
            </w:pPr>
            <w:r/>
            <w:r>
              <w:rPr>
                <w:rFonts w:ascii="Arial" w:hAnsi="Arial"/>
                <w:b w:val="0"/>
                <w:sz w:val="14"/>
              </w:rPr>
              <w:t>Select and fund the first production domain and three to five products.</w:t>
            </w:r>
          </w:p>
        </w:tc>
        <w:tc>
          <w:tcPr>
            <w:tcW w:type="dxa" w:w="1944"/>
            <w:vAlign w:val="center"/>
            <w:tcMar>
              <w:top w:w="70" w:type="dxa"/>
              <w:start w:w="80" w:type="dxa"/>
              <w:bottom w:w="70" w:type="dxa"/>
              <w:end w:w="80" w:type="dxa"/>
            </w:tcMar>
          </w:tcPr>
          <w:p>
            <w:pPr>
              <w:spacing w:after="0"/>
            </w:pPr>
            <w:r/>
            <w:r>
              <w:rPr>
                <w:rFonts w:ascii="Arial" w:hAnsi="Arial"/>
                <w:b w:val="0"/>
                <w:sz w:val="14"/>
              </w:rPr>
              <w:t>Business Executive and CDO</w:t>
            </w:r>
          </w:p>
        </w:tc>
        <w:tc>
          <w:tcPr>
            <w:tcW w:type="dxa" w:w="1584"/>
            <w:vAlign w:val="center"/>
            <w:tcMar>
              <w:top w:w="70" w:type="dxa"/>
              <w:start w:w="80" w:type="dxa"/>
              <w:bottom w:w="70" w:type="dxa"/>
              <w:end w:w="80" w:type="dxa"/>
            </w:tcMar>
          </w:tcPr>
          <w:p>
            <w:pPr>
              <w:spacing w:after="0"/>
            </w:pPr>
            <w:r/>
            <w:r>
              <w:rPr>
                <w:rFonts w:ascii="Arial" w:hAnsi="Arial"/>
                <w:b w:val="0"/>
                <w:sz w:val="14"/>
              </w:rPr>
              <w:t>Product charters, source/consumer commitments and benefit baseline.</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ED-06</w:t>
            </w:r>
          </w:p>
        </w:tc>
        <w:tc>
          <w:tcPr>
            <w:tcW w:type="dxa" w:w="5616"/>
            <w:vAlign w:val="center"/>
            <w:tcMar>
              <w:top w:w="70" w:type="dxa"/>
              <w:start w:w="80" w:type="dxa"/>
              <w:bottom w:w="70" w:type="dxa"/>
              <w:end w:w="80" w:type="dxa"/>
            </w:tcMar>
            <w:shd w:fill="F8F9FA"/>
          </w:tcPr>
          <w:p>
            <w:pPr>
              <w:spacing w:after="0"/>
            </w:pPr>
            <w:r/>
            <w:r>
              <w:rPr>
                <w:rFonts w:ascii="Arial" w:hAnsi="Arial"/>
                <w:b w:val="0"/>
                <w:sz w:val="14"/>
              </w:rPr>
              <w:t>Approve Tier 0–3 SLO/RTO/RPO model and residual-risk authority.</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CIO and Business Continuity</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Service-tier policy.</w:t>
            </w:r>
          </w:p>
        </w:tc>
      </w:tr>
      <w:tr>
        <w:tc>
          <w:tcPr>
            <w:tcW w:type="dxa" w:w="936"/>
            <w:vAlign w:val="center"/>
            <w:tcMar>
              <w:top w:w="70" w:type="dxa"/>
              <w:start w:w="80" w:type="dxa"/>
              <w:bottom w:w="70" w:type="dxa"/>
              <w:end w:w="80" w:type="dxa"/>
            </w:tcMar>
          </w:tcPr>
          <w:p>
            <w:pPr>
              <w:spacing w:after="0"/>
            </w:pPr>
            <w:r/>
            <w:r>
              <w:rPr>
                <w:rFonts w:ascii="Arial" w:hAnsi="Arial"/>
                <w:b w:val="0"/>
                <w:sz w:val="14"/>
              </w:rPr>
              <w:t>ED-07</w:t>
            </w:r>
          </w:p>
        </w:tc>
        <w:tc>
          <w:tcPr>
            <w:tcW w:type="dxa" w:w="5616"/>
            <w:vAlign w:val="center"/>
            <w:tcMar>
              <w:top w:w="70" w:type="dxa"/>
              <w:start w:w="80" w:type="dxa"/>
              <w:bottom w:w="70" w:type="dxa"/>
              <w:end w:w="80" w:type="dxa"/>
            </w:tcMar>
          </w:tcPr>
          <w:p>
            <w:pPr>
              <w:spacing w:after="0"/>
            </w:pPr>
            <w:r/>
            <w:r>
              <w:rPr>
                <w:rFonts w:ascii="Arial" w:hAnsi="Arial"/>
                <w:b w:val="0"/>
                <w:sz w:val="14"/>
              </w:rPr>
              <w:t>Approve platform funding, showback and chargeback-readiness approach.</w:t>
            </w:r>
          </w:p>
        </w:tc>
        <w:tc>
          <w:tcPr>
            <w:tcW w:type="dxa" w:w="1944"/>
            <w:vAlign w:val="center"/>
            <w:tcMar>
              <w:top w:w="70" w:type="dxa"/>
              <w:start w:w="80" w:type="dxa"/>
              <w:bottom w:w="70" w:type="dxa"/>
              <w:end w:w="80" w:type="dxa"/>
            </w:tcMar>
          </w:tcPr>
          <w:p>
            <w:pPr>
              <w:spacing w:after="0"/>
            </w:pPr>
            <w:r/>
            <w:r>
              <w:rPr>
                <w:rFonts w:ascii="Arial" w:hAnsi="Arial"/>
                <w:b w:val="0"/>
                <w:sz w:val="14"/>
              </w:rPr>
              <w:t>CFO and CIO</w:t>
            </w:r>
          </w:p>
        </w:tc>
        <w:tc>
          <w:tcPr>
            <w:tcW w:type="dxa" w:w="1584"/>
            <w:vAlign w:val="center"/>
            <w:tcMar>
              <w:top w:w="70" w:type="dxa"/>
              <w:start w:w="80" w:type="dxa"/>
              <w:bottom w:w="70" w:type="dxa"/>
              <w:end w:w="80" w:type="dxa"/>
            </w:tcMar>
          </w:tcPr>
          <w:p>
            <w:pPr>
              <w:spacing w:after="0"/>
            </w:pPr>
            <w:r/>
            <w:r>
              <w:rPr>
                <w:rFonts w:ascii="Arial" w:hAnsi="Arial"/>
                <w:b w:val="0"/>
                <w:sz w:val="14"/>
              </w:rPr>
              <w:t>Funding model and FinOps roadmap.</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ED-08</w:t>
            </w:r>
          </w:p>
        </w:tc>
        <w:tc>
          <w:tcPr>
            <w:tcW w:type="dxa" w:w="5616"/>
            <w:vAlign w:val="center"/>
            <w:tcMar>
              <w:top w:w="70" w:type="dxa"/>
              <w:start w:w="80" w:type="dxa"/>
              <w:bottom w:w="70" w:type="dxa"/>
              <w:end w:w="80" w:type="dxa"/>
            </w:tcMar>
            <w:shd w:fill="F8F9FA"/>
          </w:tcPr>
          <w:p>
            <w:pPr>
              <w:spacing w:after="0"/>
            </w:pPr>
            <w:r/>
            <w:r>
              <w:rPr>
                <w:rFonts w:ascii="Arial" w:hAnsi="Arial"/>
                <w:b w:val="0"/>
                <w:sz w:val="14"/>
              </w:rPr>
              <w:t>Approve legacy modernization and decommissioning as funded scope, not optional follow-up.</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CIO and CFO</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Migration waves and benefit ownership.</w:t>
            </w:r>
          </w:p>
        </w:tc>
      </w:tr>
      <w:tr>
        <w:tc>
          <w:tcPr>
            <w:tcW w:type="dxa" w:w="936"/>
            <w:vAlign w:val="center"/>
            <w:tcMar>
              <w:top w:w="70" w:type="dxa"/>
              <w:start w:w="80" w:type="dxa"/>
              <w:bottom w:w="70" w:type="dxa"/>
              <w:end w:w="80" w:type="dxa"/>
            </w:tcMar>
          </w:tcPr>
          <w:p>
            <w:pPr>
              <w:spacing w:after="0"/>
            </w:pPr>
            <w:r/>
            <w:r>
              <w:rPr>
                <w:rFonts w:ascii="Arial" w:hAnsi="Arial"/>
                <w:b w:val="0"/>
                <w:sz w:val="14"/>
              </w:rPr>
              <w:t>ED-09</w:t>
            </w:r>
          </w:p>
        </w:tc>
        <w:tc>
          <w:tcPr>
            <w:tcW w:type="dxa" w:w="5616"/>
            <w:vAlign w:val="center"/>
            <w:tcMar>
              <w:top w:w="70" w:type="dxa"/>
              <w:start w:w="80" w:type="dxa"/>
              <w:bottom w:w="70" w:type="dxa"/>
              <w:end w:w="80" w:type="dxa"/>
            </w:tcMar>
          </w:tcPr>
          <w:p>
            <w:pPr>
              <w:spacing w:after="0"/>
            </w:pPr>
            <w:r/>
            <w:r>
              <w:rPr>
                <w:rFonts w:ascii="Arial" w:hAnsi="Arial"/>
                <w:b w:val="0"/>
                <w:sz w:val="14"/>
              </w:rPr>
              <w:t>Approve internal capability-building and named long-term owners.</w:t>
            </w:r>
          </w:p>
        </w:tc>
        <w:tc>
          <w:tcPr>
            <w:tcW w:type="dxa" w:w="1944"/>
            <w:vAlign w:val="center"/>
            <w:tcMar>
              <w:top w:w="70" w:type="dxa"/>
              <w:start w:w="80" w:type="dxa"/>
              <w:bottom w:w="70" w:type="dxa"/>
              <w:end w:w="80" w:type="dxa"/>
            </w:tcMar>
          </w:tcPr>
          <w:p>
            <w:pPr>
              <w:spacing w:after="0"/>
            </w:pPr>
            <w:r/>
            <w:r>
              <w:rPr>
                <w:rFonts w:ascii="Arial" w:hAnsi="Arial"/>
                <w:b w:val="0"/>
                <w:sz w:val="14"/>
              </w:rPr>
              <w:t>CHRO/CIO</w:t>
            </w:r>
          </w:p>
        </w:tc>
        <w:tc>
          <w:tcPr>
            <w:tcW w:type="dxa" w:w="1584"/>
            <w:vAlign w:val="center"/>
            <w:tcMar>
              <w:top w:w="70" w:type="dxa"/>
              <w:start w:w="80" w:type="dxa"/>
              <w:bottom w:w="70" w:type="dxa"/>
              <w:end w:w="80" w:type="dxa"/>
            </w:tcMar>
          </w:tcPr>
          <w:p>
            <w:pPr>
              <w:spacing w:after="0"/>
            </w:pPr>
            <w:r/>
            <w:r>
              <w:rPr>
                <w:rFonts w:ascii="Arial" w:hAnsi="Arial"/>
                <w:b w:val="0"/>
                <w:sz w:val="14"/>
              </w:rPr>
              <w:t>Role and enablement plan.</w:t>
            </w:r>
          </w:p>
        </w:tc>
      </w:tr>
      <w:tr>
        <w:tc>
          <w:tcPr>
            <w:tcW w:type="dxa" w:w="936"/>
            <w:vAlign w:val="center"/>
            <w:tcMar>
              <w:top w:w="70" w:type="dxa"/>
              <w:start w:w="80" w:type="dxa"/>
              <w:bottom w:w="70" w:type="dxa"/>
              <w:end w:w="80" w:type="dxa"/>
            </w:tcMar>
            <w:shd w:fill="F8F9FA"/>
          </w:tcPr>
          <w:p>
            <w:pPr>
              <w:spacing w:after="0"/>
            </w:pPr>
            <w:r/>
            <w:r>
              <w:rPr>
                <w:rFonts w:ascii="Arial" w:hAnsi="Arial"/>
                <w:b w:val="0"/>
                <w:sz w:val="14"/>
              </w:rPr>
              <w:t>ED-10</w:t>
            </w:r>
          </w:p>
        </w:tc>
        <w:tc>
          <w:tcPr>
            <w:tcW w:type="dxa" w:w="5616"/>
            <w:vAlign w:val="center"/>
            <w:tcMar>
              <w:top w:w="70" w:type="dxa"/>
              <w:start w:w="80" w:type="dxa"/>
              <w:bottom w:w="70" w:type="dxa"/>
              <w:end w:w="80" w:type="dxa"/>
            </w:tcMar>
            <w:shd w:fill="F8F9FA"/>
          </w:tcPr>
          <w:p>
            <w:pPr>
              <w:spacing w:after="0"/>
            </w:pPr>
            <w:r/>
            <w:r>
              <w:rPr>
                <w:rFonts w:ascii="Arial" w:hAnsi="Arial"/>
                <w:b w:val="0"/>
                <w:sz w:val="14"/>
              </w:rPr>
              <w:t>Approve AI risk-tier governance before production enterprise-data use.</w:t>
            </w:r>
          </w:p>
        </w:tc>
        <w:tc>
          <w:tcPr>
            <w:tcW w:type="dxa" w:w="1944"/>
            <w:vAlign w:val="center"/>
            <w:tcMar>
              <w:top w:w="70" w:type="dxa"/>
              <w:start w:w="80" w:type="dxa"/>
              <w:bottom w:w="70" w:type="dxa"/>
              <w:end w:w="80" w:type="dxa"/>
            </w:tcMar>
            <w:shd w:fill="F8F9FA"/>
          </w:tcPr>
          <w:p>
            <w:pPr>
              <w:spacing w:after="0"/>
            </w:pPr>
            <w:r/>
            <w:r>
              <w:rPr>
                <w:rFonts w:ascii="Arial" w:hAnsi="Arial"/>
                <w:b w:val="0"/>
                <w:sz w:val="14"/>
              </w:rPr>
              <w:t>Chief AI Officer, CISO and Risk</w:t>
            </w:r>
          </w:p>
        </w:tc>
        <w:tc>
          <w:tcPr>
            <w:tcW w:type="dxa" w:w="1584"/>
            <w:vAlign w:val="center"/>
            <w:tcMar>
              <w:top w:w="70" w:type="dxa"/>
              <w:start w:w="80" w:type="dxa"/>
              <w:bottom w:w="70" w:type="dxa"/>
              <w:end w:w="80" w:type="dxa"/>
            </w:tcMar>
            <w:shd w:fill="F8F9FA"/>
          </w:tcPr>
          <w:p>
            <w:pPr>
              <w:spacing w:after="0"/>
            </w:pPr>
            <w:r/>
            <w:r>
              <w:rPr>
                <w:rFonts w:ascii="Arial" w:hAnsi="Arial"/>
                <w:b w:val="0"/>
                <w:sz w:val="14"/>
              </w:rPr>
              <w:t>AI policy and review process.</w:t>
            </w:r>
          </w:p>
        </w:tc>
      </w:tr>
    </w:tbl>
    <w:p>
      <w:pPr>
        <w:spacing w:after="20"/>
      </w:pPr>
    </w:p>
    <w:p>
      <w:pPr>
        <w:pStyle w:val="Heading2"/>
      </w:pPr>
      <w:r>
        <w:t>16.2 First 180 Days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tcMar>
              <w:top w:w="70" w:type="dxa"/>
              <w:start w:w="80" w:type="dxa"/>
              <w:bottom w:w="70" w:type="dxa"/>
              <w:end w:w="80" w:type="dxa"/>
            </w:tcMar>
            <w:shd w:fill="1A73E8"/>
          </w:tcPr>
          <w:p>
            <w:pPr>
              <w:spacing w:after="0"/>
            </w:pPr>
            <w:r/>
            <w:r>
              <w:rPr>
                <w:rFonts w:ascii="Arial" w:hAnsi="Arial"/>
                <w:b/>
                <w:color w:val="FFFFFF"/>
                <w:sz w:val="16"/>
              </w:rPr>
              <w:t>Timing</w:t>
            </w:r>
          </w:p>
        </w:tc>
        <w:tc>
          <w:tcPr>
            <w:tcW w:type="dxa" w:w="1800"/>
            <w:vAlign w:val="center"/>
            <w:tcMar>
              <w:top w:w="70" w:type="dxa"/>
              <w:start w:w="80" w:type="dxa"/>
              <w:bottom w:w="70" w:type="dxa"/>
              <w:end w:w="80" w:type="dxa"/>
            </w:tcMar>
            <w:shd w:fill="1A73E8"/>
          </w:tcPr>
          <w:p>
            <w:pPr>
              <w:spacing w:after="0"/>
            </w:pPr>
            <w:r/>
            <w:r>
              <w:rPr>
                <w:rFonts w:ascii="Arial" w:hAnsi="Arial"/>
                <w:b/>
                <w:color w:val="FFFFFF"/>
                <w:sz w:val="16"/>
              </w:rPr>
              <w:t>Workstream</w:t>
            </w:r>
          </w:p>
        </w:tc>
        <w:tc>
          <w:tcPr>
            <w:tcW w:type="dxa" w:w="5400"/>
            <w:vAlign w:val="center"/>
            <w:tcMar>
              <w:top w:w="70" w:type="dxa"/>
              <w:start w:w="80" w:type="dxa"/>
              <w:bottom w:w="70" w:type="dxa"/>
              <w:end w:w="80" w:type="dxa"/>
            </w:tcMar>
            <w:shd w:fill="1A73E8"/>
          </w:tcPr>
          <w:p>
            <w:pPr>
              <w:spacing w:after="0"/>
            </w:pPr>
            <w:r/>
            <w:r>
              <w:rPr>
                <w:rFonts w:ascii="Arial" w:hAnsi="Arial"/>
                <w:b/>
                <w:color w:val="FFFFFF"/>
                <w:sz w:val="16"/>
              </w:rPr>
              <w:t>Action</w:t>
            </w:r>
          </w:p>
        </w:tc>
        <w:tc>
          <w:tcPr>
            <w:tcW w:type="dxa" w:w="1656"/>
            <w:vAlign w:val="center"/>
            <w:tcMar>
              <w:top w:w="70" w:type="dxa"/>
              <w:start w:w="80" w:type="dxa"/>
              <w:bottom w:w="70" w:type="dxa"/>
              <w:end w:w="80" w:type="dxa"/>
            </w:tcMar>
            <w:shd w:fill="1A73E8"/>
          </w:tcPr>
          <w:p>
            <w:pPr>
              <w:spacing w:after="0"/>
            </w:pPr>
            <w:r/>
            <w:r>
              <w:rPr>
                <w:rFonts w:ascii="Arial" w:hAnsi="Arial"/>
                <w:b/>
                <w:color w:val="FFFFFF"/>
                <w:sz w:val="16"/>
              </w:rPr>
              <w:t>Output</w:t>
            </w:r>
          </w:p>
        </w:tc>
      </w:tr>
      <w:tr>
        <w:tc>
          <w:tcPr>
            <w:tcW w:type="dxa" w:w="1224"/>
            <w:vAlign w:val="center"/>
            <w:tcMar>
              <w:top w:w="70" w:type="dxa"/>
              <w:start w:w="80" w:type="dxa"/>
              <w:bottom w:w="70" w:type="dxa"/>
              <w:end w:w="80" w:type="dxa"/>
            </w:tcMar>
          </w:tcPr>
          <w:p>
            <w:pPr>
              <w:spacing w:after="0"/>
            </w:pPr>
            <w:r/>
            <w:r>
              <w:rPr>
                <w:rFonts w:ascii="Arial" w:hAnsi="Arial"/>
                <w:b w:val="0"/>
                <w:sz w:val="14"/>
              </w:rPr>
              <w:t>Days 0–30</w:t>
            </w:r>
          </w:p>
        </w:tc>
        <w:tc>
          <w:tcPr>
            <w:tcW w:type="dxa" w:w="1800"/>
            <w:vAlign w:val="center"/>
            <w:tcMar>
              <w:top w:w="70" w:type="dxa"/>
              <w:start w:w="80" w:type="dxa"/>
              <w:bottom w:w="70" w:type="dxa"/>
              <w:end w:w="80" w:type="dxa"/>
            </w:tcMar>
          </w:tcPr>
          <w:p>
            <w:pPr>
              <w:spacing w:after="0"/>
            </w:pPr>
            <w:r/>
            <w:r>
              <w:rPr>
                <w:rFonts w:ascii="Arial" w:hAnsi="Arial"/>
                <w:b w:val="0"/>
                <w:sz w:val="14"/>
              </w:rPr>
              <w:t>Mobilize</w:t>
            </w:r>
          </w:p>
        </w:tc>
        <w:tc>
          <w:tcPr>
            <w:tcW w:type="dxa" w:w="5400"/>
            <w:vAlign w:val="center"/>
            <w:tcMar>
              <w:top w:w="70" w:type="dxa"/>
              <w:start w:w="80" w:type="dxa"/>
              <w:bottom w:w="70" w:type="dxa"/>
              <w:end w:w="80" w:type="dxa"/>
            </w:tcMar>
          </w:tcPr>
          <w:p>
            <w:pPr>
              <w:spacing w:after="0"/>
            </w:pPr>
            <w:r/>
            <w:r>
              <w:rPr>
                <w:rFonts w:ascii="Arial" w:hAnsi="Arial"/>
                <w:b w:val="0"/>
                <w:sz w:val="14"/>
              </w:rPr>
              <w:t>Confirm sponsor, product owner, architecture board, assumptions, pilot domain and delivery teams.</w:t>
            </w:r>
          </w:p>
        </w:tc>
        <w:tc>
          <w:tcPr>
            <w:tcW w:type="dxa" w:w="1656"/>
            <w:vAlign w:val="center"/>
            <w:tcMar>
              <w:top w:w="70" w:type="dxa"/>
              <w:start w:w="80" w:type="dxa"/>
              <w:bottom w:w="70" w:type="dxa"/>
              <w:end w:w="80" w:type="dxa"/>
            </w:tcMar>
          </w:tcPr>
          <w:p>
            <w:pPr>
              <w:spacing w:after="0"/>
            </w:pPr>
            <w:r/>
            <w:r>
              <w:rPr>
                <w:rFonts w:ascii="Arial" w:hAnsi="Arial"/>
                <w:b w:val="0"/>
                <w:sz w:val="14"/>
              </w:rPr>
              <w:t>Approved charter and decision calendar.</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Days 0–45</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Discovery</w:t>
            </w:r>
          </w:p>
        </w:tc>
        <w:tc>
          <w:tcPr>
            <w:tcW w:type="dxa" w:w="5400"/>
            <w:vAlign w:val="center"/>
            <w:tcMar>
              <w:top w:w="70" w:type="dxa"/>
              <w:start w:w="80" w:type="dxa"/>
              <w:bottom w:w="70" w:type="dxa"/>
              <w:end w:w="80" w:type="dxa"/>
            </w:tcMar>
            <w:shd w:fill="F8F9FA"/>
          </w:tcPr>
          <w:p>
            <w:pPr>
              <w:spacing w:after="0"/>
            </w:pPr>
            <w:r/>
            <w:r>
              <w:rPr>
                <w:rFonts w:ascii="Arial" w:hAnsi="Arial"/>
                <w:b w:val="0"/>
                <w:sz w:val="14"/>
              </w:rPr>
              <w:t>Inventory sources, data classes, users, products, pipelines, reports, costs and dependencies.</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Prioritized assessment backlog and baseline metrics.</w:t>
            </w:r>
          </w:p>
        </w:tc>
      </w:tr>
      <w:tr>
        <w:tc>
          <w:tcPr>
            <w:tcW w:type="dxa" w:w="1224"/>
            <w:vAlign w:val="center"/>
            <w:tcMar>
              <w:top w:w="70" w:type="dxa"/>
              <w:start w:w="80" w:type="dxa"/>
              <w:bottom w:w="70" w:type="dxa"/>
              <w:end w:w="80" w:type="dxa"/>
            </w:tcMar>
          </w:tcPr>
          <w:p>
            <w:pPr>
              <w:spacing w:after="0"/>
            </w:pPr>
            <w:r/>
            <w:r>
              <w:rPr>
                <w:rFonts w:ascii="Arial" w:hAnsi="Arial"/>
                <w:b w:val="0"/>
                <w:sz w:val="14"/>
              </w:rPr>
              <w:t>Days 15–60</w:t>
            </w:r>
          </w:p>
        </w:tc>
        <w:tc>
          <w:tcPr>
            <w:tcW w:type="dxa" w:w="1800"/>
            <w:vAlign w:val="center"/>
            <w:tcMar>
              <w:top w:w="70" w:type="dxa"/>
              <w:start w:w="80" w:type="dxa"/>
              <w:bottom w:w="70" w:type="dxa"/>
              <w:end w:w="80" w:type="dxa"/>
            </w:tcMar>
          </w:tcPr>
          <w:p>
            <w:pPr>
              <w:spacing w:after="0"/>
            </w:pPr>
            <w:r/>
            <w:r>
              <w:rPr>
                <w:rFonts w:ascii="Arial" w:hAnsi="Arial"/>
                <w:b w:val="0"/>
                <w:sz w:val="14"/>
              </w:rPr>
              <w:t>Foundation design</w:t>
            </w:r>
          </w:p>
        </w:tc>
        <w:tc>
          <w:tcPr>
            <w:tcW w:type="dxa" w:w="5400"/>
            <w:vAlign w:val="center"/>
            <w:tcMar>
              <w:top w:w="70" w:type="dxa"/>
              <w:start w:w="80" w:type="dxa"/>
              <w:bottom w:w="70" w:type="dxa"/>
              <w:end w:w="80" w:type="dxa"/>
            </w:tcMar>
          </w:tcPr>
          <w:p>
            <w:pPr>
              <w:spacing w:after="0"/>
            </w:pPr>
            <w:r/>
            <w:r>
              <w:rPr>
                <w:rFonts w:ascii="Arial" w:hAnsi="Arial"/>
                <w:b w:val="0"/>
                <w:sz w:val="14"/>
              </w:rPr>
              <w:t>Complete organization, project, network, identity, KMS, logging, perimeter and region designs.</w:t>
            </w:r>
          </w:p>
        </w:tc>
        <w:tc>
          <w:tcPr>
            <w:tcW w:type="dxa" w:w="1656"/>
            <w:vAlign w:val="center"/>
            <w:tcMar>
              <w:top w:w="70" w:type="dxa"/>
              <w:start w:w="80" w:type="dxa"/>
              <w:bottom w:w="70" w:type="dxa"/>
              <w:end w:w="80" w:type="dxa"/>
            </w:tcMar>
          </w:tcPr>
          <w:p>
            <w:pPr>
              <w:spacing w:after="0"/>
            </w:pPr>
            <w:r/>
            <w:r>
              <w:rPr>
                <w:rFonts w:ascii="Arial" w:hAnsi="Arial"/>
                <w:b w:val="0"/>
                <w:sz w:val="14"/>
              </w:rPr>
              <w:t>Approved detailed design and Terraform backlog.</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Days 30–90</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Bootstrap delivery</w:t>
            </w:r>
          </w:p>
        </w:tc>
        <w:tc>
          <w:tcPr>
            <w:tcW w:type="dxa" w:w="5400"/>
            <w:vAlign w:val="center"/>
            <w:tcMar>
              <w:top w:w="70" w:type="dxa"/>
              <w:start w:w="80" w:type="dxa"/>
              <w:bottom w:w="70" w:type="dxa"/>
              <w:end w:w="80" w:type="dxa"/>
            </w:tcMar>
            <w:shd w:fill="F8F9FA"/>
          </w:tcPr>
          <w:p>
            <w:pPr>
              <w:spacing w:after="0"/>
            </w:pPr>
            <w:r/>
            <w:r>
              <w:rPr>
                <w:rFonts w:ascii="Arial" w:hAnsi="Arial"/>
                <w:b w:val="0"/>
                <w:sz w:val="14"/>
              </w:rPr>
              <w:t>Establish source repositories, WIF, build runners, artifact storage, state and policy tests.</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Auditable development pipeline.</w:t>
            </w:r>
          </w:p>
        </w:tc>
      </w:tr>
      <w:tr>
        <w:tc>
          <w:tcPr>
            <w:tcW w:type="dxa" w:w="1224"/>
            <w:vAlign w:val="center"/>
            <w:tcMar>
              <w:top w:w="70" w:type="dxa"/>
              <w:start w:w="80" w:type="dxa"/>
              <w:bottom w:w="70" w:type="dxa"/>
              <w:end w:w="80" w:type="dxa"/>
            </w:tcMar>
          </w:tcPr>
          <w:p>
            <w:pPr>
              <w:spacing w:after="0"/>
            </w:pPr>
            <w:r/>
            <w:r>
              <w:rPr>
                <w:rFonts w:ascii="Arial" w:hAnsi="Arial"/>
                <w:b w:val="0"/>
                <w:sz w:val="14"/>
              </w:rPr>
              <w:t>Days 45–120</w:t>
            </w:r>
          </w:p>
        </w:tc>
        <w:tc>
          <w:tcPr>
            <w:tcW w:type="dxa" w:w="1800"/>
            <w:vAlign w:val="center"/>
            <w:tcMar>
              <w:top w:w="70" w:type="dxa"/>
              <w:start w:w="80" w:type="dxa"/>
              <w:bottom w:w="70" w:type="dxa"/>
              <w:end w:w="80" w:type="dxa"/>
            </w:tcMar>
          </w:tcPr>
          <w:p>
            <w:pPr>
              <w:spacing w:after="0"/>
            </w:pPr>
            <w:r/>
            <w:r>
              <w:rPr>
                <w:rFonts w:ascii="Arial" w:hAnsi="Arial"/>
                <w:b w:val="0"/>
                <w:sz w:val="14"/>
              </w:rPr>
              <w:t>Deploy minimum foundation</w:t>
            </w:r>
          </w:p>
        </w:tc>
        <w:tc>
          <w:tcPr>
            <w:tcW w:type="dxa" w:w="5400"/>
            <w:vAlign w:val="center"/>
            <w:tcMar>
              <w:top w:w="70" w:type="dxa"/>
              <w:start w:w="80" w:type="dxa"/>
              <w:bottom w:w="70" w:type="dxa"/>
              <w:end w:w="80" w:type="dxa"/>
            </w:tcMar>
          </w:tcPr>
          <w:p>
            <w:pPr>
              <w:spacing w:after="0"/>
            </w:pPr>
            <w:r/>
            <w:r>
              <w:rPr>
                <w:rFonts w:ascii="Arial" w:hAnsi="Arial"/>
                <w:b w:val="0"/>
                <w:sz w:val="14"/>
              </w:rPr>
              <w:t>Provision development/test foundations, hybrid connectivity, central logs and security controls.</w:t>
            </w:r>
          </w:p>
        </w:tc>
        <w:tc>
          <w:tcPr>
            <w:tcW w:type="dxa" w:w="1656"/>
            <w:vAlign w:val="center"/>
            <w:tcMar>
              <w:top w:w="70" w:type="dxa"/>
              <w:start w:w="80" w:type="dxa"/>
              <w:bottom w:w="70" w:type="dxa"/>
              <w:end w:w="80" w:type="dxa"/>
            </w:tcMar>
          </w:tcPr>
          <w:p>
            <w:pPr>
              <w:spacing w:after="0"/>
            </w:pPr>
            <w:r/>
            <w:r>
              <w:rPr>
                <w:rFonts w:ascii="Arial" w:hAnsi="Arial"/>
                <w:b w:val="0"/>
                <w:sz w:val="14"/>
              </w:rPr>
              <w:t>Foundation acceptance evidence.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Days 60–150</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Build reference data patterns</w:t>
            </w:r>
          </w:p>
        </w:tc>
        <w:tc>
          <w:tcPr>
            <w:tcW w:type="dxa" w:w="5400"/>
            <w:vAlign w:val="center"/>
            <w:tcMar>
              <w:top w:w="70" w:type="dxa"/>
              <w:start w:w="80" w:type="dxa"/>
              <w:bottom w:w="70" w:type="dxa"/>
              <w:end w:w="80" w:type="dxa"/>
            </w:tcMar>
            <w:shd w:fill="F8F9FA"/>
          </w:tcPr>
          <w:p>
            <w:pPr>
              <w:spacing w:after="0"/>
            </w:pPr>
            <w:r/>
            <w:r>
              <w:rPr>
                <w:rFonts w:ascii="Arial" w:hAnsi="Arial"/>
                <w:b w:val="0"/>
                <w:sz w:val="14"/>
              </w:rPr>
              <w:t>Implement batch, CDC, streaming, SQL and quality templates with failure tests.</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Validated reference implementations.</w:t>
            </w:r>
          </w:p>
        </w:tc>
      </w:tr>
      <w:tr>
        <w:tc>
          <w:tcPr>
            <w:tcW w:type="dxa" w:w="1224"/>
            <w:vAlign w:val="center"/>
            <w:tcMar>
              <w:top w:w="70" w:type="dxa"/>
              <w:start w:w="80" w:type="dxa"/>
              <w:bottom w:w="70" w:type="dxa"/>
              <w:end w:w="80" w:type="dxa"/>
            </w:tcMar>
          </w:tcPr>
          <w:p>
            <w:pPr>
              <w:spacing w:after="0"/>
            </w:pPr>
            <w:r/>
            <w:r>
              <w:rPr>
                <w:rFonts w:ascii="Arial" w:hAnsi="Arial"/>
                <w:b w:val="0"/>
                <w:sz w:val="14"/>
              </w:rPr>
              <w:t>Days 60–150</w:t>
            </w:r>
          </w:p>
        </w:tc>
        <w:tc>
          <w:tcPr>
            <w:tcW w:type="dxa" w:w="1800"/>
            <w:vAlign w:val="center"/>
            <w:tcMar>
              <w:top w:w="70" w:type="dxa"/>
              <w:start w:w="80" w:type="dxa"/>
              <w:bottom w:w="70" w:type="dxa"/>
              <w:end w:w="80" w:type="dxa"/>
            </w:tcMar>
          </w:tcPr>
          <w:p>
            <w:pPr>
              <w:spacing w:after="0"/>
            </w:pPr>
            <w:r/>
            <w:r>
              <w:rPr>
                <w:rFonts w:ascii="Arial" w:hAnsi="Arial"/>
                <w:b w:val="0"/>
                <w:sz w:val="14"/>
              </w:rPr>
              <w:t>Governance foundation</w:t>
            </w:r>
          </w:p>
        </w:tc>
        <w:tc>
          <w:tcPr>
            <w:tcW w:type="dxa" w:w="5400"/>
            <w:vAlign w:val="center"/>
            <w:tcMar>
              <w:top w:w="70" w:type="dxa"/>
              <w:start w:w="80" w:type="dxa"/>
              <w:bottom w:w="70" w:type="dxa"/>
              <w:end w:w="80" w:type="dxa"/>
            </w:tcMar>
          </w:tcPr>
          <w:p>
            <w:pPr>
              <w:spacing w:after="0"/>
            </w:pPr>
            <w:r/>
            <w:r>
              <w:rPr>
                <w:rFonts w:ascii="Arial" w:hAnsi="Arial"/>
                <w:b w:val="0"/>
                <w:sz w:val="14"/>
              </w:rPr>
              <w:t>Define glossary, classifications, product manifest, contracts, certification and access workflow.</w:t>
            </w:r>
          </w:p>
        </w:tc>
        <w:tc>
          <w:tcPr>
            <w:tcW w:type="dxa" w:w="1656"/>
            <w:vAlign w:val="center"/>
            <w:tcMar>
              <w:top w:w="70" w:type="dxa"/>
              <w:start w:w="80" w:type="dxa"/>
              <w:bottom w:w="70" w:type="dxa"/>
              <w:end w:w="80" w:type="dxa"/>
            </w:tcMar>
          </w:tcPr>
          <w:p>
            <w:pPr>
              <w:spacing w:after="0"/>
            </w:pPr>
            <w:r/>
            <w:r>
              <w:rPr>
                <w:rFonts w:ascii="Arial" w:hAnsi="Arial"/>
                <w:b w:val="0"/>
                <w:sz w:val="14"/>
              </w:rPr>
              <w:t>Governance operating procedures and catalog baseline.</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Days 90–180</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Pilot product build</w:t>
            </w:r>
          </w:p>
        </w:tc>
        <w:tc>
          <w:tcPr>
            <w:tcW w:type="dxa" w:w="5400"/>
            <w:vAlign w:val="center"/>
            <w:tcMar>
              <w:top w:w="70" w:type="dxa"/>
              <w:start w:w="80" w:type="dxa"/>
              <w:bottom w:w="70" w:type="dxa"/>
              <w:end w:w="80" w:type="dxa"/>
            </w:tcMar>
            <w:shd w:fill="F8F9FA"/>
          </w:tcPr>
          <w:p>
            <w:pPr>
              <w:spacing w:after="0"/>
            </w:pPr>
            <w:r/>
            <w:r>
              <w:rPr>
                <w:rFonts w:ascii="Arial" w:hAnsi="Arial"/>
                <w:b w:val="0"/>
                <w:sz w:val="14"/>
              </w:rPr>
              <w:t>Deliver first products, semantic model, consumer access, SLOs, dashboards, runbooks and cost forecast.</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Production-readiness evidence or bounded remediation plan.</w:t>
            </w:r>
          </w:p>
        </w:tc>
      </w:tr>
      <w:tr>
        <w:tc>
          <w:tcPr>
            <w:tcW w:type="dxa" w:w="1224"/>
            <w:vAlign w:val="center"/>
            <w:tcMar>
              <w:top w:w="70" w:type="dxa"/>
              <w:start w:w="80" w:type="dxa"/>
              <w:bottom w:w="70" w:type="dxa"/>
              <w:end w:w="80" w:type="dxa"/>
            </w:tcMar>
          </w:tcPr>
          <w:p>
            <w:pPr>
              <w:spacing w:after="0"/>
            </w:pPr>
            <w:r/>
            <w:r>
              <w:rPr>
                <w:rFonts w:ascii="Arial" w:hAnsi="Arial"/>
                <w:b w:val="0"/>
                <w:sz w:val="14"/>
              </w:rPr>
              <w:t>Days 120–180</w:t>
            </w:r>
          </w:p>
        </w:tc>
        <w:tc>
          <w:tcPr>
            <w:tcW w:type="dxa" w:w="1800"/>
            <w:vAlign w:val="center"/>
            <w:tcMar>
              <w:top w:w="70" w:type="dxa"/>
              <w:start w:w="80" w:type="dxa"/>
              <w:bottom w:w="70" w:type="dxa"/>
              <w:end w:w="80" w:type="dxa"/>
            </w:tcMar>
          </w:tcPr>
          <w:p>
            <w:pPr>
              <w:spacing w:after="0"/>
            </w:pPr>
            <w:r/>
            <w:r>
              <w:rPr>
                <w:rFonts w:ascii="Arial" w:hAnsi="Arial"/>
                <w:b w:val="0"/>
                <w:sz w:val="14"/>
              </w:rPr>
              <w:t>Recovery and security exercises</w:t>
            </w:r>
          </w:p>
        </w:tc>
        <w:tc>
          <w:tcPr>
            <w:tcW w:type="dxa" w:w="5400"/>
            <w:vAlign w:val="center"/>
            <w:tcMar>
              <w:top w:w="70" w:type="dxa"/>
              <w:start w:w="80" w:type="dxa"/>
              <w:bottom w:w="70" w:type="dxa"/>
              <w:end w:w="80" w:type="dxa"/>
            </w:tcMar>
          </w:tcPr>
          <w:p>
            <w:pPr>
              <w:spacing w:after="0"/>
            </w:pPr>
            <w:r/>
            <w:r>
              <w:rPr>
                <w:rFonts w:ascii="Arial" w:hAnsi="Arial"/>
                <w:b w:val="0"/>
                <w:sz w:val="14"/>
              </w:rPr>
              <w:t>Run perimeter, negative-access, incident and recovery tests.</w:t>
            </w:r>
          </w:p>
        </w:tc>
        <w:tc>
          <w:tcPr>
            <w:tcW w:type="dxa" w:w="1656"/>
            <w:vAlign w:val="center"/>
            <w:tcMar>
              <w:top w:w="70" w:type="dxa"/>
              <w:start w:w="80" w:type="dxa"/>
              <w:bottom w:w="70" w:type="dxa"/>
              <w:end w:w="80" w:type="dxa"/>
            </w:tcMar>
          </w:tcPr>
          <w:p>
            <w:pPr>
              <w:spacing w:after="0"/>
            </w:pPr>
            <w:r/>
            <w:r>
              <w:rPr>
                <w:rFonts w:ascii="Arial" w:hAnsi="Arial"/>
                <w:b w:val="0"/>
                <w:sz w:val="14"/>
              </w:rPr>
              <w:t>Exercise reports and closed critical findings.</w:t>
            </w:r>
          </w:p>
        </w:tc>
      </w:tr>
      <w:tr>
        <w:tc>
          <w:tcPr>
            <w:tcW w:type="dxa" w:w="1224"/>
            <w:vAlign w:val="center"/>
            <w:tcMar>
              <w:top w:w="70" w:type="dxa"/>
              <w:start w:w="80" w:type="dxa"/>
              <w:bottom w:w="70" w:type="dxa"/>
              <w:end w:w="80" w:type="dxa"/>
            </w:tcMar>
            <w:shd w:fill="F8F9FA"/>
          </w:tcPr>
          <w:p>
            <w:pPr>
              <w:spacing w:after="0"/>
            </w:pPr>
            <w:r/>
            <w:r>
              <w:rPr>
                <w:rFonts w:ascii="Arial" w:hAnsi="Arial"/>
                <w:b w:val="0"/>
                <w:sz w:val="14"/>
              </w:rPr>
              <w:t>Days 150–180</w:t>
            </w:r>
          </w:p>
        </w:tc>
        <w:tc>
          <w:tcPr>
            <w:tcW w:type="dxa" w:w="1800"/>
            <w:vAlign w:val="center"/>
            <w:tcMar>
              <w:top w:w="70" w:type="dxa"/>
              <w:start w:w="80" w:type="dxa"/>
              <w:bottom w:w="70" w:type="dxa"/>
              <w:end w:w="80" w:type="dxa"/>
            </w:tcMar>
            <w:shd w:fill="F8F9FA"/>
          </w:tcPr>
          <w:p>
            <w:pPr>
              <w:spacing w:after="0"/>
            </w:pPr>
            <w:r/>
            <w:r>
              <w:rPr>
                <w:rFonts w:ascii="Arial" w:hAnsi="Arial"/>
                <w:b w:val="0"/>
                <w:sz w:val="14"/>
              </w:rPr>
              <w:t>Scale decision</w:t>
            </w:r>
          </w:p>
        </w:tc>
        <w:tc>
          <w:tcPr>
            <w:tcW w:type="dxa" w:w="5400"/>
            <w:vAlign w:val="center"/>
            <w:tcMar>
              <w:top w:w="70" w:type="dxa"/>
              <w:start w:w="80" w:type="dxa"/>
              <w:bottom w:w="70" w:type="dxa"/>
              <w:end w:w="80" w:type="dxa"/>
            </w:tcMar>
            <w:shd w:fill="F8F9FA"/>
          </w:tcPr>
          <w:p>
            <w:pPr>
              <w:spacing w:after="0"/>
            </w:pPr>
            <w:r/>
            <w:r>
              <w:rPr>
                <w:rFonts w:ascii="Arial" w:hAnsi="Arial"/>
                <w:b w:val="0"/>
                <w:sz w:val="14"/>
              </w:rPr>
              <w:t>Evaluate product outcome, platform lead time, risk, support and economics.</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Decision to scale, adjust or pause.</w:t>
            </w:r>
          </w:p>
        </w:tc>
      </w:tr>
    </w:tbl>
    <w:p>
      <w:pPr>
        <w:spacing w:after="20"/>
      </w:pPr>
    </w:p>
    <w:p>
      <w:pPr>
        <w:pStyle w:val="Heading2"/>
      </w:pPr>
      <w:r>
        <w:t>16.3 Expected Deliverables from Subsequent Volumes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70" w:type="dxa"/>
              <w:start w:w="80" w:type="dxa"/>
              <w:bottom w:w="70" w:type="dxa"/>
              <w:end w:w="80" w:type="dxa"/>
            </w:tcMar>
            <w:shd w:fill="1A73E8"/>
          </w:tcPr>
          <w:p>
            <w:pPr>
              <w:spacing w:after="0"/>
            </w:pPr>
            <w:r/>
            <w:r>
              <w:rPr>
                <w:rFonts w:ascii="Arial" w:hAnsi="Arial"/>
                <w:b/>
                <w:color w:val="FFFFFF"/>
                <w:sz w:val="16"/>
              </w:rPr>
              <w:t>Volume</w:t>
            </w:r>
          </w:p>
        </w:tc>
        <w:tc>
          <w:tcPr>
            <w:tcW w:type="dxa" w:w="7200"/>
            <w:vAlign w:val="center"/>
            <w:tcMar>
              <w:top w:w="70" w:type="dxa"/>
              <w:start w:w="80" w:type="dxa"/>
              <w:bottom w:w="70" w:type="dxa"/>
              <w:end w:w="80" w:type="dxa"/>
            </w:tcMar>
            <w:shd w:fill="1A73E8"/>
          </w:tcPr>
          <w:p>
            <w:pPr>
              <w:spacing w:after="0"/>
            </w:pPr>
            <w:r/>
            <w:r>
              <w:rPr>
                <w:rFonts w:ascii="Arial" w:hAnsi="Arial"/>
                <w:b/>
                <w:color w:val="FFFFFF"/>
                <w:sz w:val="16"/>
              </w:rPr>
              <w:t>Detailed deliverable</w:t>
            </w:r>
          </w:p>
        </w:tc>
      </w:tr>
      <w:tr>
        <w:tc>
          <w:tcPr>
            <w:tcW w:type="dxa" w:w="2880"/>
            <w:vAlign w:val="center"/>
            <w:tcMar>
              <w:top w:w="70" w:type="dxa"/>
              <w:start w:w="80" w:type="dxa"/>
              <w:bottom w:w="70" w:type="dxa"/>
              <w:end w:w="80" w:type="dxa"/>
            </w:tcMar>
          </w:tcPr>
          <w:p>
            <w:pPr>
              <w:spacing w:after="0"/>
            </w:pPr>
            <w:r/>
            <w:r>
              <w:rPr>
                <w:rFonts w:ascii="Arial" w:hAnsi="Arial"/>
                <w:b w:val="0"/>
                <w:sz w:val="15"/>
              </w:rPr>
              <w:t>Volume 02 — Landing Zone</w:t>
            </w:r>
          </w:p>
        </w:tc>
        <w:tc>
          <w:tcPr>
            <w:tcW w:type="dxa" w:w="7200"/>
            <w:vAlign w:val="center"/>
            <w:tcMar>
              <w:top w:w="70" w:type="dxa"/>
              <w:start w:w="80" w:type="dxa"/>
              <w:bottom w:w="70" w:type="dxa"/>
              <w:end w:w="80" w:type="dxa"/>
            </w:tcMar>
          </w:tcPr>
          <w:p>
            <w:pPr>
              <w:spacing w:after="0"/>
            </w:pPr>
            <w:r/>
            <w:r>
              <w:rPr>
                <w:rFonts w:ascii="Arial" w:hAnsi="Arial"/>
                <w:b w:val="0"/>
                <w:sz w:val="15"/>
              </w:rPr>
              <w:t>Organization, projects, Shared VPC, hybrid network, identity, security foundation, logging and implementation examples.</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Volume 03 — Enterprise Data Platform</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Ingestion, storage, BigQuery/BigLake, metadata, quality, contracts, products and detailed data flows.</w:t>
            </w:r>
          </w:p>
        </w:tc>
      </w:tr>
      <w:tr>
        <w:tc>
          <w:tcPr>
            <w:tcW w:type="dxa" w:w="2880"/>
            <w:vAlign w:val="center"/>
            <w:tcMar>
              <w:top w:w="70" w:type="dxa"/>
              <w:start w:w="80" w:type="dxa"/>
              <w:bottom w:w="70" w:type="dxa"/>
              <w:end w:w="80" w:type="dxa"/>
            </w:tcMar>
          </w:tcPr>
          <w:p>
            <w:pPr>
              <w:spacing w:after="0"/>
            </w:pPr>
            <w:r/>
            <w:r>
              <w:rPr>
                <w:rFonts w:ascii="Arial" w:hAnsi="Arial"/>
                <w:b w:val="0"/>
                <w:sz w:val="15"/>
              </w:rPr>
              <w:t>Volume 04 — Data Engineering</w:t>
            </w:r>
          </w:p>
        </w:tc>
        <w:tc>
          <w:tcPr>
            <w:tcW w:type="dxa" w:w="7200"/>
            <w:vAlign w:val="center"/>
            <w:tcMar>
              <w:top w:w="70" w:type="dxa"/>
              <w:start w:w="80" w:type="dxa"/>
              <w:bottom w:w="70" w:type="dxa"/>
              <w:end w:w="80" w:type="dxa"/>
            </w:tcMar>
          </w:tcPr>
          <w:p>
            <w:pPr>
              <w:spacing w:after="0"/>
            </w:pPr>
            <w:r/>
            <w:r>
              <w:rPr>
                <w:rFonts w:ascii="Arial" w:hAnsi="Arial"/>
                <w:b w:val="0"/>
                <w:sz w:val="15"/>
              </w:rPr>
              <w:t>Dataflow/Beam, Spark, Dataform, orchestration, reusable pipelines, standards and code.</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Volume 05 — Data Mesh</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Domain model, product lifecycle, federated governance, marketplace and example domains.</w:t>
            </w:r>
          </w:p>
        </w:tc>
      </w:tr>
      <w:tr>
        <w:tc>
          <w:tcPr>
            <w:tcW w:type="dxa" w:w="2880"/>
            <w:vAlign w:val="center"/>
            <w:tcMar>
              <w:top w:w="70" w:type="dxa"/>
              <w:start w:w="80" w:type="dxa"/>
              <w:bottom w:w="70" w:type="dxa"/>
              <w:end w:w="80" w:type="dxa"/>
            </w:tcMar>
          </w:tcPr>
          <w:p>
            <w:pPr>
              <w:spacing w:after="0"/>
            </w:pPr>
            <w:r/>
            <w:r>
              <w:rPr>
                <w:rFonts w:ascii="Arial" w:hAnsi="Arial"/>
                <w:b w:val="0"/>
                <w:sz w:val="15"/>
              </w:rPr>
              <w:t>Volume 06 — AI Platform</w:t>
            </w:r>
          </w:p>
        </w:tc>
        <w:tc>
          <w:tcPr>
            <w:tcW w:type="dxa" w:w="7200"/>
            <w:vAlign w:val="center"/>
            <w:tcMar>
              <w:top w:w="70" w:type="dxa"/>
              <w:start w:w="80" w:type="dxa"/>
              <w:bottom w:w="70" w:type="dxa"/>
              <w:end w:w="80" w:type="dxa"/>
            </w:tcMar>
          </w:tcPr>
          <w:p>
            <w:pPr>
              <w:spacing w:after="0"/>
            </w:pPr>
            <w:r/>
            <w:r>
              <w:rPr>
                <w:rFonts w:ascii="Arial" w:hAnsi="Arial"/>
                <w:b w:val="0"/>
                <w:sz w:val="15"/>
              </w:rPr>
              <w:t>Vertex AI, MLOps, LLMOps, RAG, agents, evaluations, responsible AI and reference code.</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Volume 07 — Security Blueprint</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Zero Trust, IAM, network/data perimeters, KMS, DLP, threat models and compliance control mappings.</w:t>
            </w:r>
          </w:p>
        </w:tc>
      </w:tr>
      <w:tr>
        <w:tc>
          <w:tcPr>
            <w:tcW w:type="dxa" w:w="2880"/>
            <w:vAlign w:val="center"/>
            <w:tcMar>
              <w:top w:w="70" w:type="dxa"/>
              <w:start w:w="80" w:type="dxa"/>
              <w:bottom w:w="70" w:type="dxa"/>
              <w:end w:w="80" w:type="dxa"/>
            </w:tcMar>
          </w:tcPr>
          <w:p>
            <w:pPr>
              <w:spacing w:after="0"/>
            </w:pPr>
            <w:r/>
            <w:r>
              <w:rPr>
                <w:rFonts w:ascii="Arial" w:hAnsi="Arial"/>
                <w:b w:val="0"/>
                <w:sz w:val="15"/>
              </w:rPr>
              <w:t>Volume 08 — DevSecOps Automation</w:t>
            </w:r>
          </w:p>
        </w:tc>
        <w:tc>
          <w:tcPr>
            <w:tcW w:type="dxa" w:w="7200"/>
            <w:vAlign w:val="center"/>
            <w:tcMar>
              <w:top w:w="70" w:type="dxa"/>
              <w:start w:w="80" w:type="dxa"/>
              <w:bottom w:w="70" w:type="dxa"/>
              <w:end w:w="80" w:type="dxa"/>
            </w:tcMar>
          </w:tcPr>
          <w:p>
            <w:pPr>
              <w:spacing w:after="0"/>
            </w:pPr>
            <w:r/>
            <w:r>
              <w:rPr>
                <w:rFonts w:ascii="Arial" w:hAnsi="Arial"/>
                <w:b w:val="0"/>
                <w:sz w:val="15"/>
              </w:rPr>
              <w:t>Repositories, CI/CD, tests, provenance, promotion, rollback and policy-as-code.</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Volume 09 — FinOps</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Billing, allocation, reservations, budgets, unit economics and optimization.</w:t>
            </w:r>
          </w:p>
        </w:tc>
      </w:tr>
      <w:tr>
        <w:tc>
          <w:tcPr>
            <w:tcW w:type="dxa" w:w="2880"/>
            <w:vAlign w:val="center"/>
            <w:tcMar>
              <w:top w:w="70" w:type="dxa"/>
              <w:start w:w="80" w:type="dxa"/>
              <w:bottom w:w="70" w:type="dxa"/>
              <w:end w:w="80" w:type="dxa"/>
            </w:tcMar>
          </w:tcPr>
          <w:p>
            <w:pPr>
              <w:spacing w:after="0"/>
            </w:pPr>
            <w:r/>
            <w:r>
              <w:rPr>
                <w:rFonts w:ascii="Arial" w:hAnsi="Arial"/>
                <w:b w:val="0"/>
                <w:sz w:val="15"/>
              </w:rPr>
              <w:t>Volume 10 — Operations SRE</w:t>
            </w:r>
          </w:p>
        </w:tc>
        <w:tc>
          <w:tcPr>
            <w:tcW w:type="dxa" w:w="7200"/>
            <w:vAlign w:val="center"/>
            <w:tcMar>
              <w:top w:w="70" w:type="dxa"/>
              <w:start w:w="80" w:type="dxa"/>
              <w:bottom w:w="70" w:type="dxa"/>
              <w:end w:w="80" w:type="dxa"/>
            </w:tcMar>
          </w:tcPr>
          <w:p>
            <w:pPr>
              <w:spacing w:after="0"/>
            </w:pPr>
            <w:r/>
            <w:r>
              <w:rPr>
                <w:rFonts w:ascii="Arial" w:hAnsi="Arial"/>
                <w:b w:val="0"/>
                <w:sz w:val="15"/>
              </w:rPr>
              <w:t>SLIs/SLOs, observability, incidents, capacity, runbooks and recovery operations.</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Volume 11 — Terraform Reference</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Golden modules for foundation, platform and domain resources.</w:t>
            </w:r>
          </w:p>
        </w:tc>
      </w:tr>
      <w:tr>
        <w:tc>
          <w:tcPr>
            <w:tcW w:type="dxa" w:w="2880"/>
            <w:vAlign w:val="center"/>
            <w:tcMar>
              <w:top w:w="70" w:type="dxa"/>
              <w:start w:w="80" w:type="dxa"/>
              <w:bottom w:w="70" w:type="dxa"/>
              <w:end w:w="80" w:type="dxa"/>
            </w:tcMar>
          </w:tcPr>
          <w:p>
            <w:pPr>
              <w:spacing w:after="0"/>
            </w:pPr>
            <w:r/>
            <w:r>
              <w:rPr>
                <w:rFonts w:ascii="Arial" w:hAnsi="Arial"/>
                <w:b w:val="0"/>
                <w:sz w:val="15"/>
              </w:rPr>
              <w:t>Volume 12 — Industry Implementations</w:t>
            </w:r>
          </w:p>
        </w:tc>
        <w:tc>
          <w:tcPr>
            <w:tcW w:type="dxa" w:w="7200"/>
            <w:vAlign w:val="center"/>
            <w:tcMar>
              <w:top w:w="70" w:type="dxa"/>
              <w:start w:w="80" w:type="dxa"/>
              <w:bottom w:w="70" w:type="dxa"/>
              <w:end w:w="80" w:type="dxa"/>
            </w:tcMar>
          </w:tcPr>
          <w:p>
            <w:pPr>
              <w:spacing w:after="0"/>
            </w:pPr>
            <w:r/>
            <w:r>
              <w:rPr>
                <w:rFonts w:ascii="Arial" w:hAnsi="Arial"/>
                <w:b w:val="0"/>
                <w:sz w:val="15"/>
              </w:rPr>
              <w:t>Healthcare, banking, retail and telecom reference implementations.</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Volume 13 — Architecture Playbook</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Review templates, decision trees, checklists, workshops and adoption guidance.</w:t>
            </w:r>
          </w:p>
        </w:tc>
      </w:tr>
    </w:tbl>
    <w:p>
      <w:pPr>
        <w:spacing w:after="20"/>
      </w:pP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Recommended immediate scope</w:t>
            </w:r>
          </w:p>
          <w:p>
            <w:pPr>
              <w:pStyle w:val="BodyText"/>
              <w:spacing w:after="0"/>
            </w:pPr>
            <w:r>
              <w:t>Fund and execute the landing-zone detailed design, minimum viable data platform, and first production domain as one coordinated tranche. Separating these into unrelated projects creates ownership gaps and delays evidence of business value.</w:t>
            </w:r>
          </w:p>
        </w:tc>
      </w:tr>
    </w:tbl>
    <w:p>
      <w:pPr>
        <w:spacing w:after="20"/>
      </w:pPr>
    </w:p>
    <w:p>
      <w:r>
        <w:br w:type="page"/>
      </w:r>
    </w:p>
    <w:p>
      <w:pPr>
        <w:pStyle w:val="Heading1"/>
      </w:pPr>
      <w:r>
        <w:t>Appendix A. Enterprise Assumptions</w:t>
      </w:r>
    </w:p>
    <w:p>
      <w:r>
        <w:t>The reference architecture uses the following planning assumptions because organization-specific discovery has not yet occurred. They are not presented as confirmed facts. Each must be validated, rejected or refined during mobilization.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8"/>
            <w:vAlign w:val="center"/>
            <w:tcMar>
              <w:top w:w="70" w:type="dxa"/>
              <w:start w:w="80" w:type="dxa"/>
              <w:bottom w:w="70" w:type="dxa"/>
              <w:end w:w="80" w:type="dxa"/>
            </w:tcMar>
            <w:shd w:fill="1A73E8"/>
          </w:tcPr>
          <w:p>
            <w:pPr>
              <w:spacing w:after="0"/>
            </w:pPr>
            <w:r/>
            <w:r>
              <w:rPr>
                <w:rFonts w:ascii="Arial" w:hAnsi="Arial"/>
                <w:b/>
                <w:color w:val="FFFFFF"/>
                <w:sz w:val="16"/>
              </w:rPr>
              <w:t>ID</w:t>
            </w:r>
          </w:p>
        </w:tc>
        <w:tc>
          <w:tcPr>
            <w:tcW w:type="dxa" w:w="1728"/>
            <w:vAlign w:val="center"/>
            <w:tcMar>
              <w:top w:w="70" w:type="dxa"/>
              <w:start w:w="80" w:type="dxa"/>
              <w:bottom w:w="70" w:type="dxa"/>
              <w:end w:w="80" w:type="dxa"/>
            </w:tcMar>
            <w:shd w:fill="1A73E8"/>
          </w:tcPr>
          <w:p>
            <w:pPr>
              <w:spacing w:after="0"/>
            </w:pPr>
            <w:r/>
            <w:r>
              <w:rPr>
                <w:rFonts w:ascii="Arial" w:hAnsi="Arial"/>
                <w:b/>
                <w:color w:val="FFFFFF"/>
                <w:sz w:val="16"/>
              </w:rPr>
              <w:t>Area</w:t>
            </w:r>
          </w:p>
        </w:tc>
        <w:tc>
          <w:tcPr>
            <w:tcW w:type="dxa" w:w="4464"/>
            <w:vAlign w:val="center"/>
            <w:tcMar>
              <w:top w:w="70" w:type="dxa"/>
              <w:start w:w="80" w:type="dxa"/>
              <w:bottom w:w="70" w:type="dxa"/>
              <w:end w:w="80" w:type="dxa"/>
            </w:tcMar>
            <w:shd w:fill="1A73E8"/>
          </w:tcPr>
          <w:p>
            <w:pPr>
              <w:spacing w:after="0"/>
            </w:pPr>
            <w:r/>
            <w:r>
              <w:rPr>
                <w:rFonts w:ascii="Arial" w:hAnsi="Arial"/>
                <w:b/>
                <w:color w:val="FFFFFF"/>
                <w:sz w:val="16"/>
              </w:rPr>
              <w:t>Assumption</w:t>
            </w:r>
          </w:p>
        </w:tc>
        <w:tc>
          <w:tcPr>
            <w:tcW w:type="dxa" w:w="2880"/>
            <w:vAlign w:val="center"/>
            <w:tcMar>
              <w:top w:w="70" w:type="dxa"/>
              <w:start w:w="80" w:type="dxa"/>
              <w:bottom w:w="70" w:type="dxa"/>
              <w:end w:w="80" w:type="dxa"/>
            </w:tcMar>
            <w:shd w:fill="1A73E8"/>
          </w:tcPr>
          <w:p>
            <w:pPr>
              <w:spacing w:after="0"/>
            </w:pPr>
            <w:r/>
            <w:r>
              <w:rPr>
                <w:rFonts w:ascii="Arial" w:hAnsi="Arial"/>
                <w:b/>
                <w:color w:val="FFFFFF"/>
                <w:sz w:val="16"/>
              </w:rPr>
              <w:t>Architecture consequence</w:t>
            </w:r>
          </w:p>
        </w:tc>
      </w:tr>
      <w:tr>
        <w:tc>
          <w:tcPr>
            <w:tcW w:type="dxa" w:w="1008"/>
            <w:vAlign w:val="center"/>
            <w:tcMar>
              <w:top w:w="70" w:type="dxa"/>
              <w:start w:w="80" w:type="dxa"/>
              <w:bottom w:w="70" w:type="dxa"/>
              <w:end w:w="80" w:type="dxa"/>
            </w:tcMar>
          </w:tcPr>
          <w:p>
            <w:pPr>
              <w:spacing w:after="0"/>
            </w:pPr>
            <w:r/>
            <w:r>
              <w:rPr>
                <w:rFonts w:ascii="Arial" w:hAnsi="Arial"/>
                <w:b w:val="0"/>
                <w:sz w:val="14"/>
              </w:rPr>
              <w:t>A-001</w:t>
            </w:r>
          </w:p>
        </w:tc>
        <w:tc>
          <w:tcPr>
            <w:tcW w:type="dxa" w:w="1728"/>
            <w:vAlign w:val="center"/>
            <w:tcMar>
              <w:top w:w="70" w:type="dxa"/>
              <w:start w:w="80" w:type="dxa"/>
              <w:bottom w:w="70" w:type="dxa"/>
              <w:end w:w="80" w:type="dxa"/>
            </w:tcMar>
          </w:tcPr>
          <w:p>
            <w:pPr>
              <w:spacing w:after="0"/>
            </w:pPr>
            <w:r/>
            <w:r>
              <w:rPr>
                <w:rFonts w:ascii="Arial" w:hAnsi="Arial"/>
                <w:b w:val="0"/>
                <w:sz w:val="14"/>
              </w:rPr>
              <w:t>Enterprise scale</w:t>
            </w:r>
          </w:p>
        </w:tc>
        <w:tc>
          <w:tcPr>
            <w:tcW w:type="dxa" w:w="4464"/>
            <w:vAlign w:val="center"/>
            <w:tcMar>
              <w:top w:w="70" w:type="dxa"/>
              <w:start w:w="80" w:type="dxa"/>
              <w:bottom w:w="70" w:type="dxa"/>
              <w:end w:w="80" w:type="dxa"/>
            </w:tcMar>
          </w:tcPr>
          <w:p>
            <w:pPr>
              <w:spacing w:after="0"/>
            </w:pPr>
            <w:r/>
            <w:r>
              <w:rPr>
                <w:rFonts w:ascii="Arial" w:hAnsi="Arial"/>
                <w:b w:val="0"/>
                <w:sz w:val="14"/>
              </w:rPr>
              <w:t>Global Fortune 100 organization with more than 100,000 employees and multiple legal entities.</w:t>
            </w:r>
          </w:p>
        </w:tc>
        <w:tc>
          <w:tcPr>
            <w:tcW w:type="dxa" w:w="2880"/>
            <w:vAlign w:val="center"/>
            <w:tcMar>
              <w:top w:w="70" w:type="dxa"/>
              <w:start w:w="80" w:type="dxa"/>
              <w:bottom w:w="70" w:type="dxa"/>
              <w:end w:w="80" w:type="dxa"/>
            </w:tcMar>
          </w:tcPr>
          <w:p>
            <w:pPr>
              <w:spacing w:after="0"/>
            </w:pPr>
            <w:r/>
            <w:r>
              <w:rPr>
                <w:rFonts w:ascii="Arial" w:hAnsi="Arial"/>
                <w:b w:val="0"/>
                <w:sz w:val="14"/>
              </w:rPr>
              <w:t>Drives federated ownership, regional zones and enterprise governance.</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A-002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Data history</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10–50 PB of historical structured, semi-structured and unstructured data.</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Requires migration waves, tiered storage and portfolio prioritization.</w:t>
            </w:r>
          </w:p>
        </w:tc>
      </w:tr>
      <w:tr>
        <w:tc>
          <w:tcPr>
            <w:tcW w:type="dxa" w:w="1008"/>
            <w:vAlign w:val="center"/>
            <w:tcMar>
              <w:top w:w="70" w:type="dxa"/>
              <w:start w:w="80" w:type="dxa"/>
              <w:bottom w:w="70" w:type="dxa"/>
              <w:end w:w="80" w:type="dxa"/>
            </w:tcMar>
          </w:tcPr>
          <w:p>
            <w:pPr>
              <w:spacing w:after="0"/>
            </w:pPr>
            <w:r/>
            <w:r>
              <w:rPr>
                <w:rFonts w:ascii="Arial" w:hAnsi="Arial"/>
                <w:b w:val="0"/>
                <w:sz w:val="14"/>
              </w:rPr>
              <w:t>A-003</w:t>
            </w:r>
          </w:p>
        </w:tc>
        <w:tc>
          <w:tcPr>
            <w:tcW w:type="dxa" w:w="1728"/>
            <w:vAlign w:val="center"/>
            <w:tcMar>
              <w:top w:w="70" w:type="dxa"/>
              <w:start w:w="80" w:type="dxa"/>
              <w:bottom w:w="70" w:type="dxa"/>
              <w:end w:w="80" w:type="dxa"/>
            </w:tcMar>
          </w:tcPr>
          <w:p>
            <w:pPr>
              <w:spacing w:after="0"/>
            </w:pPr>
            <w:r/>
            <w:r>
              <w:rPr>
                <w:rFonts w:ascii="Arial" w:hAnsi="Arial"/>
                <w:b w:val="0"/>
                <w:sz w:val="14"/>
              </w:rPr>
              <w:t>Daily growth</w:t>
            </w:r>
          </w:p>
        </w:tc>
        <w:tc>
          <w:tcPr>
            <w:tcW w:type="dxa" w:w="4464"/>
            <w:vAlign w:val="center"/>
            <w:tcMar>
              <w:top w:w="70" w:type="dxa"/>
              <w:start w:w="80" w:type="dxa"/>
              <w:bottom w:w="70" w:type="dxa"/>
              <w:end w:w="80" w:type="dxa"/>
            </w:tcMar>
          </w:tcPr>
          <w:p>
            <w:pPr>
              <w:spacing w:after="0"/>
            </w:pPr>
            <w:r/>
            <w:r>
              <w:rPr>
                <w:rFonts w:ascii="Arial" w:hAnsi="Arial"/>
                <w:b w:val="0"/>
                <w:sz w:val="14"/>
              </w:rPr>
              <w:t>50–250 TB of new data per day plus billions of events.</w:t>
            </w:r>
          </w:p>
        </w:tc>
        <w:tc>
          <w:tcPr>
            <w:tcW w:type="dxa" w:w="2880"/>
            <w:vAlign w:val="center"/>
            <w:tcMar>
              <w:top w:w="70" w:type="dxa"/>
              <w:start w:w="80" w:type="dxa"/>
              <w:bottom w:w="70" w:type="dxa"/>
              <w:end w:w="80" w:type="dxa"/>
            </w:tcMar>
          </w:tcPr>
          <w:p>
            <w:pPr>
              <w:spacing w:after="0"/>
            </w:pPr>
            <w:r/>
            <w:r>
              <w:rPr>
                <w:rFonts w:ascii="Arial" w:hAnsi="Arial"/>
                <w:b w:val="0"/>
                <w:sz w:val="14"/>
              </w:rPr>
              <w:t>Requires elastic services, quota planning and scale tests.</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A-004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Source estate</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Hundreds of databases, SaaS applications, mainframes, APIs, files, Kafka and cross-cloud sources.</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Requires multiple governed ingestion patterns.</w:t>
            </w:r>
          </w:p>
        </w:tc>
      </w:tr>
      <w:tr>
        <w:tc>
          <w:tcPr>
            <w:tcW w:type="dxa" w:w="1008"/>
            <w:vAlign w:val="center"/>
            <w:tcMar>
              <w:top w:w="70" w:type="dxa"/>
              <w:start w:w="80" w:type="dxa"/>
              <w:bottom w:w="70" w:type="dxa"/>
              <w:end w:w="80" w:type="dxa"/>
            </w:tcMar>
          </w:tcPr>
          <w:p>
            <w:pPr>
              <w:spacing w:after="0"/>
            </w:pPr>
            <w:r/>
            <w:r>
              <w:rPr>
                <w:rFonts w:ascii="Arial" w:hAnsi="Arial"/>
                <w:b w:val="0"/>
                <w:sz w:val="14"/>
              </w:rPr>
              <w:t>A-005</w:t>
            </w:r>
          </w:p>
        </w:tc>
        <w:tc>
          <w:tcPr>
            <w:tcW w:type="dxa" w:w="1728"/>
            <w:vAlign w:val="center"/>
            <w:tcMar>
              <w:top w:w="70" w:type="dxa"/>
              <w:start w:w="80" w:type="dxa"/>
              <w:bottom w:w="70" w:type="dxa"/>
              <w:end w:w="80" w:type="dxa"/>
            </w:tcMar>
          </w:tcPr>
          <w:p>
            <w:pPr>
              <w:spacing w:after="0"/>
            </w:pPr>
            <w:r/>
            <w:r>
              <w:rPr>
                <w:rFonts w:ascii="Arial" w:hAnsi="Arial"/>
                <w:b w:val="0"/>
                <w:sz w:val="14"/>
              </w:rPr>
              <w:t>Consumers</w:t>
            </w:r>
          </w:p>
        </w:tc>
        <w:tc>
          <w:tcPr>
            <w:tcW w:type="dxa" w:w="4464"/>
            <w:vAlign w:val="center"/>
            <w:tcMar>
              <w:top w:w="70" w:type="dxa"/>
              <w:start w:w="80" w:type="dxa"/>
              <w:bottom w:w="70" w:type="dxa"/>
              <w:end w:w="80" w:type="dxa"/>
            </w:tcMar>
          </w:tcPr>
          <w:p>
            <w:pPr>
              <w:spacing w:after="0"/>
            </w:pPr>
            <w:r/>
            <w:r>
              <w:rPr>
                <w:rFonts w:ascii="Arial" w:hAnsi="Arial"/>
                <w:b w:val="0"/>
                <w:sz w:val="14"/>
              </w:rPr>
              <w:t>Thousands of analysts, hundreds of scientists and operational applications.</w:t>
            </w:r>
          </w:p>
        </w:tc>
        <w:tc>
          <w:tcPr>
            <w:tcW w:type="dxa" w:w="2880"/>
            <w:vAlign w:val="center"/>
            <w:tcMar>
              <w:top w:w="70" w:type="dxa"/>
              <w:start w:w="80" w:type="dxa"/>
              <w:bottom w:w="70" w:type="dxa"/>
              <w:end w:w="80" w:type="dxa"/>
            </w:tcMar>
          </w:tcPr>
          <w:p>
            <w:pPr>
              <w:spacing w:after="0"/>
            </w:pPr>
            <w:r/>
            <w:r>
              <w:rPr>
                <w:rFonts w:ascii="Arial" w:hAnsi="Arial"/>
                <w:b w:val="0"/>
                <w:sz w:val="14"/>
              </w:rPr>
              <w:t>Requires workload isolation, semantic governance and access automation.</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A-006</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Geographies</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Operations across the Americas, Europe, Asia-Pacific and other regulated regions.</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Requires residency classification and regional service validation.</w:t>
            </w:r>
          </w:p>
        </w:tc>
      </w:tr>
      <w:tr>
        <w:tc>
          <w:tcPr>
            <w:tcW w:type="dxa" w:w="1008"/>
            <w:vAlign w:val="center"/>
            <w:tcMar>
              <w:top w:w="70" w:type="dxa"/>
              <w:start w:w="80" w:type="dxa"/>
              <w:bottom w:w="70" w:type="dxa"/>
              <w:end w:w="80" w:type="dxa"/>
            </w:tcMar>
          </w:tcPr>
          <w:p>
            <w:pPr>
              <w:spacing w:after="0"/>
            </w:pPr>
            <w:r/>
            <w:r>
              <w:rPr>
                <w:rFonts w:ascii="Arial" w:hAnsi="Arial"/>
                <w:b w:val="0"/>
                <w:sz w:val="14"/>
              </w:rPr>
              <w:t>A-007</w:t>
            </w:r>
          </w:p>
        </w:tc>
        <w:tc>
          <w:tcPr>
            <w:tcW w:type="dxa" w:w="1728"/>
            <w:vAlign w:val="center"/>
            <w:tcMar>
              <w:top w:w="70" w:type="dxa"/>
              <w:start w:w="80" w:type="dxa"/>
              <w:bottom w:w="70" w:type="dxa"/>
              <w:end w:w="80" w:type="dxa"/>
            </w:tcMar>
          </w:tcPr>
          <w:p>
            <w:pPr>
              <w:spacing w:after="0"/>
            </w:pPr>
            <w:r/>
            <w:r>
              <w:rPr>
                <w:rFonts w:ascii="Arial" w:hAnsi="Arial"/>
                <w:b w:val="0"/>
                <w:sz w:val="14"/>
              </w:rPr>
              <w:t>Cloud posture</w:t>
            </w:r>
          </w:p>
        </w:tc>
        <w:tc>
          <w:tcPr>
            <w:tcW w:type="dxa" w:w="4464"/>
            <w:vAlign w:val="center"/>
            <w:tcMar>
              <w:top w:w="70" w:type="dxa"/>
              <w:start w:w="80" w:type="dxa"/>
              <w:bottom w:w="70" w:type="dxa"/>
              <w:end w:w="80" w:type="dxa"/>
            </w:tcMar>
          </w:tcPr>
          <w:p>
            <w:pPr>
              <w:spacing w:after="0"/>
            </w:pPr>
            <w:r/>
            <w:r>
              <w:rPr>
                <w:rFonts w:ascii="Arial" w:hAnsi="Arial"/>
                <w:b w:val="0"/>
                <w:sz w:val="14"/>
              </w:rPr>
              <w:t>Hybrid and multi-cloud coexistence for several years.</w:t>
            </w:r>
          </w:p>
        </w:tc>
        <w:tc>
          <w:tcPr>
            <w:tcW w:type="dxa" w:w="2880"/>
            <w:vAlign w:val="center"/>
            <w:tcMar>
              <w:top w:w="70" w:type="dxa"/>
              <w:start w:w="80" w:type="dxa"/>
              <w:bottom w:w="70" w:type="dxa"/>
              <w:end w:w="80" w:type="dxa"/>
            </w:tcMar>
          </w:tcPr>
          <w:p>
            <w:pPr>
              <w:spacing w:after="0"/>
            </w:pPr>
            <w:r/>
            <w:r>
              <w:rPr>
                <w:rFonts w:ascii="Arial" w:hAnsi="Arial"/>
                <w:b w:val="0"/>
                <w:sz w:val="14"/>
              </w:rPr>
              <w:t>Requires private connectivity, controlled transfer and authoritative-source management.</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A-008</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Identity</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Enterprise identity provider can federate to Google Cloud.</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Enables group-based IAM, MFA and short-lived workload access.</w:t>
            </w:r>
          </w:p>
        </w:tc>
      </w:tr>
      <w:tr>
        <w:tc>
          <w:tcPr>
            <w:tcW w:type="dxa" w:w="1008"/>
            <w:vAlign w:val="center"/>
            <w:tcMar>
              <w:top w:w="70" w:type="dxa"/>
              <w:start w:w="80" w:type="dxa"/>
              <w:bottom w:w="70" w:type="dxa"/>
              <w:end w:w="80" w:type="dxa"/>
            </w:tcMar>
          </w:tcPr>
          <w:p>
            <w:pPr>
              <w:spacing w:after="0"/>
            </w:pPr>
            <w:r/>
            <w:r>
              <w:rPr>
                <w:rFonts w:ascii="Arial" w:hAnsi="Arial"/>
                <w:b w:val="0"/>
                <w:sz w:val="14"/>
              </w:rPr>
              <w:t>A-009</w:t>
            </w:r>
          </w:p>
        </w:tc>
        <w:tc>
          <w:tcPr>
            <w:tcW w:type="dxa" w:w="1728"/>
            <w:vAlign w:val="center"/>
            <w:tcMar>
              <w:top w:w="70" w:type="dxa"/>
              <w:start w:w="80" w:type="dxa"/>
              <w:bottom w:w="70" w:type="dxa"/>
              <w:end w:w="80" w:type="dxa"/>
            </w:tcMar>
          </w:tcPr>
          <w:p>
            <w:pPr>
              <w:spacing w:after="0"/>
            </w:pPr>
            <w:r/>
            <w:r>
              <w:rPr>
                <w:rFonts w:ascii="Arial" w:hAnsi="Arial"/>
                <w:b w:val="0"/>
                <w:sz w:val="14"/>
              </w:rPr>
              <w:t>Compliance</w:t>
            </w:r>
          </w:p>
        </w:tc>
        <w:tc>
          <w:tcPr>
            <w:tcW w:type="dxa" w:w="4464"/>
            <w:vAlign w:val="center"/>
            <w:tcMar>
              <w:top w:w="70" w:type="dxa"/>
              <w:start w:w="80" w:type="dxa"/>
              <w:bottom w:w="70" w:type="dxa"/>
              <w:end w:w="80" w:type="dxa"/>
            </w:tcMar>
          </w:tcPr>
          <w:p>
            <w:pPr>
              <w:spacing w:after="0"/>
            </w:pPr>
            <w:r/>
            <w:r>
              <w:rPr>
                <w:rFonts w:ascii="Arial" w:hAnsi="Arial"/>
                <w:b w:val="0"/>
                <w:sz w:val="14"/>
              </w:rPr>
              <w:t>GDPR, HIPAA, PCI DSS, SOC 2, ISO 27001 and NIST-aligned controls may apply by workload.</w:t>
            </w:r>
          </w:p>
        </w:tc>
        <w:tc>
          <w:tcPr>
            <w:tcW w:type="dxa" w:w="2880"/>
            <w:vAlign w:val="center"/>
            <w:tcMar>
              <w:top w:w="70" w:type="dxa"/>
              <w:start w:w="80" w:type="dxa"/>
              <w:bottom w:w="70" w:type="dxa"/>
              <w:end w:w="80" w:type="dxa"/>
            </w:tcMar>
          </w:tcPr>
          <w:p>
            <w:pPr>
              <w:spacing w:after="0"/>
            </w:pPr>
            <w:r/>
            <w:r>
              <w:rPr>
                <w:rFonts w:ascii="Arial" w:hAnsi="Arial"/>
                <w:b w:val="0"/>
                <w:sz w:val="14"/>
              </w:rPr>
              <w:t>Requires overlay control mapping rather than a single universal certification claim.</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A-010</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Service tiers</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Tier 0–3 model is acceptable as the initial reliability taxonomy.</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Drives SLO, support, encryption, logging and recovery investment.</w:t>
            </w:r>
          </w:p>
        </w:tc>
      </w:tr>
      <w:tr>
        <w:tc>
          <w:tcPr>
            <w:tcW w:type="dxa" w:w="1008"/>
            <w:vAlign w:val="center"/>
            <w:tcMar>
              <w:top w:w="70" w:type="dxa"/>
              <w:start w:w="80" w:type="dxa"/>
              <w:bottom w:w="70" w:type="dxa"/>
              <w:end w:w="80" w:type="dxa"/>
            </w:tcMar>
          </w:tcPr>
          <w:p>
            <w:pPr>
              <w:spacing w:after="0"/>
            </w:pPr>
            <w:r/>
            <w:r>
              <w:rPr>
                <w:rFonts w:ascii="Arial" w:hAnsi="Arial"/>
                <w:b w:val="0"/>
                <w:sz w:val="14"/>
              </w:rPr>
              <w:t>A-011</w:t>
            </w:r>
          </w:p>
        </w:tc>
        <w:tc>
          <w:tcPr>
            <w:tcW w:type="dxa" w:w="1728"/>
            <w:vAlign w:val="center"/>
            <w:tcMar>
              <w:top w:w="70" w:type="dxa"/>
              <w:start w:w="80" w:type="dxa"/>
              <w:bottom w:w="70" w:type="dxa"/>
              <w:end w:w="80" w:type="dxa"/>
            </w:tcMar>
          </w:tcPr>
          <w:p>
            <w:pPr>
              <w:spacing w:after="0"/>
            </w:pPr>
            <w:r/>
            <w:r>
              <w:rPr>
                <w:rFonts w:ascii="Arial" w:hAnsi="Arial"/>
                <w:b w:val="0"/>
                <w:sz w:val="14"/>
              </w:rPr>
              <w:t>Operating model</w:t>
            </w:r>
          </w:p>
        </w:tc>
        <w:tc>
          <w:tcPr>
            <w:tcW w:type="dxa" w:w="4464"/>
            <w:vAlign w:val="center"/>
            <w:tcMar>
              <w:top w:w="70" w:type="dxa"/>
              <w:start w:w="80" w:type="dxa"/>
              <w:bottom w:w="70" w:type="dxa"/>
              <w:end w:w="80" w:type="dxa"/>
            </w:tcMar>
          </w:tcPr>
          <w:p>
            <w:pPr>
              <w:spacing w:after="0"/>
            </w:pPr>
            <w:r/>
            <w:r>
              <w:rPr>
                <w:rFonts w:ascii="Arial" w:hAnsi="Arial"/>
                <w:b w:val="0"/>
                <w:sz w:val="14"/>
              </w:rPr>
              <w:t>Central platform engineering and domain teams can receive explicit ownership and funding.</w:t>
            </w:r>
          </w:p>
        </w:tc>
        <w:tc>
          <w:tcPr>
            <w:tcW w:type="dxa" w:w="2880"/>
            <w:vAlign w:val="center"/>
            <w:tcMar>
              <w:top w:w="70" w:type="dxa"/>
              <w:start w:w="80" w:type="dxa"/>
              <w:bottom w:w="70" w:type="dxa"/>
              <w:end w:w="80" w:type="dxa"/>
            </w:tcMar>
          </w:tcPr>
          <w:p>
            <w:pPr>
              <w:spacing w:after="0"/>
            </w:pPr>
            <w:r/>
            <w:r>
              <w:rPr>
                <w:rFonts w:ascii="Arial" w:hAnsi="Arial"/>
                <w:b w:val="0"/>
                <w:sz w:val="14"/>
              </w:rPr>
              <w:t>Required for data-mesh and product model.</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A-012</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Delivery</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Terraform and source-controlled CI/CD are permitted strategic approaches.</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Enables repeatable deployment and recovery.</w:t>
            </w:r>
          </w:p>
        </w:tc>
      </w:tr>
      <w:tr>
        <w:tc>
          <w:tcPr>
            <w:tcW w:type="dxa" w:w="1008"/>
            <w:vAlign w:val="center"/>
            <w:tcMar>
              <w:top w:w="70" w:type="dxa"/>
              <w:start w:w="80" w:type="dxa"/>
              <w:bottom w:w="70" w:type="dxa"/>
              <w:end w:w="80" w:type="dxa"/>
            </w:tcMar>
          </w:tcPr>
          <w:p>
            <w:pPr>
              <w:spacing w:after="0"/>
            </w:pPr>
            <w:r/>
            <w:r>
              <w:rPr>
                <w:rFonts w:ascii="Arial" w:hAnsi="Arial"/>
                <w:b w:val="0"/>
                <w:sz w:val="14"/>
              </w:rPr>
              <w:t>A-013</w:t>
            </w:r>
          </w:p>
        </w:tc>
        <w:tc>
          <w:tcPr>
            <w:tcW w:type="dxa" w:w="1728"/>
            <w:vAlign w:val="center"/>
            <w:tcMar>
              <w:top w:w="70" w:type="dxa"/>
              <w:start w:w="80" w:type="dxa"/>
              <w:bottom w:w="70" w:type="dxa"/>
              <w:end w:w="80" w:type="dxa"/>
            </w:tcMar>
          </w:tcPr>
          <w:p>
            <w:pPr>
              <w:spacing w:after="0"/>
            </w:pPr>
            <w:r/>
            <w:r>
              <w:rPr>
                <w:rFonts w:ascii="Arial" w:hAnsi="Arial"/>
                <w:b w:val="0"/>
                <w:sz w:val="14"/>
              </w:rPr>
              <w:t>Analytics strategy</w:t>
            </w:r>
          </w:p>
        </w:tc>
        <w:tc>
          <w:tcPr>
            <w:tcW w:type="dxa" w:w="4464"/>
            <w:vAlign w:val="center"/>
            <w:tcMar>
              <w:top w:w="70" w:type="dxa"/>
              <w:start w:w="80" w:type="dxa"/>
              <w:bottom w:w="70" w:type="dxa"/>
              <w:end w:w="80" w:type="dxa"/>
            </w:tcMar>
          </w:tcPr>
          <w:p>
            <w:pPr>
              <w:spacing w:after="0"/>
            </w:pPr>
            <w:r/>
            <w:r>
              <w:rPr>
                <w:rFonts w:ascii="Arial" w:hAnsi="Arial"/>
                <w:b w:val="0"/>
                <w:sz w:val="14"/>
              </w:rPr>
              <w:t>BigQuery and Looker can be evaluated as strategic defaults.</w:t>
            </w:r>
          </w:p>
        </w:tc>
        <w:tc>
          <w:tcPr>
            <w:tcW w:type="dxa" w:w="2880"/>
            <w:vAlign w:val="center"/>
            <w:tcMar>
              <w:top w:w="70" w:type="dxa"/>
              <w:start w:w="80" w:type="dxa"/>
              <w:bottom w:w="70" w:type="dxa"/>
              <w:end w:w="80" w:type="dxa"/>
            </w:tcMar>
          </w:tcPr>
          <w:p>
            <w:pPr>
              <w:spacing w:after="0"/>
            </w:pPr>
            <w:r/>
            <w:r>
              <w:rPr>
                <w:rFonts w:ascii="Arial" w:hAnsi="Arial"/>
                <w:b w:val="0"/>
                <w:sz w:val="14"/>
              </w:rPr>
              <w:t>Enables warehouse and semantic consolidation.</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A-014</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AI strategy</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Vertex AI can be evaluated for governed ML and generative AI.</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Enables common AI lifecycle and control patterns.</w:t>
            </w:r>
          </w:p>
        </w:tc>
      </w:tr>
      <w:tr>
        <w:tc>
          <w:tcPr>
            <w:tcW w:type="dxa" w:w="1008"/>
            <w:vAlign w:val="center"/>
            <w:tcMar>
              <w:top w:w="70" w:type="dxa"/>
              <w:start w:w="80" w:type="dxa"/>
              <w:bottom w:w="70" w:type="dxa"/>
              <w:end w:w="80" w:type="dxa"/>
            </w:tcMar>
          </w:tcPr>
          <w:p>
            <w:pPr>
              <w:spacing w:after="0"/>
            </w:pPr>
            <w:r/>
            <w:r>
              <w:rPr>
                <w:rFonts w:ascii="Arial" w:hAnsi="Arial"/>
                <w:b w:val="0"/>
                <w:sz w:val="14"/>
              </w:rPr>
              <w:t>A-015</w:t>
            </w:r>
          </w:p>
        </w:tc>
        <w:tc>
          <w:tcPr>
            <w:tcW w:type="dxa" w:w="1728"/>
            <w:vAlign w:val="center"/>
            <w:tcMar>
              <w:top w:w="70" w:type="dxa"/>
              <w:start w:w="80" w:type="dxa"/>
              <w:bottom w:w="70" w:type="dxa"/>
              <w:end w:w="80" w:type="dxa"/>
            </w:tcMar>
          </w:tcPr>
          <w:p>
            <w:pPr>
              <w:spacing w:after="0"/>
            </w:pPr>
            <w:r/>
            <w:r>
              <w:rPr>
                <w:rFonts w:ascii="Arial" w:hAnsi="Arial"/>
                <w:b w:val="0"/>
                <w:sz w:val="14"/>
              </w:rPr>
              <w:t>Commercial model</w:t>
            </w:r>
          </w:p>
        </w:tc>
        <w:tc>
          <w:tcPr>
            <w:tcW w:type="dxa" w:w="4464"/>
            <w:vAlign w:val="center"/>
            <w:tcMar>
              <w:top w:w="70" w:type="dxa"/>
              <w:start w:w="80" w:type="dxa"/>
              <w:bottom w:w="70" w:type="dxa"/>
              <w:end w:w="80" w:type="dxa"/>
            </w:tcMar>
          </w:tcPr>
          <w:p>
            <w:pPr>
              <w:spacing w:after="0"/>
            </w:pPr>
            <w:r/>
            <w:r>
              <w:rPr>
                <w:rFonts w:ascii="Arial" w:hAnsi="Arial"/>
                <w:b w:val="0"/>
                <w:sz w:val="14"/>
              </w:rPr>
              <w:t>Current Google Cloud pricing, licensing and support terms will be assessed during detailed design.</w:t>
            </w:r>
          </w:p>
        </w:tc>
        <w:tc>
          <w:tcPr>
            <w:tcW w:type="dxa" w:w="2880"/>
            <w:vAlign w:val="center"/>
            <w:tcMar>
              <w:top w:w="70" w:type="dxa"/>
              <w:start w:w="80" w:type="dxa"/>
              <w:bottom w:w="70" w:type="dxa"/>
              <w:end w:w="80" w:type="dxa"/>
            </w:tcMar>
          </w:tcPr>
          <w:p>
            <w:pPr>
              <w:spacing w:after="0"/>
            </w:pPr>
            <w:r/>
            <w:r>
              <w:rPr>
                <w:rFonts w:ascii="Arial" w:hAnsi="Arial"/>
                <w:b w:val="0"/>
                <w:sz w:val="14"/>
              </w:rPr>
              <w:t>Prevents use of invented or outdated price assumptions.</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A-016</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Network</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At least two resilient hybrid connectivity paths can be established for critical regions.</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Supports private migration and operations.</w:t>
            </w:r>
          </w:p>
        </w:tc>
      </w:tr>
      <w:tr>
        <w:tc>
          <w:tcPr>
            <w:tcW w:type="dxa" w:w="1008"/>
            <w:vAlign w:val="center"/>
            <w:tcMar>
              <w:top w:w="70" w:type="dxa"/>
              <w:start w:w="80" w:type="dxa"/>
              <w:bottom w:w="70" w:type="dxa"/>
              <w:end w:w="80" w:type="dxa"/>
            </w:tcMar>
          </w:tcPr>
          <w:p>
            <w:pPr>
              <w:spacing w:after="0"/>
            </w:pPr>
            <w:r/>
            <w:r>
              <w:rPr>
                <w:rFonts w:ascii="Arial" w:hAnsi="Arial"/>
                <w:b w:val="0"/>
                <w:sz w:val="14"/>
              </w:rPr>
              <w:t>A-017</w:t>
            </w:r>
          </w:p>
        </w:tc>
        <w:tc>
          <w:tcPr>
            <w:tcW w:type="dxa" w:w="1728"/>
            <w:vAlign w:val="center"/>
            <w:tcMar>
              <w:top w:w="70" w:type="dxa"/>
              <w:start w:w="80" w:type="dxa"/>
              <w:bottom w:w="70" w:type="dxa"/>
              <w:end w:w="80" w:type="dxa"/>
            </w:tcMar>
          </w:tcPr>
          <w:p>
            <w:pPr>
              <w:spacing w:after="0"/>
            </w:pPr>
            <w:r/>
            <w:r>
              <w:rPr>
                <w:rFonts w:ascii="Arial" w:hAnsi="Arial"/>
                <w:b w:val="0"/>
                <w:sz w:val="14"/>
              </w:rPr>
              <w:t>Data ownership</w:t>
            </w:r>
          </w:p>
        </w:tc>
        <w:tc>
          <w:tcPr>
            <w:tcW w:type="dxa" w:w="4464"/>
            <w:vAlign w:val="center"/>
            <w:tcMar>
              <w:top w:w="70" w:type="dxa"/>
              <w:start w:w="80" w:type="dxa"/>
              <w:bottom w:w="70" w:type="dxa"/>
              <w:end w:w="80" w:type="dxa"/>
            </w:tcMar>
          </w:tcPr>
          <w:p>
            <w:pPr>
              <w:spacing w:after="0"/>
            </w:pPr>
            <w:r/>
            <w:r>
              <w:rPr>
                <w:rFonts w:ascii="Arial" w:hAnsi="Arial"/>
                <w:b w:val="0"/>
                <w:sz w:val="14"/>
              </w:rPr>
              <w:t>Business executives can nominate accountable data-product owners and stewards.</w:t>
            </w:r>
          </w:p>
        </w:tc>
        <w:tc>
          <w:tcPr>
            <w:tcW w:type="dxa" w:w="2880"/>
            <w:vAlign w:val="center"/>
            <w:tcMar>
              <w:top w:w="70" w:type="dxa"/>
              <w:start w:w="80" w:type="dxa"/>
              <w:bottom w:w="70" w:type="dxa"/>
              <w:end w:w="80" w:type="dxa"/>
            </w:tcMar>
          </w:tcPr>
          <w:p>
            <w:pPr>
              <w:spacing w:after="0"/>
            </w:pPr>
            <w:r/>
            <w:r>
              <w:rPr>
                <w:rFonts w:ascii="Arial" w:hAnsi="Arial"/>
                <w:b w:val="0"/>
                <w:sz w:val="14"/>
              </w:rPr>
              <w:t>Required for quality, access and lifecycle decisions.</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A-018</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Legacy retirement</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The program has authority and funding to decommission systems after migration.</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Required for benefits realization.</w:t>
            </w:r>
          </w:p>
        </w:tc>
      </w:tr>
      <w:tr>
        <w:tc>
          <w:tcPr>
            <w:tcW w:type="dxa" w:w="1008"/>
            <w:vAlign w:val="center"/>
            <w:tcMar>
              <w:top w:w="70" w:type="dxa"/>
              <w:start w:w="80" w:type="dxa"/>
              <w:bottom w:w="70" w:type="dxa"/>
              <w:end w:w="80" w:type="dxa"/>
            </w:tcMar>
          </w:tcPr>
          <w:p>
            <w:pPr>
              <w:spacing w:after="0"/>
            </w:pPr>
            <w:r/>
            <w:r>
              <w:rPr>
                <w:rFonts w:ascii="Arial" w:hAnsi="Arial"/>
                <w:b w:val="0"/>
                <w:sz w:val="14"/>
              </w:rPr>
              <w:t>A-019</w:t>
            </w:r>
          </w:p>
        </w:tc>
        <w:tc>
          <w:tcPr>
            <w:tcW w:type="dxa" w:w="1728"/>
            <w:vAlign w:val="center"/>
            <w:tcMar>
              <w:top w:w="70" w:type="dxa"/>
              <w:start w:w="80" w:type="dxa"/>
              <w:bottom w:w="70" w:type="dxa"/>
              <w:end w:w="80" w:type="dxa"/>
            </w:tcMar>
          </w:tcPr>
          <w:p>
            <w:pPr>
              <w:spacing w:after="0"/>
            </w:pPr>
            <w:r/>
            <w:r>
              <w:rPr>
                <w:rFonts w:ascii="Arial" w:hAnsi="Arial"/>
                <w:b w:val="0"/>
                <w:sz w:val="14"/>
              </w:rPr>
              <w:t>Security operations</w:t>
            </w:r>
          </w:p>
        </w:tc>
        <w:tc>
          <w:tcPr>
            <w:tcW w:type="dxa" w:w="4464"/>
            <w:vAlign w:val="center"/>
            <w:tcMar>
              <w:top w:w="70" w:type="dxa"/>
              <w:start w:w="80" w:type="dxa"/>
              <w:bottom w:w="70" w:type="dxa"/>
              <w:end w:w="80" w:type="dxa"/>
            </w:tcMar>
          </w:tcPr>
          <w:p>
            <w:pPr>
              <w:spacing w:after="0"/>
            </w:pPr>
            <w:r/>
            <w:r>
              <w:rPr>
                <w:rFonts w:ascii="Arial" w:hAnsi="Arial"/>
                <w:b w:val="0"/>
                <w:sz w:val="14"/>
              </w:rPr>
              <w:t>Enterprise SOC and incident processes can integrate Google Cloud findings and logs.</w:t>
            </w:r>
          </w:p>
        </w:tc>
        <w:tc>
          <w:tcPr>
            <w:tcW w:type="dxa" w:w="2880"/>
            <w:vAlign w:val="center"/>
            <w:tcMar>
              <w:top w:w="70" w:type="dxa"/>
              <w:start w:w="80" w:type="dxa"/>
              <w:bottom w:w="70" w:type="dxa"/>
              <w:end w:w="80" w:type="dxa"/>
            </w:tcMar>
          </w:tcPr>
          <w:p>
            <w:pPr>
              <w:spacing w:after="0"/>
            </w:pPr>
            <w:r/>
            <w:r>
              <w:rPr>
                <w:rFonts w:ascii="Arial" w:hAnsi="Arial"/>
                <w:b w:val="0"/>
                <w:sz w:val="14"/>
              </w:rPr>
              <w:t>Required for operational security.</w:t>
            </w:r>
          </w:p>
        </w:tc>
      </w:tr>
      <w:tr>
        <w:tc>
          <w:tcPr>
            <w:tcW w:type="dxa" w:w="1008"/>
            <w:vAlign w:val="center"/>
            <w:tcMar>
              <w:top w:w="70" w:type="dxa"/>
              <w:start w:w="80" w:type="dxa"/>
              <w:bottom w:w="70" w:type="dxa"/>
              <w:end w:w="80" w:type="dxa"/>
            </w:tcMar>
            <w:shd w:fill="F8F9FA"/>
          </w:tcPr>
          <w:p>
            <w:pPr>
              <w:spacing w:after="0"/>
            </w:pPr>
            <w:r/>
            <w:r>
              <w:rPr>
                <w:rFonts w:ascii="Arial" w:hAnsi="Arial"/>
                <w:b w:val="0"/>
                <w:sz w:val="14"/>
              </w:rPr>
              <w:t>A-020</w:t>
            </w:r>
          </w:p>
        </w:tc>
        <w:tc>
          <w:tcPr>
            <w:tcW w:type="dxa" w:w="1728"/>
            <w:vAlign w:val="center"/>
            <w:tcMar>
              <w:top w:w="70" w:type="dxa"/>
              <w:start w:w="80" w:type="dxa"/>
              <w:bottom w:w="70" w:type="dxa"/>
              <w:end w:w="80" w:type="dxa"/>
            </w:tcMar>
            <w:shd w:fill="F8F9FA"/>
          </w:tcPr>
          <w:p>
            <w:pPr>
              <w:spacing w:after="0"/>
            </w:pPr>
            <w:r/>
            <w:r>
              <w:rPr>
                <w:rFonts w:ascii="Arial" w:hAnsi="Arial"/>
                <w:b w:val="0"/>
                <w:sz w:val="14"/>
              </w:rPr>
              <w:t>Documentation lifecycle</w:t>
            </w:r>
          </w:p>
        </w:tc>
        <w:tc>
          <w:tcPr>
            <w:tcW w:type="dxa" w:w="4464"/>
            <w:vAlign w:val="center"/>
            <w:tcMar>
              <w:top w:w="70" w:type="dxa"/>
              <w:start w:w="80" w:type="dxa"/>
              <w:bottom w:w="70" w:type="dxa"/>
              <w:end w:w="80" w:type="dxa"/>
            </w:tcMar>
            <w:shd w:fill="F8F9FA"/>
          </w:tcPr>
          <w:p>
            <w:pPr>
              <w:spacing w:after="0"/>
            </w:pPr>
            <w:r/>
            <w:r>
              <w:rPr>
                <w:rFonts w:ascii="Arial" w:hAnsi="Arial"/>
                <w:b w:val="0"/>
                <w:sz w:val="14"/>
              </w:rPr>
              <w:t>Architecture and product metadata will be managed as living artifacts.</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Required to keep the blueprint aligned with implementation.</w:t>
            </w:r>
          </w:p>
        </w:tc>
      </w:tr>
    </w:tbl>
    <w:p>
      <w:pPr>
        <w:spacing w:after="20"/>
      </w:pPr>
    </w:p>
    <w:p>
      <w:pPr>
        <w:pStyle w:val="Heading1"/>
      </w:pPr>
      <w:r>
        <w:t>Appendix B. Global Naming and Metadata Conventions</w:t>
      </w:r>
    </w:p>
    <w:p>
      <w:pPr>
        <w:pStyle w:val="Heading2"/>
      </w:pPr>
      <w:r>
        <w:t>B.1 Resource Naming Pattern</w:t>
      </w:r>
    </w:p>
    <w:p>
      <w:r>
        <w:t>Names should be deterministic, concise and stable. Sensitive business meaning should not be embedded in resource names. Where Google Cloud resource length or character rules differ, the implementation module applies an approved abbreviation.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vAlign w:val="center"/>
            <w:tcMar>
              <w:top w:w="70" w:type="dxa"/>
              <w:start w:w="80" w:type="dxa"/>
              <w:bottom w:w="70" w:type="dxa"/>
              <w:end w:w="80" w:type="dxa"/>
            </w:tcMar>
            <w:shd w:fill="1A73E8"/>
          </w:tcPr>
          <w:p>
            <w:pPr>
              <w:spacing w:after="0"/>
            </w:pPr>
            <w:r/>
            <w:r>
              <w:rPr>
                <w:rFonts w:ascii="Arial" w:hAnsi="Arial"/>
                <w:b/>
                <w:color w:val="FFFFFF"/>
                <w:sz w:val="16"/>
              </w:rPr>
              <w:t>Resource</w:t>
            </w:r>
          </w:p>
        </w:tc>
        <w:tc>
          <w:tcPr>
            <w:tcW w:type="dxa" w:w="2952"/>
            <w:vAlign w:val="center"/>
            <w:tcMar>
              <w:top w:w="70" w:type="dxa"/>
              <w:start w:w="80" w:type="dxa"/>
              <w:bottom w:w="70" w:type="dxa"/>
              <w:end w:w="80" w:type="dxa"/>
            </w:tcMar>
            <w:shd w:fill="1A73E8"/>
          </w:tcPr>
          <w:p>
            <w:pPr>
              <w:spacing w:after="0"/>
            </w:pPr>
            <w:r/>
            <w:r>
              <w:rPr>
                <w:rFonts w:ascii="Arial" w:hAnsi="Arial"/>
                <w:b/>
                <w:color w:val="FFFFFF"/>
                <w:sz w:val="16"/>
              </w:rPr>
              <w:t>Pattern</w:t>
            </w:r>
          </w:p>
        </w:tc>
        <w:tc>
          <w:tcPr>
            <w:tcW w:type="dxa" w:w="3168"/>
            <w:vAlign w:val="center"/>
            <w:tcMar>
              <w:top w:w="70" w:type="dxa"/>
              <w:start w:w="80" w:type="dxa"/>
              <w:bottom w:w="70" w:type="dxa"/>
              <w:end w:w="80" w:type="dxa"/>
            </w:tcMar>
            <w:shd w:fill="1A73E8"/>
          </w:tcPr>
          <w:p>
            <w:pPr>
              <w:spacing w:after="0"/>
            </w:pPr>
            <w:r/>
            <w:r>
              <w:rPr>
                <w:rFonts w:ascii="Arial" w:hAnsi="Arial"/>
                <w:b/>
                <w:color w:val="FFFFFF"/>
                <w:sz w:val="16"/>
              </w:rPr>
              <w:t>Example</w:t>
            </w:r>
          </w:p>
        </w:tc>
        <w:tc>
          <w:tcPr>
            <w:tcW w:type="dxa" w:w="2304"/>
            <w:vAlign w:val="center"/>
            <w:tcMar>
              <w:top w:w="70" w:type="dxa"/>
              <w:start w:w="80" w:type="dxa"/>
              <w:bottom w:w="70" w:type="dxa"/>
              <w:end w:w="80" w:type="dxa"/>
            </w:tcMar>
            <w:shd w:fill="1A73E8"/>
          </w:tcPr>
          <w:p>
            <w:pPr>
              <w:spacing w:after="0"/>
            </w:pPr>
            <w:r/>
            <w:r>
              <w:rPr>
                <w:rFonts w:ascii="Arial" w:hAnsi="Arial"/>
                <w:b/>
                <w:color w:val="FFFFFF"/>
                <w:sz w:val="16"/>
              </w:rPr>
              <w:t>Notes</w:t>
            </w:r>
          </w:p>
        </w:tc>
      </w:tr>
      <w:tr>
        <w:tc>
          <w:tcPr>
            <w:tcW w:type="dxa" w:w="1656"/>
            <w:vAlign w:val="center"/>
            <w:tcMar>
              <w:top w:w="70" w:type="dxa"/>
              <w:start w:w="80" w:type="dxa"/>
              <w:bottom w:w="70" w:type="dxa"/>
              <w:end w:w="80" w:type="dxa"/>
            </w:tcMar>
          </w:tcPr>
          <w:p>
            <w:pPr>
              <w:spacing w:after="0"/>
            </w:pPr>
            <w:r/>
            <w:r>
              <w:rPr>
                <w:rFonts w:ascii="Arial" w:hAnsi="Arial"/>
                <w:b w:val="0"/>
                <w:sz w:val="14"/>
              </w:rPr>
              <w:t>Project</w:t>
            </w:r>
          </w:p>
        </w:tc>
        <w:tc>
          <w:tcPr>
            <w:tcW w:type="dxa" w:w="2952"/>
            <w:vAlign w:val="center"/>
            <w:tcMar>
              <w:top w:w="70" w:type="dxa"/>
              <w:start w:w="80" w:type="dxa"/>
              <w:bottom w:w="70" w:type="dxa"/>
              <w:end w:w="80" w:type="dxa"/>
            </w:tcMar>
          </w:tcPr>
          <w:p>
            <w:pPr>
              <w:spacing w:after="0"/>
            </w:pPr>
            <w:r/>
            <w:r>
              <w:rPr>
                <w:rFonts w:ascii="Arial" w:hAnsi="Arial"/>
                <w:b w:val="0"/>
                <w:sz w:val="14"/>
              </w:rPr>
              <w:t>prj-{domain}-{capability}-{env}-{region-code}</w:t>
            </w:r>
          </w:p>
        </w:tc>
        <w:tc>
          <w:tcPr>
            <w:tcW w:type="dxa" w:w="3168"/>
            <w:vAlign w:val="center"/>
            <w:tcMar>
              <w:top w:w="70" w:type="dxa"/>
              <w:start w:w="80" w:type="dxa"/>
              <w:bottom w:w="70" w:type="dxa"/>
              <w:end w:w="80" w:type="dxa"/>
            </w:tcMar>
          </w:tcPr>
          <w:p>
            <w:pPr>
              <w:spacing w:after="0"/>
            </w:pPr>
            <w:r/>
            <w:r>
              <w:rPr>
                <w:rFonts w:ascii="Arial" w:hAnsi="Arial"/>
                <w:b w:val="0"/>
                <w:sz w:val="14"/>
              </w:rPr>
              <w:t>prj-cust-data-prod-in1</w:t>
            </w:r>
          </w:p>
        </w:tc>
        <w:tc>
          <w:tcPr>
            <w:tcW w:type="dxa" w:w="2304"/>
            <w:vAlign w:val="center"/>
            <w:tcMar>
              <w:top w:w="70" w:type="dxa"/>
              <w:start w:w="80" w:type="dxa"/>
              <w:bottom w:w="70" w:type="dxa"/>
              <w:end w:w="80" w:type="dxa"/>
            </w:tcMar>
          </w:tcPr>
          <w:p>
            <w:pPr>
              <w:spacing w:after="0"/>
            </w:pPr>
            <w:r/>
            <w:r>
              <w:rPr>
                <w:rFonts w:ascii="Arial" w:hAnsi="Arial"/>
                <w:b w:val="0"/>
                <w:sz w:val="14"/>
              </w:rPr>
              <w:t>Project IDs remain globally unique; append controlled suffix if needed.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Dataset</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{domain}_{layer}_{purpose}_{region}</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customer_curated_profile_in</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Use lowercase and underscores; security boundary may justify separate dataset.</w:t>
            </w:r>
          </w:p>
        </w:tc>
      </w:tr>
      <w:tr>
        <w:tc>
          <w:tcPr>
            <w:tcW w:type="dxa" w:w="1656"/>
            <w:vAlign w:val="center"/>
            <w:tcMar>
              <w:top w:w="70" w:type="dxa"/>
              <w:start w:w="80" w:type="dxa"/>
              <w:bottom w:w="70" w:type="dxa"/>
              <w:end w:w="80" w:type="dxa"/>
            </w:tcMar>
          </w:tcPr>
          <w:p>
            <w:pPr>
              <w:spacing w:after="0"/>
            </w:pPr>
            <w:r/>
            <w:r>
              <w:rPr>
                <w:rFonts w:ascii="Arial" w:hAnsi="Arial"/>
                <w:b w:val="0"/>
                <w:sz w:val="14"/>
              </w:rPr>
              <w:t>Bucket</w:t>
            </w:r>
          </w:p>
        </w:tc>
        <w:tc>
          <w:tcPr>
            <w:tcW w:type="dxa" w:w="2952"/>
            <w:vAlign w:val="center"/>
            <w:tcMar>
              <w:top w:w="70" w:type="dxa"/>
              <w:start w:w="80" w:type="dxa"/>
              <w:bottom w:w="70" w:type="dxa"/>
              <w:end w:w="80" w:type="dxa"/>
            </w:tcMar>
          </w:tcPr>
          <w:p>
            <w:pPr>
              <w:spacing w:after="0"/>
            </w:pPr>
            <w:r/>
            <w:r>
              <w:rPr>
                <w:rFonts w:ascii="Arial" w:hAnsi="Arial"/>
                <w:b w:val="0"/>
                <w:sz w:val="14"/>
              </w:rPr>
              <w:t>bkt-{org}-{domain}-{layer}-{env}-{region}-{suffix}</w:t>
            </w:r>
          </w:p>
        </w:tc>
        <w:tc>
          <w:tcPr>
            <w:tcW w:type="dxa" w:w="3168"/>
            <w:vAlign w:val="center"/>
            <w:tcMar>
              <w:top w:w="70" w:type="dxa"/>
              <w:start w:w="80" w:type="dxa"/>
              <w:bottom w:w="70" w:type="dxa"/>
              <w:end w:w="80" w:type="dxa"/>
            </w:tcMar>
          </w:tcPr>
          <w:p>
            <w:pPr>
              <w:spacing w:after="0"/>
            </w:pPr>
            <w:r/>
            <w:r>
              <w:rPr>
                <w:rFonts w:ascii="Arial" w:hAnsi="Arial"/>
                <w:b w:val="0"/>
                <w:sz w:val="14"/>
              </w:rPr>
              <w:t>bkt-acme-customer-raw-prod-in-01</w:t>
            </w:r>
          </w:p>
        </w:tc>
        <w:tc>
          <w:tcPr>
            <w:tcW w:type="dxa" w:w="2304"/>
            <w:vAlign w:val="center"/>
            <w:tcMar>
              <w:top w:w="70" w:type="dxa"/>
              <w:start w:w="80" w:type="dxa"/>
              <w:bottom w:w="70" w:type="dxa"/>
              <w:end w:w="80" w:type="dxa"/>
            </w:tcMar>
          </w:tcPr>
          <w:p>
            <w:pPr>
              <w:spacing w:after="0"/>
            </w:pPr>
            <w:r/>
            <w:r>
              <w:rPr>
                <w:rFonts w:ascii="Arial" w:hAnsi="Arial"/>
                <w:b w:val="0"/>
                <w:sz w:val="14"/>
              </w:rPr>
              <w:t>Avoid sensitive names; enable uniform access.</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Pub/Sub topic</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tpc-{domain}-{event}-{version}-{env}</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tpc-order-created-v1-prod</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Event contract version included.</w:t>
            </w:r>
          </w:p>
        </w:tc>
      </w:tr>
      <w:tr>
        <w:tc>
          <w:tcPr>
            <w:tcW w:type="dxa" w:w="1656"/>
            <w:vAlign w:val="center"/>
            <w:tcMar>
              <w:top w:w="70" w:type="dxa"/>
              <w:start w:w="80" w:type="dxa"/>
              <w:bottom w:w="70" w:type="dxa"/>
              <w:end w:w="80" w:type="dxa"/>
            </w:tcMar>
          </w:tcPr>
          <w:p>
            <w:pPr>
              <w:spacing w:after="0"/>
            </w:pPr>
            <w:r/>
            <w:r>
              <w:rPr>
                <w:rFonts w:ascii="Arial" w:hAnsi="Arial"/>
                <w:b w:val="0"/>
                <w:sz w:val="14"/>
              </w:rPr>
              <w:t>Subscription</w:t>
            </w:r>
          </w:p>
        </w:tc>
        <w:tc>
          <w:tcPr>
            <w:tcW w:type="dxa" w:w="2952"/>
            <w:vAlign w:val="center"/>
            <w:tcMar>
              <w:top w:w="70" w:type="dxa"/>
              <w:start w:w="80" w:type="dxa"/>
              <w:bottom w:w="70" w:type="dxa"/>
              <w:end w:w="80" w:type="dxa"/>
            </w:tcMar>
          </w:tcPr>
          <w:p>
            <w:pPr>
              <w:spacing w:after="0"/>
            </w:pPr>
            <w:r/>
            <w:r>
              <w:rPr>
                <w:rFonts w:ascii="Arial" w:hAnsi="Arial"/>
                <w:b w:val="0"/>
                <w:sz w:val="14"/>
              </w:rPr>
              <w:t>sub-{consumer}-{event}-{env}</w:t>
            </w:r>
          </w:p>
        </w:tc>
        <w:tc>
          <w:tcPr>
            <w:tcW w:type="dxa" w:w="3168"/>
            <w:vAlign w:val="center"/>
            <w:tcMar>
              <w:top w:w="70" w:type="dxa"/>
              <w:start w:w="80" w:type="dxa"/>
              <w:bottom w:w="70" w:type="dxa"/>
              <w:end w:w="80" w:type="dxa"/>
            </w:tcMar>
          </w:tcPr>
          <w:p>
            <w:pPr>
              <w:spacing w:after="0"/>
            </w:pPr>
            <w:r/>
            <w:r>
              <w:rPr>
                <w:rFonts w:ascii="Arial" w:hAnsi="Arial"/>
                <w:b w:val="0"/>
                <w:sz w:val="14"/>
              </w:rPr>
              <w:t>sub-fraud-order-created-prod</w:t>
            </w:r>
          </w:p>
        </w:tc>
        <w:tc>
          <w:tcPr>
            <w:tcW w:type="dxa" w:w="2304"/>
            <w:vAlign w:val="center"/>
            <w:tcMar>
              <w:top w:w="70" w:type="dxa"/>
              <w:start w:w="80" w:type="dxa"/>
              <w:bottom w:w="70" w:type="dxa"/>
              <w:end w:w="80" w:type="dxa"/>
            </w:tcMar>
          </w:tcPr>
          <w:p>
            <w:pPr>
              <w:spacing w:after="0"/>
            </w:pPr>
            <w:r/>
            <w:r>
              <w:rPr>
                <w:rFonts w:ascii="Arial" w:hAnsi="Arial"/>
                <w:b w:val="0"/>
                <w:sz w:val="14"/>
              </w:rPr>
              <w:t>Consumer-owned; define DLQ and retention.</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Service account</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sa-{workload}-{purpose}-{env}</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sa-cust-ingest-prod</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One purpose; avoid shared identities.</w:t>
            </w:r>
          </w:p>
        </w:tc>
      </w:tr>
      <w:tr>
        <w:tc>
          <w:tcPr>
            <w:tcW w:type="dxa" w:w="1656"/>
            <w:vAlign w:val="center"/>
            <w:tcMar>
              <w:top w:w="70" w:type="dxa"/>
              <w:start w:w="80" w:type="dxa"/>
              <w:bottom w:w="70" w:type="dxa"/>
              <w:end w:w="80" w:type="dxa"/>
            </w:tcMar>
          </w:tcPr>
          <w:p>
            <w:pPr>
              <w:spacing w:after="0"/>
            </w:pPr>
            <w:r/>
            <w:r>
              <w:rPr>
                <w:rFonts w:ascii="Arial" w:hAnsi="Arial"/>
                <w:b w:val="0"/>
                <w:sz w:val="14"/>
              </w:rPr>
              <w:t>KMS key ring</w:t>
            </w:r>
          </w:p>
        </w:tc>
        <w:tc>
          <w:tcPr>
            <w:tcW w:type="dxa" w:w="2952"/>
            <w:vAlign w:val="center"/>
            <w:tcMar>
              <w:top w:w="70" w:type="dxa"/>
              <w:start w:w="80" w:type="dxa"/>
              <w:bottom w:w="70" w:type="dxa"/>
              <w:end w:w="80" w:type="dxa"/>
            </w:tcMar>
          </w:tcPr>
          <w:p>
            <w:pPr>
              <w:spacing w:after="0"/>
            </w:pPr>
            <w:r/>
            <w:r>
              <w:rPr>
                <w:rFonts w:ascii="Arial" w:hAnsi="Arial"/>
                <w:b w:val="0"/>
                <w:sz w:val="14"/>
              </w:rPr>
              <w:t>kr-{classification}-{region}-{env}</w:t>
            </w:r>
          </w:p>
        </w:tc>
        <w:tc>
          <w:tcPr>
            <w:tcW w:type="dxa" w:w="3168"/>
            <w:vAlign w:val="center"/>
            <w:tcMar>
              <w:top w:w="70" w:type="dxa"/>
              <w:start w:w="80" w:type="dxa"/>
              <w:bottom w:w="70" w:type="dxa"/>
              <w:end w:w="80" w:type="dxa"/>
            </w:tcMar>
          </w:tcPr>
          <w:p>
            <w:pPr>
              <w:spacing w:after="0"/>
            </w:pPr>
            <w:r/>
            <w:r>
              <w:rPr>
                <w:rFonts w:ascii="Arial" w:hAnsi="Arial"/>
                <w:b w:val="0"/>
                <w:sz w:val="14"/>
              </w:rPr>
              <w:t>kr-restricted-in-prod</w:t>
            </w:r>
          </w:p>
        </w:tc>
        <w:tc>
          <w:tcPr>
            <w:tcW w:type="dxa" w:w="2304"/>
            <w:vAlign w:val="center"/>
            <w:tcMar>
              <w:top w:w="70" w:type="dxa"/>
              <w:start w:w="80" w:type="dxa"/>
              <w:bottom w:w="70" w:type="dxa"/>
              <w:end w:w="80" w:type="dxa"/>
            </w:tcMar>
          </w:tcPr>
          <w:p>
            <w:pPr>
              <w:spacing w:after="0"/>
            </w:pPr>
            <w:r/>
            <w:r>
              <w:rPr>
                <w:rFonts w:ascii="Arial" w:hAnsi="Arial"/>
                <w:b w:val="0"/>
                <w:sz w:val="14"/>
              </w:rPr>
              <w:t>Region and separation of duties aligned.</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KMS key</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key-{service}-{purpose}</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key-bq-customer</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Rotation and deletion protection policy.</w:t>
            </w:r>
          </w:p>
        </w:tc>
      </w:tr>
      <w:tr>
        <w:tc>
          <w:tcPr>
            <w:tcW w:type="dxa" w:w="1656"/>
            <w:vAlign w:val="center"/>
            <w:tcMar>
              <w:top w:w="70" w:type="dxa"/>
              <w:start w:w="80" w:type="dxa"/>
              <w:bottom w:w="70" w:type="dxa"/>
              <w:end w:w="80" w:type="dxa"/>
            </w:tcMar>
          </w:tcPr>
          <w:p>
            <w:pPr>
              <w:spacing w:after="0"/>
            </w:pPr>
            <w:r/>
            <w:r>
              <w:rPr>
                <w:rFonts w:ascii="Arial" w:hAnsi="Arial"/>
                <w:b w:val="0"/>
                <w:sz w:val="14"/>
              </w:rPr>
              <w:t>Dataflow job</w:t>
            </w:r>
          </w:p>
        </w:tc>
        <w:tc>
          <w:tcPr>
            <w:tcW w:type="dxa" w:w="2952"/>
            <w:vAlign w:val="center"/>
            <w:tcMar>
              <w:top w:w="70" w:type="dxa"/>
              <w:start w:w="80" w:type="dxa"/>
              <w:bottom w:w="70" w:type="dxa"/>
              <w:end w:w="80" w:type="dxa"/>
            </w:tcMar>
          </w:tcPr>
          <w:p>
            <w:pPr>
              <w:spacing w:after="0"/>
            </w:pPr>
            <w:r/>
            <w:r>
              <w:rPr>
                <w:rFonts w:ascii="Arial" w:hAnsi="Arial"/>
                <w:b w:val="0"/>
                <w:sz w:val="14"/>
              </w:rPr>
              <w:t>df-{domain}-{pipeline}-{env}</w:t>
            </w:r>
          </w:p>
        </w:tc>
        <w:tc>
          <w:tcPr>
            <w:tcW w:type="dxa" w:w="3168"/>
            <w:vAlign w:val="center"/>
            <w:tcMar>
              <w:top w:w="70" w:type="dxa"/>
              <w:start w:w="80" w:type="dxa"/>
              <w:bottom w:w="70" w:type="dxa"/>
              <w:end w:w="80" w:type="dxa"/>
            </w:tcMar>
          </w:tcPr>
          <w:p>
            <w:pPr>
              <w:spacing w:after="0"/>
            </w:pPr>
            <w:r/>
            <w:r>
              <w:rPr>
                <w:rFonts w:ascii="Arial" w:hAnsi="Arial"/>
                <w:b w:val="0"/>
                <w:sz w:val="14"/>
              </w:rPr>
              <w:t>df-customer-cdc-prod</w:t>
            </w:r>
          </w:p>
        </w:tc>
        <w:tc>
          <w:tcPr>
            <w:tcW w:type="dxa" w:w="2304"/>
            <w:vAlign w:val="center"/>
            <w:tcMar>
              <w:top w:w="70" w:type="dxa"/>
              <w:start w:w="80" w:type="dxa"/>
              <w:bottom w:w="70" w:type="dxa"/>
              <w:end w:w="80" w:type="dxa"/>
            </w:tcMar>
          </w:tcPr>
          <w:p>
            <w:pPr>
              <w:spacing w:after="0"/>
            </w:pPr>
            <w:r/>
            <w:r>
              <w:rPr>
                <w:rFonts w:ascii="Arial" w:hAnsi="Arial"/>
                <w:b w:val="0"/>
                <w:sz w:val="14"/>
              </w:rPr>
              <w:t>Template/release version recorded in labels.</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Airflow environment</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af-{platform-or-domain}-{env}-{region}</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af-data-prod-in</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Managed Service for Apache Airflow naming.</w:t>
            </w:r>
          </w:p>
        </w:tc>
      </w:tr>
      <w:tr>
        <w:tc>
          <w:tcPr>
            <w:tcW w:type="dxa" w:w="1656"/>
            <w:vAlign w:val="center"/>
            <w:tcMar>
              <w:top w:w="70" w:type="dxa"/>
              <w:start w:w="80" w:type="dxa"/>
              <w:bottom w:w="70" w:type="dxa"/>
              <w:end w:w="80" w:type="dxa"/>
            </w:tcMar>
          </w:tcPr>
          <w:p>
            <w:pPr>
              <w:spacing w:after="0"/>
            </w:pPr>
            <w:r/>
            <w:r>
              <w:rPr>
                <w:rFonts w:ascii="Arial" w:hAnsi="Arial"/>
                <w:b w:val="0"/>
                <w:sz w:val="14"/>
              </w:rPr>
              <w:t>Data product ID</w:t>
            </w:r>
          </w:p>
        </w:tc>
        <w:tc>
          <w:tcPr>
            <w:tcW w:type="dxa" w:w="2952"/>
            <w:vAlign w:val="center"/>
            <w:tcMar>
              <w:top w:w="70" w:type="dxa"/>
              <w:start w:w="80" w:type="dxa"/>
              <w:bottom w:w="70" w:type="dxa"/>
              <w:end w:w="80" w:type="dxa"/>
            </w:tcMar>
          </w:tcPr>
          <w:p>
            <w:pPr>
              <w:spacing w:after="0"/>
            </w:pPr>
            <w:r/>
            <w:r>
              <w:rPr>
                <w:rFonts w:ascii="Arial" w:hAnsi="Arial"/>
                <w:b w:val="0"/>
                <w:sz w:val="14"/>
              </w:rPr>
              <w:t>dp.{domain}.{product}.{major-version}</w:t>
            </w:r>
          </w:p>
        </w:tc>
        <w:tc>
          <w:tcPr>
            <w:tcW w:type="dxa" w:w="3168"/>
            <w:vAlign w:val="center"/>
            <w:tcMar>
              <w:top w:w="70" w:type="dxa"/>
              <w:start w:w="80" w:type="dxa"/>
              <w:bottom w:w="70" w:type="dxa"/>
              <w:end w:w="80" w:type="dxa"/>
            </w:tcMar>
          </w:tcPr>
          <w:p>
            <w:pPr>
              <w:spacing w:after="0"/>
            </w:pPr>
            <w:r/>
            <w:r>
              <w:rPr>
                <w:rFonts w:ascii="Arial" w:hAnsi="Arial"/>
                <w:b w:val="0"/>
                <w:sz w:val="14"/>
              </w:rPr>
              <w:t>dp.customer.golden_profile.v1</w:t>
            </w:r>
          </w:p>
        </w:tc>
        <w:tc>
          <w:tcPr>
            <w:tcW w:type="dxa" w:w="2304"/>
            <w:vAlign w:val="center"/>
            <w:tcMar>
              <w:top w:w="70" w:type="dxa"/>
              <w:start w:w="80" w:type="dxa"/>
              <w:bottom w:w="70" w:type="dxa"/>
              <w:end w:w="80" w:type="dxa"/>
            </w:tcMar>
          </w:tcPr>
          <w:p>
            <w:pPr>
              <w:spacing w:after="0"/>
            </w:pPr>
            <w:r/>
            <w:r>
              <w:rPr>
                <w:rFonts w:ascii="Arial" w:hAnsi="Arial"/>
                <w:b w:val="0"/>
                <w:sz w:val="14"/>
              </w:rPr>
              <w:t>Stable enterprise identifier independent of physical table.</w:t>
            </w:r>
          </w:p>
        </w:tc>
      </w:tr>
      <w:tr>
        <w:tc>
          <w:tcPr>
            <w:tcW w:type="dxa" w:w="1656"/>
            <w:vAlign w:val="center"/>
            <w:tcMar>
              <w:top w:w="70" w:type="dxa"/>
              <w:start w:w="80" w:type="dxa"/>
              <w:bottom w:w="70" w:type="dxa"/>
              <w:end w:w="80" w:type="dxa"/>
            </w:tcMar>
            <w:shd w:fill="F8F9FA"/>
          </w:tcPr>
          <w:p>
            <w:pPr>
              <w:spacing w:after="0"/>
            </w:pPr>
            <w:r/>
            <w:r>
              <w:rPr>
                <w:rFonts w:ascii="Arial" w:hAnsi="Arial"/>
                <w:b w:val="0"/>
                <w:sz w:val="14"/>
              </w:rPr>
              <w:t>Label/tag</w:t>
            </w:r>
          </w:p>
        </w:tc>
        <w:tc>
          <w:tcPr>
            <w:tcW w:type="dxa" w:w="2952"/>
            <w:vAlign w:val="center"/>
            <w:tcMar>
              <w:top w:w="70" w:type="dxa"/>
              <w:start w:w="80" w:type="dxa"/>
              <w:bottom w:w="70" w:type="dxa"/>
              <w:end w:w="80" w:type="dxa"/>
            </w:tcMar>
            <w:shd w:fill="F8F9FA"/>
          </w:tcPr>
          <w:p>
            <w:pPr>
              <w:spacing w:after="0"/>
            </w:pPr>
            <w:r/>
            <w:r>
              <w:rPr>
                <w:rFonts w:ascii="Arial" w:hAnsi="Arial"/>
                <w:b w:val="0"/>
                <w:sz w:val="14"/>
              </w:rPr>
              <w:t>{key}={controlled-value}</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data_product=customer360</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Mandatory keys enforced by modules/policy.</w:t>
            </w:r>
          </w:p>
        </w:tc>
      </w:tr>
    </w:tbl>
    <w:p>
      <w:pPr>
        <w:spacing w:after="20"/>
      </w:pPr>
    </w:p>
    <w:p>
      <w:pPr>
        <w:pStyle w:val="Heading2"/>
      </w:pPr>
      <w:r>
        <w:t>B.2 Mandatory Resource Metadata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tcMar>
              <w:top w:w="70" w:type="dxa"/>
              <w:start w:w="80" w:type="dxa"/>
              <w:bottom w:w="70" w:type="dxa"/>
              <w:end w:w="80" w:type="dxa"/>
            </w:tcMar>
            <w:shd w:fill="1A73E8"/>
          </w:tcPr>
          <w:p>
            <w:pPr>
              <w:spacing w:after="0"/>
            </w:pPr>
            <w:r/>
            <w:r>
              <w:rPr>
                <w:rFonts w:ascii="Arial" w:hAnsi="Arial"/>
                <w:b/>
                <w:color w:val="FFFFFF"/>
                <w:sz w:val="16"/>
              </w:rPr>
              <w:t>Metadata key</w:t>
            </w:r>
          </w:p>
        </w:tc>
        <w:tc>
          <w:tcPr>
            <w:tcW w:type="dxa" w:w="3312"/>
            <w:vAlign w:val="center"/>
            <w:tcMar>
              <w:top w:w="70" w:type="dxa"/>
              <w:start w:w="80" w:type="dxa"/>
              <w:bottom w:w="70" w:type="dxa"/>
              <w:end w:w="80" w:type="dxa"/>
            </w:tcMar>
            <w:shd w:fill="1A73E8"/>
          </w:tcPr>
          <w:p>
            <w:pPr>
              <w:spacing w:after="0"/>
            </w:pPr>
            <w:r/>
            <w:r>
              <w:rPr>
                <w:rFonts w:ascii="Arial" w:hAnsi="Arial"/>
                <w:b/>
                <w:color w:val="FFFFFF"/>
                <w:sz w:val="16"/>
              </w:rPr>
              <w:t>Purpose</w:t>
            </w:r>
          </w:p>
        </w:tc>
        <w:tc>
          <w:tcPr>
            <w:tcW w:type="dxa" w:w="2448"/>
            <w:vAlign w:val="center"/>
            <w:tcMar>
              <w:top w:w="70" w:type="dxa"/>
              <w:start w:w="80" w:type="dxa"/>
              <w:bottom w:w="70" w:type="dxa"/>
              <w:end w:w="80" w:type="dxa"/>
            </w:tcMar>
            <w:shd w:fill="1A73E8"/>
          </w:tcPr>
          <w:p>
            <w:pPr>
              <w:spacing w:after="0"/>
            </w:pPr>
            <w:r/>
            <w:r>
              <w:rPr>
                <w:rFonts w:ascii="Arial" w:hAnsi="Arial"/>
                <w:b/>
                <w:color w:val="FFFFFF"/>
                <w:sz w:val="16"/>
              </w:rPr>
              <w:t>Example value</w:t>
            </w:r>
          </w:p>
        </w:tc>
        <w:tc>
          <w:tcPr>
            <w:tcW w:type="dxa" w:w="2448"/>
            <w:vAlign w:val="center"/>
            <w:tcMar>
              <w:top w:w="70" w:type="dxa"/>
              <w:start w:w="80" w:type="dxa"/>
              <w:bottom w:w="70" w:type="dxa"/>
              <w:end w:w="80" w:type="dxa"/>
            </w:tcMar>
            <w:shd w:fill="1A73E8"/>
          </w:tcPr>
          <w:p>
            <w:pPr>
              <w:spacing w:after="0"/>
            </w:pPr>
            <w:r/>
            <w:r>
              <w:rPr>
                <w:rFonts w:ascii="Arial" w:hAnsi="Arial"/>
                <w:b/>
                <w:color w:val="FFFFFF"/>
                <w:sz w:val="16"/>
              </w:rPr>
              <w:t>Control</w:t>
            </w:r>
          </w:p>
        </w:tc>
      </w:tr>
      <w:tr>
        <w:tc>
          <w:tcPr>
            <w:tcW w:type="dxa" w:w="1872"/>
            <w:vAlign w:val="center"/>
            <w:tcMar>
              <w:top w:w="70" w:type="dxa"/>
              <w:start w:w="80" w:type="dxa"/>
              <w:bottom w:w="70" w:type="dxa"/>
              <w:end w:w="80" w:type="dxa"/>
            </w:tcMar>
          </w:tcPr>
          <w:p>
            <w:pPr>
              <w:spacing w:after="0"/>
            </w:pPr>
            <w:r/>
            <w:r>
              <w:rPr>
                <w:rFonts w:ascii="Arial" w:hAnsi="Arial"/>
                <w:b w:val="0"/>
                <w:sz w:val="14"/>
              </w:rPr>
              <w:t>business_domain</w:t>
            </w:r>
          </w:p>
        </w:tc>
        <w:tc>
          <w:tcPr>
            <w:tcW w:type="dxa" w:w="3312"/>
            <w:vAlign w:val="center"/>
            <w:tcMar>
              <w:top w:w="70" w:type="dxa"/>
              <w:start w:w="80" w:type="dxa"/>
              <w:bottom w:w="70" w:type="dxa"/>
              <w:end w:w="80" w:type="dxa"/>
            </w:tcMar>
          </w:tcPr>
          <w:p>
            <w:pPr>
              <w:spacing w:after="0"/>
            </w:pPr>
            <w:r/>
            <w:r>
              <w:rPr>
                <w:rFonts w:ascii="Arial" w:hAnsi="Arial"/>
                <w:b w:val="0"/>
                <w:sz w:val="14"/>
              </w:rPr>
              <w:t>Cost and ownership grouping.</w:t>
            </w:r>
          </w:p>
        </w:tc>
        <w:tc>
          <w:tcPr>
            <w:tcW w:type="dxa" w:w="2448"/>
            <w:vAlign w:val="center"/>
            <w:tcMar>
              <w:top w:w="70" w:type="dxa"/>
              <w:start w:w="80" w:type="dxa"/>
              <w:bottom w:w="70" w:type="dxa"/>
              <w:end w:w="80" w:type="dxa"/>
            </w:tcMar>
          </w:tcPr>
          <w:p>
            <w:pPr>
              <w:spacing w:after="0"/>
            </w:pPr>
            <w:r/>
            <w:r>
              <w:rPr>
                <w:rFonts w:ascii="Arial" w:hAnsi="Arial"/>
                <w:b w:val="0"/>
                <w:sz w:val="14"/>
              </w:rPr>
              <w:t>customer</w:t>
            </w:r>
          </w:p>
        </w:tc>
        <w:tc>
          <w:tcPr>
            <w:tcW w:type="dxa" w:w="2448"/>
            <w:vAlign w:val="center"/>
            <w:tcMar>
              <w:top w:w="70" w:type="dxa"/>
              <w:start w:w="80" w:type="dxa"/>
              <w:bottom w:w="70" w:type="dxa"/>
              <w:end w:w="80" w:type="dxa"/>
            </w:tcMar>
          </w:tcPr>
          <w:p>
            <w:pPr>
              <w:spacing w:after="0"/>
            </w:pPr>
            <w:r/>
            <w:r>
              <w:rPr>
                <w:rFonts w:ascii="Arial" w:hAnsi="Arial"/>
                <w:b w:val="0"/>
                <w:sz w:val="14"/>
              </w:rPr>
              <w:t>Controlled vocabulary.</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data_product</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Product-level allocation and traceability.</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golden_profile</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Matches catalog identifier.</w:t>
            </w:r>
          </w:p>
        </w:tc>
      </w:tr>
      <w:tr>
        <w:tc>
          <w:tcPr>
            <w:tcW w:type="dxa" w:w="1872"/>
            <w:vAlign w:val="center"/>
            <w:tcMar>
              <w:top w:w="70" w:type="dxa"/>
              <w:start w:w="80" w:type="dxa"/>
              <w:bottom w:w="70" w:type="dxa"/>
              <w:end w:w="80" w:type="dxa"/>
            </w:tcMar>
          </w:tcPr>
          <w:p>
            <w:pPr>
              <w:spacing w:after="0"/>
            </w:pPr>
            <w:r/>
            <w:r>
              <w:rPr>
                <w:rFonts w:ascii="Arial" w:hAnsi="Arial"/>
                <w:b w:val="0"/>
                <w:sz w:val="14"/>
              </w:rPr>
              <w:t>environment</w:t>
            </w:r>
          </w:p>
        </w:tc>
        <w:tc>
          <w:tcPr>
            <w:tcW w:type="dxa" w:w="3312"/>
            <w:vAlign w:val="center"/>
            <w:tcMar>
              <w:top w:w="70" w:type="dxa"/>
              <w:start w:w="80" w:type="dxa"/>
              <w:bottom w:w="70" w:type="dxa"/>
              <w:end w:w="80" w:type="dxa"/>
            </w:tcMar>
          </w:tcPr>
          <w:p>
            <w:pPr>
              <w:spacing w:after="0"/>
            </w:pPr>
            <w:r/>
            <w:r>
              <w:rPr>
                <w:rFonts w:ascii="Arial" w:hAnsi="Arial"/>
                <w:b w:val="0"/>
                <w:sz w:val="14"/>
              </w:rPr>
              <w:t>Control and lifecycle.</w:t>
            </w:r>
          </w:p>
        </w:tc>
        <w:tc>
          <w:tcPr>
            <w:tcW w:type="dxa" w:w="2448"/>
            <w:vAlign w:val="center"/>
            <w:tcMar>
              <w:top w:w="70" w:type="dxa"/>
              <w:start w:w="80" w:type="dxa"/>
              <w:bottom w:w="70" w:type="dxa"/>
              <w:end w:w="80" w:type="dxa"/>
            </w:tcMar>
          </w:tcPr>
          <w:p>
            <w:pPr>
              <w:spacing w:after="0"/>
            </w:pPr>
            <w:r/>
            <w:r>
              <w:rPr>
                <w:rFonts w:ascii="Arial" w:hAnsi="Arial"/>
                <w:b w:val="0"/>
                <w:sz w:val="14"/>
              </w:rPr>
              <w:t>prod</w:t>
            </w:r>
          </w:p>
        </w:tc>
        <w:tc>
          <w:tcPr>
            <w:tcW w:type="dxa" w:w="2448"/>
            <w:vAlign w:val="center"/>
            <w:tcMar>
              <w:top w:w="70" w:type="dxa"/>
              <w:start w:w="80" w:type="dxa"/>
              <w:bottom w:w="70" w:type="dxa"/>
              <w:end w:w="80" w:type="dxa"/>
            </w:tcMar>
          </w:tcPr>
          <w:p>
            <w:pPr>
              <w:spacing w:after="0"/>
            </w:pPr>
            <w:r/>
            <w:r>
              <w:rPr>
                <w:rFonts w:ascii="Arial" w:hAnsi="Arial"/>
                <w:b w:val="0"/>
                <w:sz w:val="14"/>
              </w:rPr>
              <w:t>dev, int, test, stage, prod, dr, sandbox.</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owner</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Accountable team.</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grp-customer-data</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Resolves to managed group/team directory.</w:t>
            </w:r>
          </w:p>
        </w:tc>
      </w:tr>
      <w:tr>
        <w:tc>
          <w:tcPr>
            <w:tcW w:type="dxa" w:w="1872"/>
            <w:vAlign w:val="center"/>
            <w:tcMar>
              <w:top w:w="70" w:type="dxa"/>
              <w:start w:w="80" w:type="dxa"/>
              <w:bottom w:w="70" w:type="dxa"/>
              <w:end w:w="80" w:type="dxa"/>
            </w:tcMar>
          </w:tcPr>
          <w:p>
            <w:pPr>
              <w:spacing w:after="0"/>
            </w:pPr>
            <w:r/>
            <w:r>
              <w:rPr>
                <w:rFonts w:ascii="Arial" w:hAnsi="Arial"/>
                <w:b w:val="0"/>
                <w:sz w:val="14"/>
              </w:rPr>
              <w:t>cost_center</w:t>
            </w:r>
          </w:p>
        </w:tc>
        <w:tc>
          <w:tcPr>
            <w:tcW w:type="dxa" w:w="3312"/>
            <w:vAlign w:val="center"/>
            <w:tcMar>
              <w:top w:w="70" w:type="dxa"/>
              <w:start w:w="80" w:type="dxa"/>
              <w:bottom w:w="70" w:type="dxa"/>
              <w:end w:w="80" w:type="dxa"/>
            </w:tcMar>
          </w:tcPr>
          <w:p>
            <w:pPr>
              <w:spacing w:after="0"/>
            </w:pPr>
            <w:r/>
            <w:r>
              <w:rPr>
                <w:rFonts w:ascii="Arial" w:hAnsi="Arial"/>
                <w:b w:val="0"/>
                <w:sz w:val="14"/>
              </w:rPr>
              <w:t>Financial allocation.</w:t>
            </w:r>
          </w:p>
        </w:tc>
        <w:tc>
          <w:tcPr>
            <w:tcW w:type="dxa" w:w="2448"/>
            <w:vAlign w:val="center"/>
            <w:tcMar>
              <w:top w:w="70" w:type="dxa"/>
              <w:start w:w="80" w:type="dxa"/>
              <w:bottom w:w="70" w:type="dxa"/>
              <w:end w:w="80" w:type="dxa"/>
            </w:tcMar>
          </w:tcPr>
          <w:p>
            <w:pPr>
              <w:spacing w:after="0"/>
            </w:pPr>
            <w:r/>
            <w:r>
              <w:rPr>
                <w:rFonts w:ascii="Arial" w:hAnsi="Arial"/>
                <w:b w:val="0"/>
                <w:sz w:val="14"/>
              </w:rPr>
              <w:t>CC10420</w:t>
            </w:r>
          </w:p>
        </w:tc>
        <w:tc>
          <w:tcPr>
            <w:tcW w:type="dxa" w:w="2448"/>
            <w:vAlign w:val="center"/>
            <w:tcMar>
              <w:top w:w="70" w:type="dxa"/>
              <w:start w:w="80" w:type="dxa"/>
              <w:bottom w:w="70" w:type="dxa"/>
              <w:end w:w="80" w:type="dxa"/>
            </w:tcMar>
          </w:tcPr>
          <w:p>
            <w:pPr>
              <w:spacing w:after="0"/>
            </w:pPr>
            <w:r/>
            <w:r>
              <w:rPr>
                <w:rFonts w:ascii="Arial" w:hAnsi="Arial"/>
                <w:b w:val="0"/>
                <w:sz w:val="14"/>
              </w:rPr>
              <w:t>Validated against finance master.</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classification</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Data-control tier.</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restricted</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public, internal, confidential, restricted.</w:t>
            </w:r>
          </w:p>
        </w:tc>
      </w:tr>
      <w:tr>
        <w:tc>
          <w:tcPr>
            <w:tcW w:type="dxa" w:w="1872"/>
            <w:vAlign w:val="center"/>
            <w:tcMar>
              <w:top w:w="70" w:type="dxa"/>
              <w:start w:w="80" w:type="dxa"/>
              <w:bottom w:w="70" w:type="dxa"/>
              <w:end w:w="80" w:type="dxa"/>
            </w:tcMar>
          </w:tcPr>
          <w:p>
            <w:pPr>
              <w:spacing w:after="0"/>
            </w:pPr>
            <w:r/>
            <w:r>
              <w:rPr>
                <w:rFonts w:ascii="Arial" w:hAnsi="Arial"/>
                <w:b w:val="0"/>
                <w:sz w:val="14"/>
              </w:rPr>
              <w:t>service_tier</w:t>
            </w:r>
          </w:p>
        </w:tc>
        <w:tc>
          <w:tcPr>
            <w:tcW w:type="dxa" w:w="3312"/>
            <w:vAlign w:val="center"/>
            <w:tcMar>
              <w:top w:w="70" w:type="dxa"/>
              <w:start w:w="80" w:type="dxa"/>
              <w:bottom w:w="70" w:type="dxa"/>
              <w:end w:w="80" w:type="dxa"/>
            </w:tcMar>
          </w:tcPr>
          <w:p>
            <w:pPr>
              <w:spacing w:after="0"/>
            </w:pPr>
            <w:r/>
            <w:r>
              <w:rPr>
                <w:rFonts w:ascii="Arial" w:hAnsi="Arial"/>
                <w:b w:val="0"/>
                <w:sz w:val="14"/>
              </w:rPr>
              <w:t>Reliability and recovery tier.</w:t>
            </w:r>
          </w:p>
        </w:tc>
        <w:tc>
          <w:tcPr>
            <w:tcW w:type="dxa" w:w="2448"/>
            <w:vAlign w:val="center"/>
            <w:tcMar>
              <w:top w:w="70" w:type="dxa"/>
              <w:start w:w="80" w:type="dxa"/>
              <w:bottom w:w="70" w:type="dxa"/>
              <w:end w:w="80" w:type="dxa"/>
            </w:tcMar>
          </w:tcPr>
          <w:p>
            <w:pPr>
              <w:spacing w:after="0"/>
            </w:pPr>
            <w:r/>
            <w:r>
              <w:rPr>
                <w:rFonts w:ascii="Arial" w:hAnsi="Arial"/>
                <w:b w:val="0"/>
                <w:sz w:val="14"/>
              </w:rPr>
              <w:t>tier1</w:t>
            </w:r>
          </w:p>
        </w:tc>
        <w:tc>
          <w:tcPr>
            <w:tcW w:type="dxa" w:w="2448"/>
            <w:vAlign w:val="center"/>
            <w:tcMar>
              <w:top w:w="70" w:type="dxa"/>
              <w:start w:w="80" w:type="dxa"/>
              <w:bottom w:w="70" w:type="dxa"/>
              <w:end w:w="80" w:type="dxa"/>
            </w:tcMar>
          </w:tcPr>
          <w:p>
            <w:pPr>
              <w:spacing w:after="0"/>
            </w:pPr>
            <w:r/>
            <w:r>
              <w:rPr>
                <w:rFonts w:ascii="Arial" w:hAnsi="Arial"/>
                <w:b w:val="0"/>
                <w:sz w:val="14"/>
              </w:rPr>
              <w:t>tier0 to tier3.</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residency</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Approved geography.</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in</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Controlled region/geography code.</w:t>
            </w:r>
          </w:p>
        </w:tc>
      </w:tr>
      <w:tr>
        <w:tc>
          <w:tcPr>
            <w:tcW w:type="dxa" w:w="1872"/>
            <w:vAlign w:val="center"/>
            <w:tcMar>
              <w:top w:w="70" w:type="dxa"/>
              <w:start w:w="80" w:type="dxa"/>
              <w:bottom w:w="70" w:type="dxa"/>
              <w:end w:w="80" w:type="dxa"/>
            </w:tcMar>
          </w:tcPr>
          <w:p>
            <w:pPr>
              <w:spacing w:after="0"/>
            </w:pPr>
            <w:r/>
            <w:r>
              <w:rPr>
                <w:rFonts w:ascii="Arial" w:hAnsi="Arial"/>
                <w:b w:val="0"/>
                <w:sz w:val="14"/>
              </w:rPr>
              <w:t>managed_by</w:t>
            </w:r>
          </w:p>
        </w:tc>
        <w:tc>
          <w:tcPr>
            <w:tcW w:type="dxa" w:w="3312"/>
            <w:vAlign w:val="center"/>
            <w:tcMar>
              <w:top w:w="70" w:type="dxa"/>
              <w:start w:w="80" w:type="dxa"/>
              <w:bottom w:w="70" w:type="dxa"/>
              <w:end w:w="80" w:type="dxa"/>
            </w:tcMar>
          </w:tcPr>
          <w:p>
            <w:pPr>
              <w:spacing w:after="0"/>
            </w:pPr>
            <w:r/>
            <w:r>
              <w:rPr>
                <w:rFonts w:ascii="Arial" w:hAnsi="Arial"/>
                <w:b w:val="0"/>
                <w:sz w:val="14"/>
              </w:rPr>
              <w:t>Provisioning mechanism.</w:t>
            </w:r>
          </w:p>
        </w:tc>
        <w:tc>
          <w:tcPr>
            <w:tcW w:type="dxa" w:w="2448"/>
            <w:vAlign w:val="center"/>
            <w:tcMar>
              <w:top w:w="70" w:type="dxa"/>
              <w:start w:w="80" w:type="dxa"/>
              <w:bottom w:w="70" w:type="dxa"/>
              <w:end w:w="80" w:type="dxa"/>
            </w:tcMar>
          </w:tcPr>
          <w:p>
            <w:pPr>
              <w:spacing w:after="0"/>
            </w:pPr>
            <w:r/>
            <w:r>
              <w:rPr>
                <w:rFonts w:ascii="Arial" w:hAnsi="Arial"/>
                <w:b w:val="0"/>
                <w:sz w:val="14"/>
              </w:rPr>
              <w:t>terraform</w:t>
            </w:r>
          </w:p>
        </w:tc>
        <w:tc>
          <w:tcPr>
            <w:tcW w:type="dxa" w:w="2448"/>
            <w:vAlign w:val="center"/>
            <w:tcMar>
              <w:top w:w="70" w:type="dxa"/>
              <w:start w:w="80" w:type="dxa"/>
              <w:bottom w:w="70" w:type="dxa"/>
              <w:end w:w="80" w:type="dxa"/>
            </w:tcMar>
          </w:tcPr>
          <w:p>
            <w:pPr>
              <w:spacing w:after="0"/>
            </w:pPr>
            <w:r/>
            <w:r>
              <w:rPr>
                <w:rFonts w:ascii="Arial" w:hAnsi="Arial"/>
                <w:b w:val="0"/>
                <w:sz w:val="14"/>
              </w:rPr>
              <w:t>Exceptions reported.</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expiry_date</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Automatic lifecycle for temporary assets.</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2027-03-31</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Required for sandbox/temporary resources.</w:t>
            </w:r>
          </w:p>
        </w:tc>
      </w:tr>
      <w:tr>
        <w:tc>
          <w:tcPr>
            <w:tcW w:type="dxa" w:w="1872"/>
            <w:vAlign w:val="center"/>
            <w:tcMar>
              <w:top w:w="70" w:type="dxa"/>
              <w:start w:w="80" w:type="dxa"/>
              <w:bottom w:w="70" w:type="dxa"/>
              <w:end w:w="80" w:type="dxa"/>
            </w:tcMar>
          </w:tcPr>
          <w:p>
            <w:pPr>
              <w:spacing w:after="0"/>
            </w:pPr>
            <w:r/>
            <w:r>
              <w:rPr>
                <w:rFonts w:ascii="Arial" w:hAnsi="Arial"/>
                <w:b w:val="0"/>
                <w:sz w:val="14"/>
              </w:rPr>
              <w:t>criticality</w:t>
            </w:r>
          </w:p>
        </w:tc>
        <w:tc>
          <w:tcPr>
            <w:tcW w:type="dxa" w:w="3312"/>
            <w:vAlign w:val="center"/>
            <w:tcMar>
              <w:top w:w="70" w:type="dxa"/>
              <w:start w:w="80" w:type="dxa"/>
              <w:bottom w:w="70" w:type="dxa"/>
              <w:end w:w="80" w:type="dxa"/>
            </w:tcMar>
          </w:tcPr>
          <w:p>
            <w:pPr>
              <w:spacing w:after="0"/>
            </w:pPr>
            <w:r/>
            <w:r>
              <w:rPr>
                <w:rFonts w:ascii="Arial" w:hAnsi="Arial"/>
                <w:b w:val="0"/>
                <w:sz w:val="14"/>
              </w:rPr>
              <w:t>Operational importance.</w:t>
            </w:r>
          </w:p>
        </w:tc>
        <w:tc>
          <w:tcPr>
            <w:tcW w:type="dxa" w:w="2448"/>
            <w:vAlign w:val="center"/>
            <w:tcMar>
              <w:top w:w="70" w:type="dxa"/>
              <w:start w:w="80" w:type="dxa"/>
              <w:bottom w:w="70" w:type="dxa"/>
              <w:end w:w="80" w:type="dxa"/>
            </w:tcMar>
          </w:tcPr>
          <w:p>
            <w:pPr>
              <w:spacing w:after="0"/>
            </w:pPr>
            <w:r/>
            <w:r>
              <w:rPr>
                <w:rFonts w:ascii="Arial" w:hAnsi="Arial"/>
                <w:b w:val="0"/>
                <w:sz w:val="14"/>
              </w:rPr>
              <w:t>business_critical</w:t>
            </w:r>
          </w:p>
        </w:tc>
        <w:tc>
          <w:tcPr>
            <w:tcW w:type="dxa" w:w="2448"/>
            <w:vAlign w:val="center"/>
            <w:tcMar>
              <w:top w:w="70" w:type="dxa"/>
              <w:start w:w="80" w:type="dxa"/>
              <w:bottom w:w="70" w:type="dxa"/>
              <w:end w:w="80" w:type="dxa"/>
            </w:tcMar>
          </w:tcPr>
          <w:p>
            <w:pPr>
              <w:spacing w:after="0"/>
            </w:pPr>
            <w:r/>
            <w:r>
              <w:rPr>
                <w:rFonts w:ascii="Arial" w:hAnsi="Arial"/>
                <w:b w:val="0"/>
                <w:sz w:val="14"/>
              </w:rPr>
              <w:t>Used for alert and change policy.</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compliance_scope</w:t>
            </w:r>
          </w:p>
        </w:tc>
        <w:tc>
          <w:tcPr>
            <w:tcW w:type="dxa" w:w="3312"/>
            <w:vAlign w:val="center"/>
            <w:tcMar>
              <w:top w:w="70" w:type="dxa"/>
              <w:start w:w="80" w:type="dxa"/>
              <w:bottom w:w="70" w:type="dxa"/>
              <w:end w:w="80" w:type="dxa"/>
            </w:tcMar>
            <w:shd w:fill="F8F9FA"/>
          </w:tcPr>
          <w:p>
            <w:pPr>
              <w:spacing w:after="0"/>
            </w:pPr>
            <w:r/>
            <w:r>
              <w:rPr>
                <w:rFonts w:ascii="Arial" w:hAnsi="Arial"/>
                <w:b w:val="0"/>
                <w:sz w:val="14"/>
              </w:rPr>
              <w:t>Applicable overlay.</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pci</w:t>
            </w:r>
          </w:p>
        </w:tc>
        <w:tc>
          <w:tcPr>
            <w:tcW w:type="dxa" w:w="2448"/>
            <w:vAlign w:val="center"/>
            <w:tcMar>
              <w:top w:w="70" w:type="dxa"/>
              <w:start w:w="80" w:type="dxa"/>
              <w:bottom w:w="70" w:type="dxa"/>
              <w:end w:w="80" w:type="dxa"/>
            </w:tcMar>
            <w:shd w:fill="F8F9FA"/>
          </w:tcPr>
          <w:p>
            <w:pPr>
              <w:spacing w:after="0"/>
            </w:pPr>
            <w:r/>
            <w:r>
              <w:rPr>
                <w:rFonts w:ascii="Arial" w:hAnsi="Arial"/>
                <w:b w:val="0"/>
                <w:sz w:val="14"/>
              </w:rPr>
              <w:t>Multiple values represented through approved mechanism.</w:t>
            </w:r>
          </w:p>
        </w:tc>
      </w:tr>
    </w:tbl>
    <w:p>
      <w:pPr>
        <w:spacing w:after="20"/>
      </w:pPr>
    </w:p>
    <w:p>
      <w:pPr>
        <w:pStyle w:val="Heading1"/>
      </w:pPr>
      <w:r>
        <w:t>Appendix C. Global Security Classification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vAlign w:val="center"/>
            <w:tcMar>
              <w:top w:w="70" w:type="dxa"/>
              <w:start w:w="80" w:type="dxa"/>
              <w:bottom w:w="70" w:type="dxa"/>
              <w:end w:w="80" w:type="dxa"/>
            </w:tcMar>
            <w:shd w:fill="1A73E8"/>
          </w:tcPr>
          <w:p>
            <w:pPr>
              <w:spacing w:after="0"/>
            </w:pPr>
            <w:r/>
            <w:r>
              <w:rPr>
                <w:rFonts w:ascii="Arial" w:hAnsi="Arial"/>
                <w:b/>
                <w:color w:val="FFFFFF"/>
                <w:sz w:val="16"/>
              </w:rPr>
              <w:t>Class</w:t>
            </w:r>
          </w:p>
        </w:tc>
        <w:tc>
          <w:tcPr>
            <w:tcW w:type="dxa" w:w="2880"/>
            <w:vAlign w:val="center"/>
            <w:tcMar>
              <w:top w:w="70" w:type="dxa"/>
              <w:start w:w="80" w:type="dxa"/>
              <w:bottom w:w="70" w:type="dxa"/>
              <w:end w:w="80" w:type="dxa"/>
            </w:tcMar>
            <w:shd w:fill="1A73E8"/>
          </w:tcPr>
          <w:p>
            <w:pPr>
              <w:spacing w:after="0"/>
            </w:pPr>
            <w:r/>
            <w:r>
              <w:rPr>
                <w:rFonts w:ascii="Arial" w:hAnsi="Arial"/>
                <w:b/>
                <w:color w:val="FFFFFF"/>
                <w:sz w:val="16"/>
              </w:rPr>
              <w:t>Definition</w:t>
            </w:r>
          </w:p>
        </w:tc>
        <w:tc>
          <w:tcPr>
            <w:tcW w:type="dxa" w:w="2592"/>
            <w:vAlign w:val="center"/>
            <w:tcMar>
              <w:top w:w="70" w:type="dxa"/>
              <w:start w:w="80" w:type="dxa"/>
              <w:bottom w:w="70" w:type="dxa"/>
              <w:end w:w="80" w:type="dxa"/>
            </w:tcMar>
            <w:shd w:fill="1A73E8"/>
          </w:tcPr>
          <w:p>
            <w:pPr>
              <w:spacing w:after="0"/>
            </w:pPr>
            <w:r/>
            <w:r>
              <w:rPr>
                <w:rFonts w:ascii="Arial" w:hAnsi="Arial"/>
                <w:b/>
                <w:color w:val="FFFFFF"/>
                <w:sz w:val="16"/>
              </w:rPr>
              <w:t>Examples</w:t>
            </w:r>
          </w:p>
        </w:tc>
        <w:tc>
          <w:tcPr>
            <w:tcW w:type="dxa" w:w="3168"/>
            <w:vAlign w:val="center"/>
            <w:tcMar>
              <w:top w:w="70" w:type="dxa"/>
              <w:start w:w="80" w:type="dxa"/>
              <w:bottom w:w="70" w:type="dxa"/>
              <w:end w:w="80" w:type="dxa"/>
            </w:tcMar>
            <w:shd w:fill="1A73E8"/>
          </w:tcPr>
          <w:p>
            <w:pPr>
              <w:spacing w:after="0"/>
            </w:pPr>
            <w:r/>
            <w:r>
              <w:rPr>
                <w:rFonts w:ascii="Arial" w:hAnsi="Arial"/>
                <w:b/>
                <w:color w:val="FFFFFF"/>
                <w:sz w:val="16"/>
              </w:rPr>
              <w:t>Minimum controls</w:t>
            </w:r>
          </w:p>
        </w:tc>
      </w:tr>
      <w:tr>
        <w:tc>
          <w:tcPr>
            <w:tcW w:type="dxa" w:w="1440"/>
            <w:vAlign w:val="center"/>
            <w:tcMar>
              <w:top w:w="70" w:type="dxa"/>
              <w:start w:w="80" w:type="dxa"/>
              <w:bottom w:w="70" w:type="dxa"/>
              <w:end w:w="80" w:type="dxa"/>
            </w:tcMar>
          </w:tcPr>
          <w:p>
            <w:pPr>
              <w:spacing w:after="0"/>
            </w:pPr>
            <w:r/>
            <w:r>
              <w:rPr>
                <w:rFonts w:ascii="Arial" w:hAnsi="Arial"/>
                <w:b w:val="0"/>
                <w:sz w:val="14"/>
              </w:rPr>
              <w:t>Public</w:t>
            </w:r>
          </w:p>
        </w:tc>
        <w:tc>
          <w:tcPr>
            <w:tcW w:type="dxa" w:w="2880"/>
            <w:vAlign w:val="center"/>
            <w:tcMar>
              <w:top w:w="70" w:type="dxa"/>
              <w:start w:w="80" w:type="dxa"/>
              <w:bottom w:w="70" w:type="dxa"/>
              <w:end w:w="80" w:type="dxa"/>
            </w:tcMar>
          </w:tcPr>
          <w:p>
            <w:pPr>
              <w:spacing w:after="0"/>
            </w:pPr>
            <w:r/>
            <w:r>
              <w:rPr>
                <w:rFonts w:ascii="Arial" w:hAnsi="Arial"/>
                <w:b w:val="0"/>
                <w:sz w:val="14"/>
              </w:rPr>
              <w:t>Approved for unrestricted external disclosure.</w:t>
            </w:r>
          </w:p>
        </w:tc>
        <w:tc>
          <w:tcPr>
            <w:tcW w:type="dxa" w:w="2592"/>
            <w:vAlign w:val="center"/>
            <w:tcMar>
              <w:top w:w="70" w:type="dxa"/>
              <w:start w:w="80" w:type="dxa"/>
              <w:bottom w:w="70" w:type="dxa"/>
              <w:end w:w="80" w:type="dxa"/>
            </w:tcMar>
          </w:tcPr>
          <w:p>
            <w:pPr>
              <w:spacing w:after="0"/>
            </w:pPr>
            <w:r/>
            <w:r>
              <w:rPr>
                <w:rFonts w:ascii="Arial" w:hAnsi="Arial"/>
                <w:b w:val="0"/>
                <w:sz w:val="14"/>
              </w:rPr>
              <w:t>Published reports, public product information.</w:t>
            </w:r>
          </w:p>
        </w:tc>
        <w:tc>
          <w:tcPr>
            <w:tcW w:type="dxa" w:w="3168"/>
            <w:vAlign w:val="center"/>
            <w:tcMar>
              <w:top w:w="70" w:type="dxa"/>
              <w:start w:w="80" w:type="dxa"/>
              <w:bottom w:w="70" w:type="dxa"/>
              <w:end w:w="80" w:type="dxa"/>
            </w:tcMar>
          </w:tcPr>
          <w:p>
            <w:pPr>
              <w:spacing w:after="0"/>
            </w:pPr>
            <w:r/>
            <w:r>
              <w:rPr>
                <w:rFonts w:ascii="Arial" w:hAnsi="Arial"/>
                <w:b w:val="0"/>
                <w:sz w:val="14"/>
              </w:rPr>
              <w:t>Integrity, ownership and release approval.</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4"/>
              </w:rPr>
              <w:t>Internal</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Routine enterprise information not intended for public release.</w:t>
            </w:r>
          </w:p>
        </w:tc>
        <w:tc>
          <w:tcPr>
            <w:tcW w:type="dxa" w:w="2592"/>
            <w:vAlign w:val="center"/>
            <w:tcMar>
              <w:top w:w="70" w:type="dxa"/>
              <w:start w:w="80" w:type="dxa"/>
              <w:bottom w:w="70" w:type="dxa"/>
              <w:end w:w="80" w:type="dxa"/>
            </w:tcMar>
            <w:shd w:fill="F8F9FA"/>
          </w:tcPr>
          <w:p>
            <w:pPr>
              <w:spacing w:after="0"/>
            </w:pPr>
            <w:r/>
            <w:r>
              <w:rPr>
                <w:rFonts w:ascii="Arial" w:hAnsi="Arial"/>
                <w:b w:val="0"/>
                <w:sz w:val="14"/>
              </w:rPr>
              <w:t>Internal operational reference, procedures.</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Enterprise identity, least privilege where appropriate, logging.</w:t>
            </w:r>
          </w:p>
        </w:tc>
      </w:tr>
      <w:tr>
        <w:tc>
          <w:tcPr>
            <w:tcW w:type="dxa" w:w="1440"/>
            <w:vAlign w:val="center"/>
            <w:tcMar>
              <w:top w:w="70" w:type="dxa"/>
              <w:start w:w="80" w:type="dxa"/>
              <w:bottom w:w="70" w:type="dxa"/>
              <w:end w:w="80" w:type="dxa"/>
            </w:tcMar>
          </w:tcPr>
          <w:p>
            <w:pPr>
              <w:spacing w:after="0"/>
            </w:pPr>
            <w:r/>
            <w:r>
              <w:rPr>
                <w:rFonts w:ascii="Arial" w:hAnsi="Arial"/>
                <w:b w:val="0"/>
                <w:sz w:val="14"/>
              </w:rPr>
              <w:t>Confidential</w:t>
            </w:r>
          </w:p>
        </w:tc>
        <w:tc>
          <w:tcPr>
            <w:tcW w:type="dxa" w:w="2880"/>
            <w:vAlign w:val="center"/>
            <w:tcMar>
              <w:top w:w="70" w:type="dxa"/>
              <w:start w:w="80" w:type="dxa"/>
              <w:bottom w:w="70" w:type="dxa"/>
              <w:end w:w="80" w:type="dxa"/>
            </w:tcMar>
          </w:tcPr>
          <w:p>
            <w:pPr>
              <w:spacing w:after="0"/>
            </w:pPr>
            <w:r/>
            <w:r>
              <w:rPr>
                <w:rFonts w:ascii="Arial" w:hAnsi="Arial"/>
                <w:b w:val="0"/>
                <w:sz w:val="14"/>
              </w:rPr>
              <w:t>Disclosure could harm customers, employees or business operations.</w:t>
            </w:r>
          </w:p>
        </w:tc>
        <w:tc>
          <w:tcPr>
            <w:tcW w:type="dxa" w:w="2592"/>
            <w:vAlign w:val="center"/>
            <w:tcMar>
              <w:top w:w="70" w:type="dxa"/>
              <w:start w:w="80" w:type="dxa"/>
              <w:bottom w:w="70" w:type="dxa"/>
              <w:end w:w="80" w:type="dxa"/>
            </w:tcMar>
          </w:tcPr>
          <w:p>
            <w:pPr>
              <w:spacing w:after="0"/>
            </w:pPr>
            <w:r/>
            <w:r>
              <w:rPr>
                <w:rFonts w:ascii="Arial" w:hAnsi="Arial"/>
                <w:b w:val="0"/>
                <w:sz w:val="14"/>
              </w:rPr>
              <w:t>Customer records, financial performance, contracts.</w:t>
            </w:r>
          </w:p>
        </w:tc>
        <w:tc>
          <w:tcPr>
            <w:tcW w:type="dxa" w:w="3168"/>
            <w:vAlign w:val="center"/>
            <w:tcMar>
              <w:top w:w="70" w:type="dxa"/>
              <w:start w:w="80" w:type="dxa"/>
              <w:bottom w:w="70" w:type="dxa"/>
              <w:end w:w="80" w:type="dxa"/>
            </w:tcMar>
          </w:tcPr>
          <w:p>
            <w:pPr>
              <w:spacing w:after="0"/>
            </w:pPr>
            <w:r/>
            <w:r>
              <w:rPr>
                <w:rFonts w:ascii="Arial" w:hAnsi="Arial"/>
                <w:b w:val="0"/>
                <w:sz w:val="14"/>
              </w:rPr>
              <w:t>Need-to-know access, audit, approved regions, encryption, non-production controls.</w:t>
            </w:r>
          </w:p>
        </w:tc>
      </w:tr>
      <w:tr>
        <w:tc>
          <w:tcPr>
            <w:tcW w:type="dxa" w:w="1440"/>
            <w:vAlign w:val="center"/>
            <w:tcMar>
              <w:top w:w="70" w:type="dxa"/>
              <w:start w:w="80" w:type="dxa"/>
              <w:bottom w:w="70" w:type="dxa"/>
              <w:end w:w="80" w:type="dxa"/>
            </w:tcMar>
            <w:shd w:fill="F8F9FA"/>
          </w:tcPr>
          <w:p>
            <w:pPr>
              <w:spacing w:after="0"/>
            </w:pPr>
            <w:r/>
            <w:r>
              <w:rPr>
                <w:rFonts w:ascii="Arial" w:hAnsi="Arial"/>
                <w:b w:val="0"/>
                <w:sz w:val="14"/>
              </w:rPr>
              <w:t>Restricted</w:t>
            </w:r>
          </w:p>
        </w:tc>
        <w:tc>
          <w:tcPr>
            <w:tcW w:type="dxa" w:w="2880"/>
            <w:vAlign w:val="center"/>
            <w:tcMar>
              <w:top w:w="70" w:type="dxa"/>
              <w:start w:w="80" w:type="dxa"/>
              <w:bottom w:w="70" w:type="dxa"/>
              <w:end w:w="80" w:type="dxa"/>
            </w:tcMar>
            <w:shd w:fill="F8F9FA"/>
          </w:tcPr>
          <w:p>
            <w:pPr>
              <w:spacing w:after="0"/>
            </w:pPr>
            <w:r/>
            <w:r>
              <w:rPr>
                <w:rFonts w:ascii="Arial" w:hAnsi="Arial"/>
                <w:b w:val="0"/>
                <w:sz w:val="14"/>
              </w:rPr>
              <w:t>Disclosure or loss could create severe legal, safety, regulatory or financial impact.</w:t>
            </w:r>
          </w:p>
        </w:tc>
        <w:tc>
          <w:tcPr>
            <w:tcW w:type="dxa" w:w="2592"/>
            <w:vAlign w:val="center"/>
            <w:tcMar>
              <w:top w:w="70" w:type="dxa"/>
              <w:start w:w="80" w:type="dxa"/>
              <w:bottom w:w="70" w:type="dxa"/>
              <w:end w:w="80" w:type="dxa"/>
            </w:tcMar>
            <w:shd w:fill="F8F9FA"/>
          </w:tcPr>
          <w:p>
            <w:pPr>
              <w:spacing w:after="0"/>
            </w:pPr>
            <w:r/>
            <w:r>
              <w:rPr>
                <w:rFonts w:ascii="Arial" w:hAnsi="Arial"/>
                <w:b w:val="0"/>
                <w:sz w:val="14"/>
              </w:rPr>
              <w:t>Payment data, health data, national IDs, highly sensitive HR/security information.</w:t>
            </w:r>
          </w:p>
        </w:tc>
        <w:tc>
          <w:tcPr>
            <w:tcW w:type="dxa" w:w="3168"/>
            <w:vAlign w:val="center"/>
            <w:tcMar>
              <w:top w:w="70" w:type="dxa"/>
              <w:start w:w="80" w:type="dxa"/>
              <w:bottom w:w="70" w:type="dxa"/>
              <w:end w:w="80" w:type="dxa"/>
            </w:tcMar>
            <w:shd w:fill="F8F9FA"/>
          </w:tcPr>
          <w:p>
            <w:pPr>
              <w:spacing w:after="0"/>
            </w:pPr>
            <w:r/>
            <w:r>
              <w:rPr>
                <w:rFonts w:ascii="Arial" w:hAnsi="Arial"/>
                <w:b w:val="0"/>
                <w:sz w:val="14"/>
              </w:rPr>
              <w:t>VPC SC where supported, selective CMEK, fine-grained access, DLP, strict egress, enhanced audit and recovery.</w:t>
            </w:r>
          </w:p>
        </w:tc>
      </w:tr>
    </w:tbl>
    <w:p>
      <w:pPr>
        <w:spacing w:after="20"/>
      </w:pPr>
    </w:p>
    <w:p>
      <w:r>
        <w:t>Classification is inherited by derived data unless an approved transformation demonstrably reduces sensitivity. Aggregation, masking or tokenization does not automatically change classification; the data owner and security/privacy functions approve reclassification.</w:t>
      </w:r>
    </w:p>
    <w:p>
      <w:pPr>
        <w:pStyle w:val="Heading1"/>
      </w:pPr>
      <w:r>
        <w:t>Appendix D. Traceability Index</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872"/>
            <w:vAlign w:val="center"/>
            <w:tcMar>
              <w:top w:w="70" w:type="dxa"/>
              <w:start w:w="80" w:type="dxa"/>
              <w:bottom w:w="70" w:type="dxa"/>
              <w:end w:w="80" w:type="dxa"/>
            </w:tcMar>
            <w:shd w:fill="1A73E8"/>
          </w:tcPr>
          <w:p>
            <w:pPr>
              <w:spacing w:after="0"/>
            </w:pPr>
            <w:r/>
            <w:r>
              <w:rPr>
                <w:rFonts w:ascii="Arial" w:hAnsi="Arial"/>
                <w:b/>
                <w:color w:val="FFFFFF"/>
                <w:sz w:val="16"/>
              </w:rPr>
              <w:t>Outcome</w:t>
            </w:r>
          </w:p>
        </w:tc>
        <w:tc>
          <w:tcPr>
            <w:tcW w:type="dxa" w:w="1656"/>
            <w:vAlign w:val="center"/>
            <w:tcMar>
              <w:top w:w="70" w:type="dxa"/>
              <w:start w:w="80" w:type="dxa"/>
              <w:bottom w:w="70" w:type="dxa"/>
              <w:end w:w="80" w:type="dxa"/>
            </w:tcMar>
            <w:shd w:fill="1A73E8"/>
          </w:tcPr>
          <w:p>
            <w:pPr>
              <w:spacing w:after="0"/>
            </w:pPr>
            <w:r/>
            <w:r>
              <w:rPr>
                <w:rFonts w:ascii="Arial" w:hAnsi="Arial"/>
                <w:b/>
                <w:color w:val="FFFFFF"/>
                <w:sz w:val="16"/>
              </w:rPr>
              <w:t>Drivers</w:t>
            </w:r>
          </w:p>
        </w:tc>
        <w:tc>
          <w:tcPr>
            <w:tcW w:type="dxa" w:w="2088"/>
            <w:vAlign w:val="center"/>
            <w:tcMar>
              <w:top w:w="70" w:type="dxa"/>
              <w:start w:w="80" w:type="dxa"/>
              <w:bottom w:w="70" w:type="dxa"/>
              <w:end w:w="80" w:type="dxa"/>
            </w:tcMar>
            <w:shd w:fill="1A73E8"/>
          </w:tcPr>
          <w:p>
            <w:pPr>
              <w:spacing w:after="0"/>
            </w:pPr>
            <w:r/>
            <w:r>
              <w:rPr>
                <w:rFonts w:ascii="Arial" w:hAnsi="Arial"/>
                <w:b/>
                <w:color w:val="FFFFFF"/>
                <w:sz w:val="16"/>
              </w:rPr>
              <w:t>Requirements</w:t>
            </w:r>
          </w:p>
        </w:tc>
        <w:tc>
          <w:tcPr>
            <w:tcW w:type="dxa" w:w="2016"/>
            <w:vAlign w:val="center"/>
            <w:tcMar>
              <w:top w:w="70" w:type="dxa"/>
              <w:start w:w="80" w:type="dxa"/>
              <w:bottom w:w="70" w:type="dxa"/>
              <w:end w:w="80" w:type="dxa"/>
            </w:tcMar>
            <w:shd w:fill="1A73E8"/>
          </w:tcPr>
          <w:p>
            <w:pPr>
              <w:spacing w:after="0"/>
            </w:pPr>
            <w:r/>
            <w:r>
              <w:rPr>
                <w:rFonts w:ascii="Arial" w:hAnsi="Arial"/>
                <w:b/>
                <w:color w:val="FFFFFF"/>
                <w:sz w:val="16"/>
              </w:rPr>
              <w:t>Principles</w:t>
            </w:r>
          </w:p>
        </w:tc>
        <w:tc>
          <w:tcPr>
            <w:tcW w:type="dxa" w:w="2304"/>
            <w:vAlign w:val="center"/>
            <w:tcMar>
              <w:top w:w="70" w:type="dxa"/>
              <w:start w:w="80" w:type="dxa"/>
              <w:bottom w:w="70" w:type="dxa"/>
              <w:end w:w="80" w:type="dxa"/>
            </w:tcMar>
            <w:shd w:fill="1A73E8"/>
          </w:tcPr>
          <w:p>
            <w:pPr>
              <w:spacing w:after="0"/>
            </w:pPr>
            <w:r/>
            <w:r>
              <w:rPr>
                <w:rFonts w:ascii="Arial" w:hAnsi="Arial"/>
                <w:b/>
                <w:color w:val="FFFFFF"/>
                <w:sz w:val="16"/>
              </w:rPr>
              <w:t>Key ADRs</w:t>
            </w:r>
          </w:p>
        </w:tc>
        <w:tc>
          <w:tcPr>
            <w:tcW w:type="dxa" w:w="1152"/>
            <w:vAlign w:val="center"/>
            <w:tcMar>
              <w:top w:w="70" w:type="dxa"/>
              <w:start w:w="80" w:type="dxa"/>
              <w:bottom w:w="70" w:type="dxa"/>
              <w:end w:w="80" w:type="dxa"/>
            </w:tcMar>
            <w:shd w:fill="1A73E8"/>
          </w:tcPr>
          <w:p>
            <w:pPr>
              <w:spacing w:after="0"/>
            </w:pPr>
            <w:r/>
            <w:r>
              <w:rPr>
                <w:rFonts w:ascii="Arial" w:hAnsi="Arial"/>
                <w:b/>
                <w:color w:val="FFFFFF"/>
                <w:sz w:val="16"/>
              </w:rPr>
              <w:t>Roadmap</w:t>
            </w:r>
          </w:p>
        </w:tc>
      </w:tr>
      <w:tr>
        <w:tc>
          <w:tcPr>
            <w:tcW w:type="dxa" w:w="1872"/>
            <w:vAlign w:val="center"/>
            <w:tcMar>
              <w:top w:w="70" w:type="dxa"/>
              <w:start w:w="80" w:type="dxa"/>
              <w:bottom w:w="70" w:type="dxa"/>
              <w:end w:w="80" w:type="dxa"/>
            </w:tcMar>
          </w:tcPr>
          <w:p>
            <w:pPr>
              <w:spacing w:after="0"/>
            </w:pPr>
            <w:r/>
            <w:r>
              <w:rPr>
                <w:rFonts w:ascii="Arial" w:hAnsi="Arial"/>
                <w:b w:val="0"/>
                <w:sz w:val="14"/>
              </w:rPr>
              <w:t>Business acceleration</w:t>
            </w:r>
          </w:p>
        </w:tc>
        <w:tc>
          <w:tcPr>
            <w:tcW w:type="dxa" w:w="1656"/>
            <w:vAlign w:val="center"/>
            <w:tcMar>
              <w:top w:w="70" w:type="dxa"/>
              <w:start w:w="80" w:type="dxa"/>
              <w:bottom w:w="70" w:type="dxa"/>
              <w:end w:w="80" w:type="dxa"/>
            </w:tcMar>
          </w:tcPr>
          <w:p>
            <w:pPr>
              <w:spacing w:after="0"/>
            </w:pPr>
            <w:r/>
            <w:r>
              <w:rPr>
                <w:rFonts w:ascii="Arial" w:hAnsi="Arial"/>
                <w:b w:val="0"/>
                <w:sz w:val="14"/>
              </w:rPr>
              <w:t>BD-01, BD-02, BD-11</w:t>
            </w:r>
          </w:p>
        </w:tc>
        <w:tc>
          <w:tcPr>
            <w:tcW w:type="dxa" w:w="2088"/>
            <w:vAlign w:val="center"/>
            <w:tcMar>
              <w:top w:w="70" w:type="dxa"/>
              <w:start w:w="80" w:type="dxa"/>
              <w:bottom w:w="70" w:type="dxa"/>
              <w:end w:w="80" w:type="dxa"/>
            </w:tcMar>
          </w:tcPr>
          <w:p>
            <w:pPr>
              <w:spacing w:after="0"/>
            </w:pPr>
            <w:r/>
            <w:r>
              <w:rPr>
                <w:rFonts w:ascii="Arial" w:hAnsi="Arial"/>
                <w:b w:val="0"/>
                <w:sz w:val="14"/>
              </w:rPr>
              <w:t>BR-ING, BR-DAT, BR-ANA</w:t>
            </w:r>
          </w:p>
        </w:tc>
        <w:tc>
          <w:tcPr>
            <w:tcW w:type="dxa" w:w="2016"/>
            <w:vAlign w:val="center"/>
            <w:tcMar>
              <w:top w:w="70" w:type="dxa"/>
              <w:start w:w="80" w:type="dxa"/>
              <w:bottom w:w="70" w:type="dxa"/>
              <w:end w:w="80" w:type="dxa"/>
            </w:tcMar>
          </w:tcPr>
          <w:p>
            <w:pPr>
              <w:spacing w:after="0"/>
            </w:pPr>
            <w:r/>
            <w:r>
              <w:rPr>
                <w:rFonts w:ascii="Arial" w:hAnsi="Arial"/>
                <w:b w:val="0"/>
                <w:sz w:val="14"/>
              </w:rPr>
              <w:t>AP-01, AP-10, AP-15</w:t>
            </w:r>
          </w:p>
        </w:tc>
        <w:tc>
          <w:tcPr>
            <w:tcW w:type="dxa" w:w="2304"/>
            <w:vAlign w:val="center"/>
            <w:tcMar>
              <w:top w:w="70" w:type="dxa"/>
              <w:start w:w="80" w:type="dxa"/>
              <w:bottom w:w="70" w:type="dxa"/>
              <w:end w:w="80" w:type="dxa"/>
            </w:tcMar>
          </w:tcPr>
          <w:p>
            <w:pPr>
              <w:spacing w:after="0"/>
            </w:pPr>
            <w:r/>
            <w:r>
              <w:rPr>
                <w:rFonts w:ascii="Arial" w:hAnsi="Arial"/>
                <w:b w:val="0"/>
                <w:sz w:val="14"/>
              </w:rPr>
              <w:t>ADR-001, ADR-002, ADR-010</w:t>
            </w:r>
          </w:p>
        </w:tc>
        <w:tc>
          <w:tcPr>
            <w:tcW w:type="dxa" w:w="1152"/>
            <w:vAlign w:val="center"/>
            <w:tcMar>
              <w:top w:w="70" w:type="dxa"/>
              <w:start w:w="80" w:type="dxa"/>
              <w:bottom w:w="70" w:type="dxa"/>
              <w:end w:w="80" w:type="dxa"/>
            </w:tcMar>
          </w:tcPr>
          <w:p>
            <w:pPr>
              <w:spacing w:after="0"/>
            </w:pPr>
            <w:r/>
            <w:r>
              <w:rPr>
                <w:rFonts w:ascii="Arial" w:hAnsi="Arial"/>
                <w:b w:val="0"/>
                <w:sz w:val="14"/>
              </w:rPr>
              <w:t>Phases 2–4</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Legacy modernization</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BD-03, BD-12</w:t>
            </w:r>
          </w:p>
        </w:tc>
        <w:tc>
          <w:tcPr>
            <w:tcW w:type="dxa" w:w="2088"/>
            <w:vAlign w:val="center"/>
            <w:tcMar>
              <w:top w:w="70" w:type="dxa"/>
              <w:start w:w="80" w:type="dxa"/>
              <w:bottom w:w="70" w:type="dxa"/>
              <w:end w:w="80" w:type="dxa"/>
            </w:tcMar>
            <w:shd w:fill="F8F9FA"/>
          </w:tcPr>
          <w:p>
            <w:pPr>
              <w:spacing w:after="0"/>
            </w:pPr>
            <w:r/>
            <w:r>
              <w:rPr>
                <w:rFonts w:ascii="Arial" w:hAnsi="Arial"/>
                <w:b w:val="0"/>
                <w:sz w:val="14"/>
              </w:rPr>
              <w:t>BR-DAT, BR-OPS</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AP-06, AP-07, AP-20</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ADR-002, ADR-003, ADR-016</w:t>
            </w:r>
          </w:p>
        </w:tc>
        <w:tc>
          <w:tcPr>
            <w:tcW w:type="dxa" w:w="1152"/>
            <w:vAlign w:val="center"/>
            <w:tcMar>
              <w:top w:w="70" w:type="dxa"/>
              <w:start w:w="80" w:type="dxa"/>
              <w:bottom w:w="70" w:type="dxa"/>
              <w:end w:w="80" w:type="dxa"/>
            </w:tcMar>
            <w:shd w:fill="F8F9FA"/>
          </w:tcPr>
          <w:p>
            <w:pPr>
              <w:spacing w:after="0"/>
            </w:pPr>
            <w:r/>
            <w:r>
              <w:rPr>
                <w:rFonts w:ascii="Arial" w:hAnsi="Arial"/>
                <w:b w:val="0"/>
                <w:sz w:val="14"/>
              </w:rPr>
              <w:t>Phases 4–5</w:t>
            </w:r>
          </w:p>
        </w:tc>
      </w:tr>
      <w:tr>
        <w:tc>
          <w:tcPr>
            <w:tcW w:type="dxa" w:w="1872"/>
            <w:vAlign w:val="center"/>
            <w:tcMar>
              <w:top w:w="70" w:type="dxa"/>
              <w:start w:w="80" w:type="dxa"/>
              <w:bottom w:w="70" w:type="dxa"/>
              <w:end w:w="80" w:type="dxa"/>
            </w:tcMar>
          </w:tcPr>
          <w:p>
            <w:pPr>
              <w:spacing w:after="0"/>
            </w:pPr>
            <w:r/>
            <w:r>
              <w:rPr>
                <w:rFonts w:ascii="Arial" w:hAnsi="Arial"/>
                <w:b w:val="0"/>
                <w:sz w:val="14"/>
              </w:rPr>
              <w:t>Real-time operations</w:t>
            </w:r>
          </w:p>
        </w:tc>
        <w:tc>
          <w:tcPr>
            <w:tcW w:type="dxa" w:w="1656"/>
            <w:vAlign w:val="center"/>
            <w:tcMar>
              <w:top w:w="70" w:type="dxa"/>
              <w:start w:w="80" w:type="dxa"/>
              <w:bottom w:w="70" w:type="dxa"/>
              <w:end w:w="80" w:type="dxa"/>
            </w:tcMar>
          </w:tcPr>
          <w:p>
            <w:pPr>
              <w:spacing w:after="0"/>
            </w:pPr>
            <w:r/>
            <w:r>
              <w:rPr>
                <w:rFonts w:ascii="Arial" w:hAnsi="Arial"/>
                <w:b w:val="0"/>
                <w:sz w:val="14"/>
              </w:rPr>
              <w:t>BD-04</w:t>
            </w:r>
          </w:p>
        </w:tc>
        <w:tc>
          <w:tcPr>
            <w:tcW w:type="dxa" w:w="2088"/>
            <w:vAlign w:val="center"/>
            <w:tcMar>
              <w:top w:w="70" w:type="dxa"/>
              <w:start w:w="80" w:type="dxa"/>
              <w:bottom w:w="70" w:type="dxa"/>
              <w:end w:w="80" w:type="dxa"/>
            </w:tcMar>
          </w:tcPr>
          <w:p>
            <w:pPr>
              <w:spacing w:after="0"/>
            </w:pPr>
            <w:r/>
            <w:r>
              <w:rPr>
                <w:rFonts w:ascii="Arial" w:hAnsi="Arial"/>
                <w:b w:val="0"/>
                <w:sz w:val="14"/>
              </w:rPr>
              <w:t>BR-ING</w:t>
            </w:r>
          </w:p>
        </w:tc>
        <w:tc>
          <w:tcPr>
            <w:tcW w:type="dxa" w:w="2016"/>
            <w:vAlign w:val="center"/>
            <w:tcMar>
              <w:top w:w="70" w:type="dxa"/>
              <w:start w:w="80" w:type="dxa"/>
              <w:bottom w:w="70" w:type="dxa"/>
              <w:end w:w="80" w:type="dxa"/>
            </w:tcMar>
          </w:tcPr>
          <w:p>
            <w:pPr>
              <w:spacing w:after="0"/>
            </w:pPr>
            <w:r/>
            <w:r>
              <w:rPr>
                <w:rFonts w:ascii="Arial" w:hAnsi="Arial"/>
                <w:b w:val="0"/>
                <w:sz w:val="14"/>
              </w:rPr>
              <w:t>AP-01, AP-09, AP-12</w:t>
            </w:r>
          </w:p>
        </w:tc>
        <w:tc>
          <w:tcPr>
            <w:tcW w:type="dxa" w:w="2304"/>
            <w:vAlign w:val="center"/>
            <w:tcMar>
              <w:top w:w="70" w:type="dxa"/>
              <w:start w:w="80" w:type="dxa"/>
              <w:bottom w:w="70" w:type="dxa"/>
              <w:end w:w="80" w:type="dxa"/>
            </w:tcMar>
          </w:tcPr>
          <w:p>
            <w:pPr>
              <w:spacing w:after="0"/>
            </w:pPr>
            <w:r/>
            <w:r>
              <w:rPr>
                <w:rFonts w:ascii="Arial" w:hAnsi="Arial"/>
                <w:b w:val="0"/>
                <w:sz w:val="14"/>
              </w:rPr>
              <w:t>ADR-008, ADR-009</w:t>
            </w:r>
          </w:p>
        </w:tc>
        <w:tc>
          <w:tcPr>
            <w:tcW w:type="dxa" w:w="1152"/>
            <w:vAlign w:val="center"/>
            <w:tcMar>
              <w:top w:w="70" w:type="dxa"/>
              <w:start w:w="80" w:type="dxa"/>
              <w:bottom w:w="70" w:type="dxa"/>
              <w:end w:w="80" w:type="dxa"/>
            </w:tcMar>
          </w:tcPr>
          <w:p>
            <w:pPr>
              <w:spacing w:after="0"/>
            </w:pPr>
            <w:r/>
            <w:r>
              <w:rPr>
                <w:rFonts w:ascii="Arial" w:hAnsi="Arial"/>
                <w:b w:val="0"/>
                <w:sz w:val="14"/>
              </w:rPr>
              <w:t>Phases 2–4</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Security and privacy</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BD-05, BD-06</w:t>
            </w:r>
          </w:p>
        </w:tc>
        <w:tc>
          <w:tcPr>
            <w:tcW w:type="dxa" w:w="2088"/>
            <w:vAlign w:val="center"/>
            <w:tcMar>
              <w:top w:w="70" w:type="dxa"/>
              <w:start w:w="80" w:type="dxa"/>
              <w:bottom w:w="70" w:type="dxa"/>
              <w:end w:w="80" w:type="dxa"/>
            </w:tcMar>
            <w:shd w:fill="F8F9FA"/>
          </w:tcPr>
          <w:p>
            <w:pPr>
              <w:spacing w:after="0"/>
            </w:pPr>
            <w:r/>
            <w:r>
              <w:rPr>
                <w:rFonts w:ascii="Arial" w:hAnsi="Arial"/>
                <w:b w:val="0"/>
                <w:sz w:val="14"/>
              </w:rPr>
              <w:t>BR-SEC</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AP-03, AP-04, AP-05</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ADR-004 to ADR-007, ADR-017</w:t>
            </w:r>
          </w:p>
        </w:tc>
        <w:tc>
          <w:tcPr>
            <w:tcW w:type="dxa" w:w="1152"/>
            <w:vAlign w:val="center"/>
            <w:tcMar>
              <w:top w:w="70" w:type="dxa"/>
              <w:start w:w="80" w:type="dxa"/>
              <w:bottom w:w="70" w:type="dxa"/>
              <w:end w:w="80" w:type="dxa"/>
            </w:tcMar>
            <w:shd w:fill="F8F9FA"/>
          </w:tcPr>
          <w:p>
            <w:pPr>
              <w:spacing w:after="0"/>
            </w:pPr>
            <w:r/>
            <w:r>
              <w:rPr>
                <w:rFonts w:ascii="Arial" w:hAnsi="Arial"/>
                <w:b w:val="0"/>
                <w:sz w:val="14"/>
              </w:rPr>
              <w:t>Phases 1–6</w:t>
            </w:r>
          </w:p>
        </w:tc>
      </w:tr>
      <w:tr>
        <w:tc>
          <w:tcPr>
            <w:tcW w:type="dxa" w:w="1872"/>
            <w:vAlign w:val="center"/>
            <w:tcMar>
              <w:top w:w="70" w:type="dxa"/>
              <w:start w:w="80" w:type="dxa"/>
              <w:bottom w:w="70" w:type="dxa"/>
              <w:end w:w="80" w:type="dxa"/>
            </w:tcMar>
          </w:tcPr>
          <w:p>
            <w:pPr>
              <w:spacing w:after="0"/>
            </w:pPr>
            <w:r/>
            <w:r>
              <w:rPr>
                <w:rFonts w:ascii="Arial" w:hAnsi="Arial"/>
                <w:b w:val="0"/>
                <w:sz w:val="14"/>
              </w:rPr>
              <w:t>Data products and mesh</w:t>
            </w:r>
          </w:p>
        </w:tc>
        <w:tc>
          <w:tcPr>
            <w:tcW w:type="dxa" w:w="1656"/>
            <w:vAlign w:val="center"/>
            <w:tcMar>
              <w:top w:w="70" w:type="dxa"/>
              <w:start w:w="80" w:type="dxa"/>
              <w:bottom w:w="70" w:type="dxa"/>
              <w:end w:w="80" w:type="dxa"/>
            </w:tcMar>
          </w:tcPr>
          <w:p>
            <w:pPr>
              <w:spacing w:after="0"/>
            </w:pPr>
            <w:r/>
            <w:r>
              <w:rPr>
                <w:rFonts w:ascii="Arial" w:hAnsi="Arial"/>
                <w:b w:val="0"/>
                <w:sz w:val="14"/>
              </w:rPr>
              <w:t>BD-07</w:t>
            </w:r>
          </w:p>
        </w:tc>
        <w:tc>
          <w:tcPr>
            <w:tcW w:type="dxa" w:w="2088"/>
            <w:vAlign w:val="center"/>
            <w:tcMar>
              <w:top w:w="70" w:type="dxa"/>
              <w:start w:w="80" w:type="dxa"/>
              <w:bottom w:w="70" w:type="dxa"/>
              <w:end w:w="80" w:type="dxa"/>
            </w:tcMar>
          </w:tcPr>
          <w:p>
            <w:pPr>
              <w:spacing w:after="0"/>
            </w:pPr>
            <w:r/>
            <w:r>
              <w:rPr>
                <w:rFonts w:ascii="Arial" w:hAnsi="Arial"/>
                <w:b w:val="0"/>
                <w:sz w:val="14"/>
              </w:rPr>
              <w:t>BR-DAT, BR-GOV</w:t>
            </w:r>
          </w:p>
        </w:tc>
        <w:tc>
          <w:tcPr>
            <w:tcW w:type="dxa" w:w="2016"/>
            <w:vAlign w:val="center"/>
            <w:tcMar>
              <w:top w:w="70" w:type="dxa"/>
              <w:start w:w="80" w:type="dxa"/>
              <w:bottom w:w="70" w:type="dxa"/>
              <w:end w:w="80" w:type="dxa"/>
            </w:tcMar>
          </w:tcPr>
          <w:p>
            <w:pPr>
              <w:spacing w:after="0"/>
            </w:pPr>
            <w:r/>
            <w:r>
              <w:rPr>
                <w:rFonts w:ascii="Arial" w:hAnsi="Arial"/>
                <w:b w:val="0"/>
                <w:sz w:val="14"/>
              </w:rPr>
              <w:t>AP-02, AP-10, AP-18</w:t>
            </w:r>
          </w:p>
        </w:tc>
        <w:tc>
          <w:tcPr>
            <w:tcW w:type="dxa" w:w="2304"/>
            <w:vAlign w:val="center"/>
            <w:tcMar>
              <w:top w:w="70" w:type="dxa"/>
              <w:start w:w="80" w:type="dxa"/>
              <w:bottom w:w="70" w:type="dxa"/>
              <w:end w:w="80" w:type="dxa"/>
            </w:tcMar>
          </w:tcPr>
          <w:p>
            <w:pPr>
              <w:spacing w:after="0"/>
            </w:pPr>
            <w:r/>
            <w:r>
              <w:rPr>
                <w:rFonts w:ascii="Arial" w:hAnsi="Arial"/>
                <w:b w:val="0"/>
                <w:sz w:val="14"/>
              </w:rPr>
              <w:t>ADR-001, ADR-012, ADR-013</w:t>
            </w:r>
          </w:p>
        </w:tc>
        <w:tc>
          <w:tcPr>
            <w:tcW w:type="dxa" w:w="1152"/>
            <w:vAlign w:val="center"/>
            <w:tcMar>
              <w:top w:w="70" w:type="dxa"/>
              <w:start w:w="80" w:type="dxa"/>
              <w:bottom w:w="70" w:type="dxa"/>
              <w:end w:w="80" w:type="dxa"/>
            </w:tcMar>
          </w:tcPr>
          <w:p>
            <w:pPr>
              <w:spacing w:after="0"/>
            </w:pPr>
            <w:r/>
            <w:r>
              <w:rPr>
                <w:rFonts w:ascii="Arial" w:hAnsi="Arial"/>
                <w:b w:val="0"/>
                <w:sz w:val="14"/>
              </w:rPr>
              <w:t>Phases 2–4</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AI readiness</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BD-08</w:t>
            </w:r>
          </w:p>
        </w:tc>
        <w:tc>
          <w:tcPr>
            <w:tcW w:type="dxa" w:w="2088"/>
            <w:vAlign w:val="center"/>
            <w:tcMar>
              <w:top w:w="70" w:type="dxa"/>
              <w:start w:w="80" w:type="dxa"/>
              <w:bottom w:w="70" w:type="dxa"/>
              <w:end w:w="80" w:type="dxa"/>
            </w:tcMar>
            <w:shd w:fill="F8F9FA"/>
          </w:tcPr>
          <w:p>
            <w:pPr>
              <w:spacing w:after="0"/>
            </w:pPr>
            <w:r/>
            <w:r>
              <w:rPr>
                <w:rFonts w:ascii="Arial" w:hAnsi="Arial"/>
                <w:b w:val="0"/>
                <w:sz w:val="14"/>
              </w:rPr>
              <w:t>BR-AI</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AP-03, AP-19</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ADR-015, ADR-017</w:t>
            </w:r>
          </w:p>
        </w:tc>
        <w:tc>
          <w:tcPr>
            <w:tcW w:type="dxa" w:w="1152"/>
            <w:vAlign w:val="center"/>
            <w:tcMar>
              <w:top w:w="70" w:type="dxa"/>
              <w:start w:w="80" w:type="dxa"/>
              <w:bottom w:w="70" w:type="dxa"/>
              <w:end w:w="80" w:type="dxa"/>
            </w:tcMar>
            <w:shd w:fill="F8F9FA"/>
          </w:tcPr>
          <w:p>
            <w:pPr>
              <w:spacing w:after="0"/>
            </w:pPr>
            <w:r/>
            <w:r>
              <w:rPr>
                <w:rFonts w:ascii="Arial" w:hAnsi="Arial"/>
                <w:b w:val="0"/>
                <w:sz w:val="14"/>
              </w:rPr>
              <w:t>Phases 3–6</w:t>
            </w:r>
          </w:p>
        </w:tc>
      </w:tr>
      <w:tr>
        <w:tc>
          <w:tcPr>
            <w:tcW w:type="dxa" w:w="1872"/>
            <w:vAlign w:val="center"/>
            <w:tcMar>
              <w:top w:w="70" w:type="dxa"/>
              <w:start w:w="80" w:type="dxa"/>
              <w:bottom w:w="70" w:type="dxa"/>
              <w:end w:w="80" w:type="dxa"/>
            </w:tcMar>
          </w:tcPr>
          <w:p>
            <w:pPr>
              <w:spacing w:after="0"/>
            </w:pPr>
            <w:r/>
            <w:r>
              <w:rPr>
                <w:rFonts w:ascii="Arial" w:hAnsi="Arial"/>
                <w:b w:val="0"/>
                <w:sz w:val="14"/>
              </w:rPr>
              <w:t>Reliability</w:t>
            </w:r>
          </w:p>
        </w:tc>
        <w:tc>
          <w:tcPr>
            <w:tcW w:type="dxa" w:w="1656"/>
            <w:vAlign w:val="center"/>
            <w:tcMar>
              <w:top w:w="70" w:type="dxa"/>
              <w:start w:w="80" w:type="dxa"/>
              <w:bottom w:w="70" w:type="dxa"/>
              <w:end w:w="80" w:type="dxa"/>
            </w:tcMar>
          </w:tcPr>
          <w:p>
            <w:pPr>
              <w:spacing w:after="0"/>
            </w:pPr>
            <w:r/>
            <w:r>
              <w:rPr>
                <w:rFonts w:ascii="Arial" w:hAnsi="Arial"/>
                <w:b w:val="0"/>
                <w:sz w:val="14"/>
              </w:rPr>
              <w:t>BD-09</w:t>
            </w:r>
          </w:p>
        </w:tc>
        <w:tc>
          <w:tcPr>
            <w:tcW w:type="dxa" w:w="2088"/>
            <w:vAlign w:val="center"/>
            <w:tcMar>
              <w:top w:w="70" w:type="dxa"/>
              <w:start w:w="80" w:type="dxa"/>
              <w:bottom w:w="70" w:type="dxa"/>
              <w:end w:w="80" w:type="dxa"/>
            </w:tcMar>
          </w:tcPr>
          <w:p>
            <w:pPr>
              <w:spacing w:after="0"/>
            </w:pPr>
            <w:r/>
            <w:r>
              <w:rPr>
                <w:rFonts w:ascii="Arial" w:hAnsi="Arial"/>
                <w:b w:val="0"/>
                <w:sz w:val="14"/>
              </w:rPr>
              <w:t>BR-OPS and NFR-AVL/DR</w:t>
            </w:r>
          </w:p>
        </w:tc>
        <w:tc>
          <w:tcPr>
            <w:tcW w:type="dxa" w:w="2016"/>
            <w:vAlign w:val="center"/>
            <w:tcMar>
              <w:top w:w="70" w:type="dxa"/>
              <w:start w:w="80" w:type="dxa"/>
              <w:bottom w:w="70" w:type="dxa"/>
              <w:end w:w="80" w:type="dxa"/>
            </w:tcMar>
          </w:tcPr>
          <w:p>
            <w:pPr>
              <w:spacing w:after="0"/>
            </w:pPr>
            <w:r/>
            <w:r>
              <w:rPr>
                <w:rFonts w:ascii="Arial" w:hAnsi="Arial"/>
                <w:b w:val="0"/>
                <w:sz w:val="14"/>
              </w:rPr>
              <w:t>AP-12, AP-13</w:t>
            </w:r>
          </w:p>
        </w:tc>
        <w:tc>
          <w:tcPr>
            <w:tcW w:type="dxa" w:w="2304"/>
            <w:vAlign w:val="center"/>
            <w:tcMar>
              <w:top w:w="70" w:type="dxa"/>
              <w:start w:w="80" w:type="dxa"/>
              <w:bottom w:w="70" w:type="dxa"/>
              <w:end w:w="80" w:type="dxa"/>
            </w:tcMar>
          </w:tcPr>
          <w:p>
            <w:pPr>
              <w:spacing w:after="0"/>
            </w:pPr>
            <w:r/>
            <w:r>
              <w:rPr>
                <w:rFonts w:ascii="Arial" w:hAnsi="Arial"/>
                <w:b w:val="0"/>
                <w:sz w:val="14"/>
              </w:rPr>
              <w:t>ADR-018, ADR-020</w:t>
            </w:r>
          </w:p>
        </w:tc>
        <w:tc>
          <w:tcPr>
            <w:tcW w:type="dxa" w:w="1152"/>
            <w:vAlign w:val="center"/>
            <w:tcMar>
              <w:top w:w="70" w:type="dxa"/>
              <w:start w:w="80" w:type="dxa"/>
              <w:bottom w:w="70" w:type="dxa"/>
              <w:end w:w="80" w:type="dxa"/>
            </w:tcMar>
          </w:tcPr>
          <w:p>
            <w:pPr>
              <w:spacing w:after="0"/>
            </w:pPr>
            <w:r/>
            <w:r>
              <w:rPr>
                <w:rFonts w:ascii="Arial" w:hAnsi="Arial"/>
                <w:b w:val="0"/>
                <w:sz w:val="14"/>
              </w:rPr>
              <w:t>Phases 2–6</w:t>
            </w:r>
          </w:p>
        </w:tc>
      </w:tr>
      <w:tr>
        <w:tc>
          <w:tcPr>
            <w:tcW w:type="dxa" w:w="1872"/>
            <w:vAlign w:val="center"/>
            <w:tcMar>
              <w:top w:w="70" w:type="dxa"/>
              <w:start w:w="80" w:type="dxa"/>
              <w:bottom w:w="70" w:type="dxa"/>
              <w:end w:w="80" w:type="dxa"/>
            </w:tcMar>
            <w:shd w:fill="F8F9FA"/>
          </w:tcPr>
          <w:p>
            <w:pPr>
              <w:spacing w:after="0"/>
            </w:pPr>
            <w:r/>
            <w:r>
              <w:rPr>
                <w:rFonts w:ascii="Arial" w:hAnsi="Arial"/>
                <w:b w:val="0"/>
                <w:sz w:val="14"/>
              </w:rPr>
              <w:t>Cost and sustainability</w:t>
            </w:r>
          </w:p>
        </w:tc>
        <w:tc>
          <w:tcPr>
            <w:tcW w:type="dxa" w:w="1656"/>
            <w:vAlign w:val="center"/>
            <w:tcMar>
              <w:top w:w="70" w:type="dxa"/>
              <w:start w:w="80" w:type="dxa"/>
              <w:bottom w:w="70" w:type="dxa"/>
              <w:end w:w="80" w:type="dxa"/>
            </w:tcMar>
            <w:shd w:fill="F8F9FA"/>
          </w:tcPr>
          <w:p>
            <w:pPr>
              <w:spacing w:after="0"/>
            </w:pPr>
            <w:r/>
            <w:r>
              <w:rPr>
                <w:rFonts w:ascii="Arial" w:hAnsi="Arial"/>
                <w:b w:val="0"/>
                <w:sz w:val="14"/>
              </w:rPr>
              <w:t>BD-10</w:t>
            </w:r>
          </w:p>
        </w:tc>
        <w:tc>
          <w:tcPr>
            <w:tcW w:type="dxa" w:w="2088"/>
            <w:vAlign w:val="center"/>
            <w:tcMar>
              <w:top w:w="70" w:type="dxa"/>
              <w:start w:w="80" w:type="dxa"/>
              <w:bottom w:w="70" w:type="dxa"/>
              <w:end w:w="80" w:type="dxa"/>
            </w:tcMar>
            <w:shd w:fill="F8F9FA"/>
          </w:tcPr>
          <w:p>
            <w:pPr>
              <w:spacing w:after="0"/>
            </w:pPr>
            <w:r/>
            <w:r>
              <w:rPr>
                <w:rFonts w:ascii="Arial" w:hAnsi="Arial"/>
                <w:b w:val="0"/>
                <w:sz w:val="14"/>
              </w:rPr>
              <w:t>BR-OPS and NFR-CST</w:t>
            </w:r>
          </w:p>
        </w:tc>
        <w:tc>
          <w:tcPr>
            <w:tcW w:type="dxa" w:w="2016"/>
            <w:vAlign w:val="center"/>
            <w:tcMar>
              <w:top w:w="70" w:type="dxa"/>
              <w:start w:w="80" w:type="dxa"/>
              <w:bottom w:w="70" w:type="dxa"/>
              <w:end w:w="80" w:type="dxa"/>
            </w:tcMar>
            <w:shd w:fill="F8F9FA"/>
          </w:tcPr>
          <w:p>
            <w:pPr>
              <w:spacing w:after="0"/>
            </w:pPr>
            <w:r/>
            <w:r>
              <w:rPr>
                <w:rFonts w:ascii="Arial" w:hAnsi="Arial"/>
                <w:b w:val="0"/>
                <w:sz w:val="14"/>
              </w:rPr>
              <w:t>AP-06, AP-14, AP-16</w:t>
            </w:r>
          </w:p>
        </w:tc>
        <w:tc>
          <w:tcPr>
            <w:tcW w:type="dxa" w:w="2304"/>
            <w:vAlign w:val="center"/>
            <w:tcMar>
              <w:top w:w="70" w:type="dxa"/>
              <w:start w:w="80" w:type="dxa"/>
              <w:bottom w:w="70" w:type="dxa"/>
              <w:end w:w="80" w:type="dxa"/>
            </w:tcMar>
            <w:shd w:fill="F8F9FA"/>
          </w:tcPr>
          <w:p>
            <w:pPr>
              <w:spacing w:after="0"/>
            </w:pPr>
            <w:r/>
            <w:r>
              <w:rPr>
                <w:rFonts w:ascii="Arial" w:hAnsi="Arial"/>
                <w:b w:val="0"/>
                <w:sz w:val="14"/>
              </w:rPr>
              <w:t>ADR-019</w:t>
            </w:r>
          </w:p>
        </w:tc>
        <w:tc>
          <w:tcPr>
            <w:tcW w:type="dxa" w:w="1152"/>
            <w:vAlign w:val="center"/>
            <w:tcMar>
              <w:top w:w="70" w:type="dxa"/>
              <w:start w:w="80" w:type="dxa"/>
              <w:bottom w:w="70" w:type="dxa"/>
              <w:end w:w="80" w:type="dxa"/>
            </w:tcMar>
            <w:shd w:fill="F8F9FA"/>
          </w:tcPr>
          <w:p>
            <w:pPr>
              <w:spacing w:after="0"/>
            </w:pPr>
            <w:r/>
            <w:r>
              <w:rPr>
                <w:rFonts w:ascii="Arial" w:hAnsi="Arial"/>
                <w:b w:val="0"/>
                <w:sz w:val="14"/>
              </w:rPr>
              <w:t>Phases 1–6</w:t>
            </w:r>
          </w:p>
        </w:tc>
      </w:tr>
    </w:tbl>
    <w:p>
      <w:pPr>
        <w:spacing w:after="20"/>
      </w:pPr>
    </w:p>
    <w:p>
      <w:pPr>
        <w:pStyle w:val="Heading1"/>
      </w:pPr>
      <w:r>
        <w:t>Appendix E.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70" w:type="dxa"/>
              <w:start w:w="80" w:type="dxa"/>
              <w:bottom w:w="70" w:type="dxa"/>
              <w:end w:w="80" w:type="dxa"/>
            </w:tcMar>
            <w:shd w:fill="1A73E8"/>
          </w:tcPr>
          <w:p>
            <w:pPr>
              <w:spacing w:after="0"/>
            </w:pPr>
            <w:r/>
            <w:r>
              <w:rPr>
                <w:rFonts w:ascii="Arial" w:hAnsi="Arial"/>
                <w:b/>
                <w:color w:val="FFFFFF"/>
                <w:sz w:val="16"/>
              </w:rPr>
              <w:t>Term</w:t>
            </w:r>
          </w:p>
        </w:tc>
        <w:tc>
          <w:tcPr>
            <w:tcW w:type="dxa" w:w="7200"/>
            <w:vAlign w:val="center"/>
            <w:tcMar>
              <w:top w:w="70" w:type="dxa"/>
              <w:start w:w="80" w:type="dxa"/>
              <w:bottom w:w="70" w:type="dxa"/>
              <w:end w:w="80" w:type="dxa"/>
            </w:tcMar>
            <w:shd w:fill="1A73E8"/>
          </w:tcPr>
          <w:p>
            <w:pPr>
              <w:spacing w:after="0"/>
            </w:pPr>
            <w:r/>
            <w:r>
              <w:rPr>
                <w:rFonts w:ascii="Arial" w:hAnsi="Arial"/>
                <w:b/>
                <w:color w:val="FFFFFF"/>
                <w:sz w:val="16"/>
              </w:rPr>
              <w:t>Definition</w:t>
            </w:r>
          </w:p>
        </w:tc>
      </w:tr>
      <w:tr>
        <w:tc>
          <w:tcPr>
            <w:tcW w:type="dxa" w:w="2880"/>
            <w:vAlign w:val="center"/>
            <w:tcMar>
              <w:top w:w="70" w:type="dxa"/>
              <w:start w:w="80" w:type="dxa"/>
              <w:bottom w:w="70" w:type="dxa"/>
              <w:end w:w="80" w:type="dxa"/>
            </w:tcMar>
          </w:tcPr>
          <w:p>
            <w:pPr>
              <w:spacing w:after="0"/>
            </w:pPr>
            <w:r/>
            <w:r>
              <w:rPr>
                <w:rFonts w:ascii="Arial" w:hAnsi="Arial"/>
                <w:b w:val="0"/>
                <w:sz w:val="15"/>
              </w:rPr>
              <w:t>ADR</w:t>
            </w:r>
          </w:p>
        </w:tc>
        <w:tc>
          <w:tcPr>
            <w:tcW w:type="dxa" w:w="7200"/>
            <w:vAlign w:val="center"/>
            <w:tcMar>
              <w:top w:w="70" w:type="dxa"/>
              <w:start w:w="80" w:type="dxa"/>
              <w:bottom w:w="70" w:type="dxa"/>
              <w:end w:w="80" w:type="dxa"/>
            </w:tcMar>
          </w:tcPr>
          <w:p>
            <w:pPr>
              <w:spacing w:after="0"/>
            </w:pPr>
            <w:r/>
            <w:r>
              <w:rPr>
                <w:rFonts w:ascii="Arial" w:hAnsi="Arial"/>
                <w:b w:val="0"/>
                <w:sz w:val="15"/>
              </w:rPr>
              <w:t>Architecture Decision Record.</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AI-ready</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Data, security, operating and delivery capabilities that support governed AI—not merely access to a model API.</w:t>
            </w:r>
          </w:p>
        </w:tc>
      </w:tr>
      <w:tr>
        <w:tc>
          <w:tcPr>
            <w:tcW w:type="dxa" w:w="2880"/>
            <w:vAlign w:val="center"/>
            <w:tcMar>
              <w:top w:w="70" w:type="dxa"/>
              <w:start w:w="80" w:type="dxa"/>
              <w:bottom w:w="70" w:type="dxa"/>
              <w:end w:w="80" w:type="dxa"/>
            </w:tcMar>
          </w:tcPr>
          <w:p>
            <w:pPr>
              <w:spacing w:after="0"/>
            </w:pPr>
            <w:r/>
            <w:r>
              <w:rPr>
                <w:rFonts w:ascii="Arial" w:hAnsi="Arial"/>
                <w:b w:val="0"/>
                <w:sz w:val="15"/>
              </w:rPr>
              <w:t>Authoritative source</w:t>
            </w:r>
          </w:p>
        </w:tc>
        <w:tc>
          <w:tcPr>
            <w:tcW w:type="dxa" w:w="7200"/>
            <w:vAlign w:val="center"/>
            <w:tcMar>
              <w:top w:w="70" w:type="dxa"/>
              <w:start w:w="80" w:type="dxa"/>
              <w:bottom w:w="70" w:type="dxa"/>
              <w:end w:w="80" w:type="dxa"/>
            </w:tcMar>
          </w:tcPr>
          <w:p>
            <w:pPr>
              <w:spacing w:after="0"/>
            </w:pPr>
            <w:r/>
            <w:r>
              <w:rPr>
                <w:rFonts w:ascii="Arial" w:hAnsi="Arial"/>
                <w:b w:val="0"/>
                <w:sz w:val="15"/>
              </w:rPr>
              <w:t>The approved system or product that owns a fact at a defined business boundary.</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CMEK</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Customer-managed encryption key controlled through Cloud KMS or supported key-management pattern.</w:t>
            </w:r>
          </w:p>
        </w:tc>
      </w:tr>
      <w:tr>
        <w:tc>
          <w:tcPr>
            <w:tcW w:type="dxa" w:w="2880"/>
            <w:vAlign w:val="center"/>
            <w:tcMar>
              <w:top w:w="70" w:type="dxa"/>
              <w:start w:w="80" w:type="dxa"/>
              <w:bottom w:w="70" w:type="dxa"/>
              <w:end w:w="80" w:type="dxa"/>
            </w:tcMar>
          </w:tcPr>
          <w:p>
            <w:pPr>
              <w:spacing w:after="0"/>
            </w:pPr>
            <w:r/>
            <w:r>
              <w:rPr>
                <w:rFonts w:ascii="Arial" w:hAnsi="Arial"/>
                <w:b w:val="0"/>
                <w:sz w:val="15"/>
              </w:rPr>
              <w:t>Data contract</w:t>
            </w:r>
          </w:p>
        </w:tc>
        <w:tc>
          <w:tcPr>
            <w:tcW w:type="dxa" w:w="7200"/>
            <w:vAlign w:val="center"/>
            <w:tcMar>
              <w:top w:w="70" w:type="dxa"/>
              <w:start w:w="80" w:type="dxa"/>
              <w:bottom w:w="70" w:type="dxa"/>
              <w:end w:w="80" w:type="dxa"/>
            </w:tcMar>
          </w:tcPr>
          <w:p>
            <w:pPr>
              <w:spacing w:after="0"/>
            </w:pPr>
            <w:r/>
            <w:r>
              <w:rPr>
                <w:rFonts w:ascii="Arial" w:hAnsi="Arial"/>
                <w:b w:val="0"/>
                <w:sz w:val="15"/>
              </w:rPr>
              <w:t>Versioned agreement covering schema, semantics, quality, SLO, classification and change behavior.</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Data mesh</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Operating and architecture approach based on domain ownership, data as product, self-service platform and federated governance.</w:t>
            </w:r>
          </w:p>
        </w:tc>
      </w:tr>
      <w:tr>
        <w:tc>
          <w:tcPr>
            <w:tcW w:type="dxa" w:w="2880"/>
            <w:vAlign w:val="center"/>
            <w:tcMar>
              <w:top w:w="70" w:type="dxa"/>
              <w:start w:w="80" w:type="dxa"/>
              <w:bottom w:w="70" w:type="dxa"/>
              <w:end w:w="80" w:type="dxa"/>
            </w:tcMar>
          </w:tcPr>
          <w:p>
            <w:pPr>
              <w:spacing w:after="0"/>
            </w:pPr>
            <w:r/>
            <w:r>
              <w:rPr>
                <w:rFonts w:ascii="Arial" w:hAnsi="Arial"/>
                <w:b w:val="0"/>
                <w:sz w:val="15"/>
              </w:rPr>
              <w:t>Data product</w:t>
            </w:r>
          </w:p>
        </w:tc>
        <w:tc>
          <w:tcPr>
            <w:tcW w:type="dxa" w:w="7200"/>
            <w:vAlign w:val="center"/>
            <w:tcMar>
              <w:top w:w="70" w:type="dxa"/>
              <w:start w:w="80" w:type="dxa"/>
              <w:bottom w:w="70" w:type="dxa"/>
              <w:end w:w="80" w:type="dxa"/>
            </w:tcMar>
          </w:tcPr>
          <w:p>
            <w:pPr>
              <w:spacing w:after="0"/>
            </w:pPr>
            <w:r/>
            <w:r>
              <w:rPr>
                <w:rFonts w:ascii="Arial" w:hAnsi="Arial"/>
                <w:b w:val="0"/>
                <w:sz w:val="15"/>
              </w:rPr>
              <w:t>A discoverable, owned, supported and governed data interface that serves defined consumers.</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Error budget</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The permitted unreliability implied by an SLO, used to balance change and stabilization.</w:t>
            </w:r>
          </w:p>
        </w:tc>
      </w:tr>
      <w:tr>
        <w:tc>
          <w:tcPr>
            <w:tcW w:type="dxa" w:w="2880"/>
            <w:vAlign w:val="center"/>
            <w:tcMar>
              <w:top w:w="70" w:type="dxa"/>
              <w:start w:w="80" w:type="dxa"/>
              <w:bottom w:w="70" w:type="dxa"/>
              <w:end w:w="80" w:type="dxa"/>
            </w:tcMar>
          </w:tcPr>
          <w:p>
            <w:pPr>
              <w:spacing w:after="0"/>
            </w:pPr>
            <w:r/>
            <w:r>
              <w:rPr>
                <w:rFonts w:ascii="Arial" w:hAnsi="Arial"/>
                <w:b w:val="0"/>
                <w:sz w:val="15"/>
              </w:rPr>
              <w:t>Golden path</w:t>
            </w:r>
          </w:p>
        </w:tc>
        <w:tc>
          <w:tcPr>
            <w:tcW w:type="dxa" w:w="7200"/>
            <w:vAlign w:val="center"/>
            <w:tcMar>
              <w:top w:w="70" w:type="dxa"/>
              <w:start w:w="80" w:type="dxa"/>
              <w:bottom w:w="70" w:type="dxa"/>
              <w:end w:w="80" w:type="dxa"/>
            </w:tcMar>
          </w:tcPr>
          <w:p>
            <w:pPr>
              <w:spacing w:after="0"/>
            </w:pPr>
            <w:r/>
            <w:r>
              <w:rPr>
                <w:rFonts w:ascii="Arial" w:hAnsi="Arial"/>
                <w:b w:val="0"/>
                <w:sz w:val="15"/>
              </w:rPr>
              <w:t>Approved reusable implementation pattern designed to be the easiest compliant route.</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Knowledge Catalog</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Google Cloud's metadata, discovery and governance capability; formerly Dataplex Universal Catalog.</w:t>
            </w:r>
          </w:p>
        </w:tc>
      </w:tr>
      <w:tr>
        <w:tc>
          <w:tcPr>
            <w:tcW w:type="dxa" w:w="2880"/>
            <w:vAlign w:val="center"/>
            <w:tcMar>
              <w:top w:w="70" w:type="dxa"/>
              <w:start w:w="80" w:type="dxa"/>
              <w:bottom w:w="70" w:type="dxa"/>
              <w:end w:w="80" w:type="dxa"/>
            </w:tcMar>
          </w:tcPr>
          <w:p>
            <w:pPr>
              <w:spacing w:after="0"/>
            </w:pPr>
            <w:r/>
            <w:r>
              <w:rPr>
                <w:rFonts w:ascii="Arial" w:hAnsi="Arial"/>
                <w:b w:val="0"/>
                <w:sz w:val="15"/>
              </w:rPr>
              <w:t>Lakehouse</w:t>
            </w:r>
          </w:p>
        </w:tc>
        <w:tc>
          <w:tcPr>
            <w:tcW w:type="dxa" w:w="7200"/>
            <w:vAlign w:val="center"/>
            <w:tcMar>
              <w:top w:w="70" w:type="dxa"/>
              <w:start w:w="80" w:type="dxa"/>
              <w:bottom w:w="70" w:type="dxa"/>
              <w:end w:w="80" w:type="dxa"/>
            </w:tcMar>
          </w:tcPr>
          <w:p>
            <w:pPr>
              <w:spacing w:after="0"/>
            </w:pPr>
            <w:r/>
            <w:r>
              <w:rPr>
                <w:rFonts w:ascii="Arial" w:hAnsi="Arial"/>
                <w:b w:val="0"/>
                <w:sz w:val="15"/>
              </w:rPr>
              <w:t>Architecture combining open object-storage data with warehouse-style management and analytics capabilities.</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Managed Service for Apache Airflow</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Google Cloud's managed Airflow orchestration service; formerly named Cloud Composer.</w:t>
            </w:r>
          </w:p>
        </w:tc>
      </w:tr>
      <w:tr>
        <w:tc>
          <w:tcPr>
            <w:tcW w:type="dxa" w:w="2880"/>
            <w:vAlign w:val="center"/>
            <w:tcMar>
              <w:top w:w="70" w:type="dxa"/>
              <w:start w:w="80" w:type="dxa"/>
              <w:bottom w:w="70" w:type="dxa"/>
              <w:end w:w="80" w:type="dxa"/>
            </w:tcMar>
          </w:tcPr>
          <w:p>
            <w:pPr>
              <w:spacing w:after="0"/>
            </w:pPr>
            <w:r/>
            <w:r>
              <w:rPr>
                <w:rFonts w:ascii="Arial" w:hAnsi="Arial"/>
                <w:b w:val="0"/>
                <w:sz w:val="15"/>
              </w:rPr>
              <w:t>RAG</w:t>
            </w:r>
          </w:p>
        </w:tc>
        <w:tc>
          <w:tcPr>
            <w:tcW w:type="dxa" w:w="7200"/>
            <w:vAlign w:val="center"/>
            <w:tcMar>
              <w:top w:w="70" w:type="dxa"/>
              <w:start w:w="80" w:type="dxa"/>
              <w:bottom w:w="70" w:type="dxa"/>
              <w:end w:w="80" w:type="dxa"/>
            </w:tcMar>
          </w:tcPr>
          <w:p>
            <w:pPr>
              <w:spacing w:after="0"/>
            </w:pPr>
            <w:r/>
            <w:r>
              <w:rPr>
                <w:rFonts w:ascii="Arial" w:hAnsi="Arial"/>
                <w:b w:val="0"/>
                <w:sz w:val="15"/>
              </w:rPr>
              <w:t>Retrieval-augmented generation, which grounds model output in retrieved enterprise or external content.</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Residency zone</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A governed geography and region pattern in which data may be stored, processed and recovered.</w:t>
            </w:r>
          </w:p>
        </w:tc>
      </w:tr>
      <w:tr>
        <w:tc>
          <w:tcPr>
            <w:tcW w:type="dxa" w:w="2880"/>
            <w:vAlign w:val="center"/>
            <w:tcMar>
              <w:top w:w="70" w:type="dxa"/>
              <w:start w:w="80" w:type="dxa"/>
              <w:bottom w:w="70" w:type="dxa"/>
              <w:end w:w="80" w:type="dxa"/>
            </w:tcMar>
          </w:tcPr>
          <w:p>
            <w:pPr>
              <w:spacing w:after="0"/>
            </w:pPr>
            <w:r/>
            <w:r>
              <w:rPr>
                <w:rFonts w:ascii="Arial" w:hAnsi="Arial"/>
                <w:b w:val="0"/>
                <w:sz w:val="15"/>
              </w:rPr>
              <w:t>Service tier</w:t>
            </w:r>
          </w:p>
        </w:tc>
        <w:tc>
          <w:tcPr>
            <w:tcW w:type="dxa" w:w="7200"/>
            <w:vAlign w:val="center"/>
            <w:tcMar>
              <w:top w:w="70" w:type="dxa"/>
              <w:start w:w="80" w:type="dxa"/>
              <w:bottom w:w="70" w:type="dxa"/>
              <w:end w:w="80" w:type="dxa"/>
            </w:tcMar>
          </w:tcPr>
          <w:p>
            <w:pPr>
              <w:spacing w:after="0"/>
            </w:pPr>
            <w:r/>
            <w:r>
              <w:rPr>
                <w:rFonts w:ascii="Arial" w:hAnsi="Arial"/>
                <w:b w:val="0"/>
                <w:sz w:val="15"/>
              </w:rPr>
              <w:t>Business-impact category that determines SLO, support, control and recovery requirements.</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SLI</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Service Level Indicator: a measured aspect of service or product behavior.</w:t>
            </w:r>
          </w:p>
        </w:tc>
      </w:tr>
      <w:tr>
        <w:tc>
          <w:tcPr>
            <w:tcW w:type="dxa" w:w="2880"/>
            <w:vAlign w:val="center"/>
            <w:tcMar>
              <w:top w:w="70" w:type="dxa"/>
              <w:start w:w="80" w:type="dxa"/>
              <w:bottom w:w="70" w:type="dxa"/>
              <w:end w:w="80" w:type="dxa"/>
            </w:tcMar>
          </w:tcPr>
          <w:p>
            <w:pPr>
              <w:spacing w:after="0"/>
            </w:pPr>
            <w:r/>
            <w:r>
              <w:rPr>
                <w:rFonts w:ascii="Arial" w:hAnsi="Arial"/>
                <w:b w:val="0"/>
                <w:sz w:val="15"/>
              </w:rPr>
              <w:t>SLO</w:t>
            </w:r>
          </w:p>
        </w:tc>
        <w:tc>
          <w:tcPr>
            <w:tcW w:type="dxa" w:w="7200"/>
            <w:vAlign w:val="center"/>
            <w:tcMar>
              <w:top w:w="70" w:type="dxa"/>
              <w:start w:w="80" w:type="dxa"/>
              <w:bottom w:w="70" w:type="dxa"/>
              <w:end w:w="80" w:type="dxa"/>
            </w:tcMar>
          </w:tcPr>
          <w:p>
            <w:pPr>
              <w:spacing w:after="0"/>
            </w:pPr>
            <w:r/>
            <w:r>
              <w:rPr>
                <w:rFonts w:ascii="Arial" w:hAnsi="Arial"/>
                <w:b w:val="0"/>
                <w:sz w:val="15"/>
              </w:rPr>
              <w:t>Service Level Objective: a target value or range for an SLI.</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VPC SC</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VPC Service Controls, a managed-service perimeter control used to reduce data-exfiltration risk for supported services.</w:t>
            </w:r>
          </w:p>
        </w:tc>
      </w:tr>
      <w:tr>
        <w:tc>
          <w:tcPr>
            <w:tcW w:type="dxa" w:w="2880"/>
            <w:vAlign w:val="center"/>
            <w:tcMar>
              <w:top w:w="70" w:type="dxa"/>
              <w:start w:w="80" w:type="dxa"/>
              <w:bottom w:w="70" w:type="dxa"/>
              <w:end w:w="80" w:type="dxa"/>
            </w:tcMar>
          </w:tcPr>
          <w:p>
            <w:pPr>
              <w:spacing w:after="0"/>
            </w:pPr>
            <w:r/>
            <w:r>
              <w:rPr>
                <w:rFonts w:ascii="Arial" w:hAnsi="Arial"/>
                <w:b w:val="0"/>
                <w:sz w:val="15"/>
              </w:rPr>
              <w:t>WIF</w:t>
            </w:r>
          </w:p>
        </w:tc>
        <w:tc>
          <w:tcPr>
            <w:tcW w:type="dxa" w:w="7200"/>
            <w:vAlign w:val="center"/>
            <w:tcMar>
              <w:top w:w="70" w:type="dxa"/>
              <w:start w:w="80" w:type="dxa"/>
              <w:bottom w:w="70" w:type="dxa"/>
              <w:end w:w="80" w:type="dxa"/>
            </w:tcMar>
          </w:tcPr>
          <w:p>
            <w:pPr>
              <w:spacing w:after="0"/>
            </w:pPr>
            <w:r/>
            <w:r>
              <w:rPr>
                <w:rFonts w:ascii="Arial" w:hAnsi="Arial"/>
                <w:b w:val="0"/>
                <w:sz w:val="15"/>
              </w:rPr>
              <w:t>Workforce or Workload Identity Federation, depending on context; used to access Google Cloud without long-lived keys.</w:t>
            </w:r>
          </w:p>
        </w:tc>
      </w:tr>
      <w:tr>
        <w:tc>
          <w:tcPr>
            <w:tcW w:type="dxa" w:w="2880"/>
            <w:vAlign w:val="center"/>
            <w:tcMar>
              <w:top w:w="70" w:type="dxa"/>
              <w:start w:w="80" w:type="dxa"/>
              <w:bottom w:w="70" w:type="dxa"/>
              <w:end w:w="80" w:type="dxa"/>
            </w:tcMar>
            <w:shd w:fill="F8F9FA"/>
          </w:tcPr>
          <w:p>
            <w:pPr>
              <w:spacing w:after="0"/>
            </w:pPr>
            <w:r/>
            <w:r>
              <w:rPr>
                <w:rFonts w:ascii="Arial" w:hAnsi="Arial"/>
                <w:b w:val="0"/>
                <w:sz w:val="15"/>
              </w:rPr>
              <w:t>Zero Trust</w:t>
            </w:r>
          </w:p>
        </w:tc>
        <w:tc>
          <w:tcPr>
            <w:tcW w:type="dxa" w:w="7200"/>
            <w:vAlign w:val="center"/>
            <w:tcMar>
              <w:top w:w="70" w:type="dxa"/>
              <w:start w:w="80" w:type="dxa"/>
              <w:bottom w:w="70" w:type="dxa"/>
              <w:end w:w="80" w:type="dxa"/>
            </w:tcMar>
            <w:shd w:fill="F8F9FA"/>
          </w:tcPr>
          <w:p>
            <w:pPr>
              <w:spacing w:after="0"/>
            </w:pPr>
            <w:r/>
            <w:r>
              <w:rPr>
                <w:rFonts w:ascii="Arial" w:hAnsi="Arial"/>
                <w:b w:val="0"/>
                <w:sz w:val="15"/>
              </w:rPr>
              <w:t>Access model based on explicit identity and context verification, least privilege and continuous evaluation.</w:t>
            </w:r>
          </w:p>
        </w:tc>
      </w:tr>
    </w:tbl>
    <w:p>
      <w:pPr>
        <w:spacing w:after="20"/>
      </w:pPr>
    </w:p>
    <w:p>
      <w:pPr>
        <w:pStyle w:val="Heading1"/>
      </w:pPr>
      <w:r>
        <w:t>Appendix F. Authoritative Reference Set</w:t>
      </w:r>
    </w:p>
    <w:p>
      <w:r>
        <w:t>Detailed designs must validate current behavior against official documentation. The following reference set informed the blueprint baseline and should be reviewed during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320"/>
            <w:vAlign w:val="center"/>
            <w:tcMar>
              <w:top w:w="70" w:type="dxa"/>
              <w:start w:w="80" w:type="dxa"/>
              <w:bottom w:w="70" w:type="dxa"/>
              <w:end w:w="80" w:type="dxa"/>
            </w:tcMar>
            <w:shd w:fill="1A73E8"/>
          </w:tcPr>
          <w:p>
            <w:pPr>
              <w:spacing w:after="0"/>
            </w:pPr>
            <w:r/>
            <w:r>
              <w:rPr>
                <w:rFonts w:ascii="Arial" w:hAnsi="Arial"/>
                <w:b/>
                <w:color w:val="FFFFFF"/>
                <w:sz w:val="16"/>
              </w:rPr>
              <w:t>Reference</w:t>
            </w:r>
          </w:p>
        </w:tc>
        <w:tc>
          <w:tcPr>
            <w:tcW w:type="dxa" w:w="5760"/>
            <w:vAlign w:val="center"/>
            <w:tcMar>
              <w:top w:w="70" w:type="dxa"/>
              <w:start w:w="80" w:type="dxa"/>
              <w:bottom w:w="70" w:type="dxa"/>
              <w:end w:w="80" w:type="dxa"/>
            </w:tcMar>
            <w:shd w:fill="1A73E8"/>
          </w:tcPr>
          <w:p>
            <w:pPr>
              <w:spacing w:after="0"/>
            </w:pPr>
            <w:r/>
            <w:r>
              <w:rPr>
                <w:rFonts w:ascii="Arial" w:hAnsi="Arial"/>
                <w:b/>
                <w:color w:val="FFFFFF"/>
                <w:sz w:val="16"/>
              </w:rPr>
              <w:t>Official location</w:t>
            </w:r>
          </w:p>
        </w:tc>
      </w:tr>
      <w:tr>
        <w:tc>
          <w:tcPr>
            <w:tcW w:type="dxa" w:w="4320"/>
            <w:vAlign w:val="center"/>
            <w:tcMar>
              <w:top w:w="70" w:type="dxa"/>
              <w:start w:w="80" w:type="dxa"/>
              <w:bottom w:w="70" w:type="dxa"/>
              <w:end w:w="80" w:type="dxa"/>
            </w:tcMar>
          </w:tcPr>
          <w:p>
            <w:pPr>
              <w:spacing w:after="0"/>
            </w:pPr>
            <w:r/>
            <w:r>
              <w:rPr>
                <w:rFonts w:ascii="Arial" w:hAnsi="Arial"/>
                <w:b w:val="0"/>
                <w:sz w:val="15"/>
              </w:rPr>
              <w:t>Google Cloud Architecture Framework</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https://cloud.google.com/architecture/framework</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Google Cloud enterprise foundations blueprint</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https://cloud.google.com/architecture/security-foundations</w:t>
            </w:r>
          </w:p>
        </w:tc>
      </w:tr>
      <w:tr>
        <w:tc>
          <w:tcPr>
            <w:tcW w:type="dxa" w:w="4320"/>
            <w:vAlign w:val="center"/>
            <w:tcMar>
              <w:top w:w="70" w:type="dxa"/>
              <w:start w:w="80" w:type="dxa"/>
              <w:bottom w:w="70" w:type="dxa"/>
              <w:end w:w="80" w:type="dxa"/>
            </w:tcMar>
          </w:tcPr>
          <w:p>
            <w:pPr>
              <w:spacing w:after="0"/>
            </w:pPr>
            <w:r/>
            <w:r>
              <w:rPr>
                <w:rFonts w:ascii="Arial" w:hAnsi="Arial"/>
                <w:b w:val="0"/>
                <w:sz w:val="15"/>
              </w:rPr>
              <w:t>Google Cloud landing zone design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https://cloud.google.com/architecture/landing-zones</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Google Cloud Adoption Framework</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https://cloud.google.com/adoption-framework</w:t>
            </w:r>
          </w:p>
        </w:tc>
      </w:tr>
      <w:tr>
        <w:tc>
          <w:tcPr>
            <w:tcW w:type="dxa" w:w="4320"/>
            <w:vAlign w:val="center"/>
            <w:tcMar>
              <w:top w:w="70" w:type="dxa"/>
              <w:start w:w="80" w:type="dxa"/>
              <w:bottom w:w="70" w:type="dxa"/>
              <w:end w:w="80" w:type="dxa"/>
            </w:tcMar>
          </w:tcPr>
          <w:p>
            <w:pPr>
              <w:spacing w:after="0"/>
            </w:pPr>
            <w:r/>
            <w:r>
              <w:rPr>
                <w:rFonts w:ascii="Arial" w:hAnsi="Arial"/>
                <w:b w:val="0"/>
                <w:sz w:val="15"/>
              </w:rPr>
              <w:t>BigQuery documentation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https://cloud.google.com/bigquery/docs</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Cloud Storage documentation</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https://cloud.google.com/storage/docs</w:t>
            </w:r>
          </w:p>
        </w:tc>
      </w:tr>
      <w:tr>
        <w:tc>
          <w:tcPr>
            <w:tcW w:type="dxa" w:w="4320"/>
            <w:vAlign w:val="center"/>
            <w:tcMar>
              <w:top w:w="70" w:type="dxa"/>
              <w:start w:w="80" w:type="dxa"/>
              <w:bottom w:w="70" w:type="dxa"/>
              <w:end w:w="80" w:type="dxa"/>
            </w:tcMar>
          </w:tcPr>
          <w:p>
            <w:pPr>
              <w:spacing w:after="0"/>
            </w:pPr>
            <w:r/>
            <w:r>
              <w:rPr>
                <w:rFonts w:ascii="Arial" w:hAnsi="Arial"/>
                <w:b w:val="0"/>
                <w:sz w:val="15"/>
              </w:rPr>
              <w:t>BigLake documentation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https://cloud.google.com/bigquery/docs/biglake-intro</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Pub/Sub documentation</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https://cloud.google.com/pubsub/docs</w:t>
            </w:r>
          </w:p>
        </w:tc>
      </w:tr>
      <w:tr>
        <w:tc>
          <w:tcPr>
            <w:tcW w:type="dxa" w:w="4320"/>
            <w:vAlign w:val="center"/>
            <w:tcMar>
              <w:top w:w="70" w:type="dxa"/>
              <w:start w:w="80" w:type="dxa"/>
              <w:bottom w:w="70" w:type="dxa"/>
              <w:end w:w="80" w:type="dxa"/>
            </w:tcMar>
          </w:tcPr>
          <w:p>
            <w:pPr>
              <w:spacing w:after="0"/>
            </w:pPr>
            <w:r/>
            <w:r>
              <w:rPr>
                <w:rFonts w:ascii="Arial" w:hAnsi="Arial"/>
                <w:b w:val="0"/>
                <w:sz w:val="15"/>
              </w:rPr>
              <w:t>Dataflow documentation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https://cloud.google.com/dataflow/docs</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Datastream documentation</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https://cloud.google.com/datastream/docs</w:t>
            </w:r>
          </w:p>
        </w:tc>
      </w:tr>
      <w:tr>
        <w:tc>
          <w:tcPr>
            <w:tcW w:type="dxa" w:w="4320"/>
            <w:vAlign w:val="center"/>
            <w:tcMar>
              <w:top w:w="70" w:type="dxa"/>
              <w:start w:w="80" w:type="dxa"/>
              <w:bottom w:w="70" w:type="dxa"/>
              <w:end w:w="80" w:type="dxa"/>
            </w:tcMar>
          </w:tcPr>
          <w:p>
            <w:pPr>
              <w:spacing w:after="0"/>
            </w:pPr>
            <w:r/>
            <w:r>
              <w:rPr>
                <w:rFonts w:ascii="Arial" w:hAnsi="Arial"/>
                <w:b w:val="0"/>
                <w:sz w:val="15"/>
              </w:rPr>
              <w:t>Dataform documentation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https://cloud.google.com/dataform/docs</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Managed Service for Apache Airflow documentation</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https://cloud.google.com/composer/docs</w:t>
            </w:r>
          </w:p>
        </w:tc>
      </w:tr>
      <w:tr>
        <w:tc>
          <w:tcPr>
            <w:tcW w:type="dxa" w:w="4320"/>
            <w:vAlign w:val="center"/>
            <w:tcMar>
              <w:top w:w="70" w:type="dxa"/>
              <w:start w:w="80" w:type="dxa"/>
              <w:bottom w:w="70" w:type="dxa"/>
              <w:end w:w="80" w:type="dxa"/>
            </w:tcMar>
          </w:tcPr>
          <w:p>
            <w:pPr>
              <w:spacing w:after="0"/>
            </w:pPr>
            <w:r/>
            <w:r>
              <w:rPr>
                <w:rFonts w:ascii="Arial" w:hAnsi="Arial"/>
                <w:b w:val="0"/>
                <w:sz w:val="15"/>
              </w:rPr>
              <w:t>Knowledge Catalog and Dataplex documentation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https://cloud.google.com/dataplex/docs</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Vertex AI documentation</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https://cloud.google.com/vertex-ai/docs</w:t>
            </w:r>
          </w:p>
        </w:tc>
      </w:tr>
      <w:tr>
        <w:tc>
          <w:tcPr>
            <w:tcW w:type="dxa" w:w="4320"/>
            <w:vAlign w:val="center"/>
            <w:tcMar>
              <w:top w:w="70" w:type="dxa"/>
              <w:start w:w="80" w:type="dxa"/>
              <w:bottom w:w="70" w:type="dxa"/>
              <w:end w:w="80" w:type="dxa"/>
            </w:tcMar>
          </w:tcPr>
          <w:p>
            <w:pPr>
              <w:spacing w:after="0"/>
            </w:pPr>
            <w:r/>
            <w:r>
              <w:rPr>
                <w:rFonts w:ascii="Arial" w:hAnsi="Arial"/>
                <w:b w:val="0"/>
                <w:sz w:val="15"/>
              </w:rPr>
              <w:t>VPC Service Controls documentation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https://cloud.google.com/vpc-service-controls/docs</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Cloud KMS documentation</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https://cloud.google.com/kms/docs</w:t>
            </w:r>
          </w:p>
        </w:tc>
      </w:tr>
      <w:tr>
        <w:tc>
          <w:tcPr>
            <w:tcW w:type="dxa" w:w="4320"/>
            <w:vAlign w:val="center"/>
            <w:tcMar>
              <w:top w:w="70" w:type="dxa"/>
              <w:start w:w="80" w:type="dxa"/>
              <w:bottom w:w="70" w:type="dxa"/>
              <w:end w:w="80" w:type="dxa"/>
            </w:tcMar>
          </w:tcPr>
          <w:p>
            <w:pPr>
              <w:spacing w:after="0"/>
            </w:pPr>
            <w:r/>
            <w:r>
              <w:rPr>
                <w:rFonts w:ascii="Arial" w:hAnsi="Arial"/>
                <w:b w:val="0"/>
                <w:sz w:val="15"/>
              </w:rPr>
              <w:t>Sensitive Data Protection documentation</w:t>
            </w:r>
          </w:p>
        </w:tc>
        <w:tc>
          <w:tcPr>
            <w:tcW w:type="dxa" w:w="5760"/>
            <w:vAlign w:val="center"/>
            <w:tcMar>
              <w:top w:w="70" w:type="dxa"/>
              <w:start w:w="80" w:type="dxa"/>
              <w:bottom w:w="70" w:type="dxa"/>
              <w:end w:w="80" w:type="dxa"/>
            </w:tcMar>
          </w:tcPr>
          <w:p>
            <w:pPr>
              <w:spacing w:after="0"/>
            </w:pPr>
            <w:r/>
            <w:r>
              <w:rPr>
                <w:rFonts w:ascii="Arial" w:hAnsi="Arial"/>
                <w:b w:val="0"/>
                <w:sz w:val="15"/>
              </w:rPr>
              <w:t>https://cloud.google.com/sensitive-data-protection/docs</w:t>
            </w:r>
          </w:p>
        </w:tc>
      </w:tr>
      <w:tr>
        <w:tc>
          <w:tcPr>
            <w:tcW w:type="dxa" w:w="4320"/>
            <w:vAlign w:val="center"/>
            <w:tcMar>
              <w:top w:w="70" w:type="dxa"/>
              <w:start w:w="80" w:type="dxa"/>
              <w:bottom w:w="70" w:type="dxa"/>
              <w:end w:w="80" w:type="dxa"/>
            </w:tcMar>
            <w:shd w:fill="F8F9FA"/>
          </w:tcPr>
          <w:p>
            <w:pPr>
              <w:spacing w:after="0"/>
            </w:pPr>
            <w:r/>
            <w:r>
              <w:rPr>
                <w:rFonts w:ascii="Arial" w:hAnsi="Arial"/>
                <w:b w:val="0"/>
                <w:sz w:val="15"/>
              </w:rPr>
              <w:t>Cloud Monitoring and Logging documentation</w:t>
            </w:r>
          </w:p>
        </w:tc>
        <w:tc>
          <w:tcPr>
            <w:tcW w:type="dxa" w:w="5760"/>
            <w:vAlign w:val="center"/>
            <w:tcMar>
              <w:top w:w="70" w:type="dxa"/>
              <w:start w:w="80" w:type="dxa"/>
              <w:bottom w:w="70" w:type="dxa"/>
              <w:end w:w="80" w:type="dxa"/>
            </w:tcMar>
            <w:shd w:fill="F8F9FA"/>
          </w:tcPr>
          <w:p>
            <w:pPr>
              <w:spacing w:after="0"/>
            </w:pPr>
            <w:r/>
            <w:r>
              <w:rPr>
                <w:rFonts w:ascii="Arial" w:hAnsi="Arial"/>
                <w:b w:val="0"/>
                <w:sz w:val="15"/>
              </w:rPr>
              <w:t>https://cloud.google.com/monitoring/docs</w:t>
            </w:r>
          </w:p>
        </w:tc>
      </w:tr>
      <w:tr>
        <w:tc>
          <w:tcPr>
            <w:tcW w:type="dxa" w:w="4320"/>
            <w:vAlign w:val="center"/>
            <w:tcMar>
              <w:top w:w="70" w:type="dxa"/>
              <w:start w:w="80" w:type="dxa"/>
              <w:bottom w:w="70" w:type="dxa"/>
              <w:end w:w="80" w:type="dxa"/>
            </w:tcMar>
          </w:tcPr>
          <w:p>
            <w:pPr>
              <w:spacing w:after="0"/>
            </w:pPr>
            <w:r/>
            <w:r>
              <w:rPr>
                <w:rFonts w:ascii="Arial" w:hAnsi="Arial"/>
                <w:b w:val="0"/>
                <w:sz w:val="15"/>
              </w:rPr>
              <w:t>FinOps Foundation Framework</w:t>
            </w:r>
          </w:p>
        </w:tc>
        <w:tc>
          <w:tcPr>
            <w:tcW w:type="dxa" w:w="5760"/>
            <w:vAlign w:val="center"/>
            <w:tcMar>
              <w:top w:w="70" w:type="dxa"/>
              <w:start w:w="80" w:type="dxa"/>
              <w:bottom w:w="70" w:type="dxa"/>
              <w:end w:w="80" w:type="dxa"/>
            </w:tcMar>
          </w:tcPr>
          <w:p>
            <w:pPr>
              <w:spacing w:after="0"/>
            </w:pPr>
            <w:r/>
            <w:r>
              <w:rPr>
                <w:rFonts w:ascii="Arial" w:hAnsi="Arial"/>
                <w:b w:val="0"/>
                <w:sz w:val="15"/>
              </w:rPr>
              <w:t>https://www.finops.org/framework/</w:t>
            </w:r>
          </w:p>
        </w:tc>
      </w:tr>
    </w:tbl>
    <w:p>
      <w:pPr>
        <w:spacing w:after="20"/>
      </w:pPr>
    </w:p>
    <w:p>
      <w:r>
        <w:t>Product names, quotas, regional availability, previews, pricing, SLAs, CMEK integration, VPC Service Controls support and lifecycle status can change. Implementation teams must confirm the exact feature and region in current official documentation and record material findings in solution ADRs.</w:t>
      </w:r>
    </w:p>
    <w:p>
      <w:pPr>
        <w:pStyle w:val="Heading1"/>
      </w:pPr>
      <w:r>
        <w:t>Appendix G. Document Completion Statement</w:t>
      </w:r>
    </w:p>
    <w:tbl>
      <w:tblPr>
        <w:tblW w:type="auto" w:w="0"/>
        <w:jc w:val="center"/>
        <w:tblLook w:firstColumn="1" w:firstRow="1" w:lastColumn="0" w:lastRow="0" w:noHBand="0" w:noVBand="1" w:val="04A0"/>
      </w:tblPr>
      <w:tblGrid>
        <w:gridCol w:w="10166"/>
      </w:tblGrid>
      <w:tr>
        <w:tc>
          <w:tcPr>
            <w:tcW w:type="dxa" w:w="10166"/>
            <w:shd w:fill="E6F4EA"/>
            <w:tcMar>
              <w:top w:w="120" w:type="dxa"/>
              <w:start w:w="140" w:type="dxa"/>
              <w:bottom w:w="120" w:type="dxa"/>
              <w:end w:w="140" w:type="dxa"/>
            </w:tcMar>
          </w:tcPr>
          <w:p>
            <w:pPr>
              <w:spacing w:after="80"/>
            </w:pPr>
            <w:r>
              <w:rPr>
                <w:rFonts w:ascii="Arial" w:hAnsi="Arial"/>
                <w:b/>
                <w:color w:val="1A73E8"/>
                <w:sz w:val="20"/>
              </w:rPr>
              <w:t>Volume 01 completion</w:t>
            </w:r>
          </w:p>
          <w:p>
            <w:pPr>
              <w:pStyle w:val="BodyText"/>
              <w:spacing w:after="0"/>
            </w:pPr>
            <w:r>
              <w:t>This volume establishes the executive architecture baseline, measurable requirements, non-functional targets, principles, strategic reference architecture, technology defaults, decision records, capability model, roadmap, operating model, risk register and assurance approach. Detailed implementation specifications are delegated to the subsequent blueprint volumes while remaining governed by the decisions in this document.</w:t>
            </w:r>
          </w:p>
        </w:tc>
      </w:tr>
    </w:tbl>
    <w:p>
      <w:pPr>
        <w:spacing w:after="20"/>
      </w:pPr>
    </w:p>
    <w:sectPr w:rsidR="00FC693F" w:rsidRPr="0006063C" w:rsidSect="00034616">
      <w:headerReference w:type="default" r:id="rId9"/>
      <w:footerReference w:type="default" r:id="rId10"/>
      <w:pgSz w:w="12240" w:h="15840"/>
      <w:pgMar w:top="1037"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vAlign w:val="center"/>
          <w:tcMar>
            <w:top w:w="70" w:type="dxa"/>
            <w:start w:w="80" w:type="dxa"/>
            <w:bottom w:w="70" w:type="dxa"/>
            <w:end w:w="80" w:type="dxa"/>
          </w:tcMar>
        </w:tcPr>
        <w:p>
          <w:pPr>
            <w:spacing w:after="0"/>
          </w:pPr>
          <w:r/>
          <w:r>
            <w:rPr>
              <w:rFonts w:ascii="Arial" w:hAnsi="Arial"/>
              <w:b w:val="0"/>
              <w:sz w:val="15"/>
            </w:rPr>
            <w:t>Confidential - Reference Architecture</w:t>
          </w:r>
        </w:p>
      </w:tc>
      <w:tc>
        <w:tcPr>
          <w:tcW w:type="dxa" w:w="3360"/>
          <w:vAlign w:val="center"/>
          <w:tcMar>
            <w:top w:w="70" w:type="dxa"/>
            <w:start w:w="80" w:type="dxa"/>
            <w:bottom w:w="70" w:type="dxa"/>
            <w:end w:w="80" w:type="dxa"/>
          </w:tcMar>
        </w:tcPr>
        <w:p>
          <w:pPr>
            <w:spacing w:after="0"/>
            <w:jc w:val="center"/>
          </w:pPr>
          <w:r/>
          <w:r>
            <w:rPr>
              <w:rFonts w:ascii="Arial" w:hAnsi="Arial"/>
              <w:b/>
              <w:sz w:val="15"/>
            </w:rPr>
            <w:t>Volume 01</w:t>
          </w:r>
        </w:p>
      </w:tc>
      <w:tc>
        <w:tcPr>
          <w:tcW w:type="dxa" w:w="3360"/>
          <w:vAlign w:val="center"/>
          <w:tcMar>
            <w:top w:w="70" w:type="dxa"/>
            <w:start w:w="80" w:type="dxa"/>
            <w:bottom w:w="70" w:type="dxa"/>
            <w:end w:w="80" w:type="dxa"/>
          </w:tcMar>
        </w:tcPr>
        <w:p>
          <w:pPr>
            <w:spacing w:after="0"/>
            <w:jc w:val="right"/>
          </w:pPr>
          <w:r/>
          <w:r>
            <w:rPr>
              <w:rFonts w:ascii="Arial" w:hAnsi="Arial"/>
              <w:b w:val="0"/>
              <w:sz w:val="15"/>
            </w:rPr>
            <w:t>Architecture Baseline 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368"/>
        <w:sz w:val="16"/>
      </w:rPr>
      <w:t>Enterprise Google Cloud Data Platform Blueprint | Volume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4EA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85ABC"/>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A73E8"/>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3C404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4EA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5F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69" w:lineRule="auto"/>
    </w:pPr>
    <w:rPr>
      <w:rFonts w:ascii="Arial" w:hAnsi="Arial"/>
      <w:color w:val="3C404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