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A73E8"/>
          <w:sz w:val="56"/>
        </w:rPr>
        <w:t>Enterprise Google Cloud</w:t>
        <w:br/>
        <w:t>Data Platform Blueprint</w:t>
      </w:r>
    </w:p>
    <w:p>
      <w:pPr>
        <w:jc w:val="center"/>
      </w:pPr>
      <w:r>
        <w:rPr>
          <w:b/>
          <w:color w:val="5F6368"/>
          <w:sz w:val="36"/>
        </w:rPr>
        <w:t>VOLUME 10</w:t>
      </w:r>
    </w:p>
    <w:p>
      <w:pPr>
        <w:jc w:val="center"/>
      </w:pPr>
      <w:r>
        <w:rPr>
          <w:b/>
          <w:color w:val="174EA6"/>
          <w:sz w:val="48"/>
        </w:rPr>
        <w:t>FinOps and Cost Governance</w:t>
      </w:r>
    </w:p>
    <w:p>
      <w:pPr>
        <w:spacing w:before="360"/>
        <w:jc w:val="center"/>
      </w:pPr>
      <w:r>
        <w:rPr>
          <w:sz w:val="24"/>
        </w:rPr>
        <w:t>Enterprise Reference Architecture and Implementation Blueprint</w:t>
        <w:br/>
        <w:t>Architecture Baseline 1.0 | 12 July 2026</w:t>
      </w:r>
    </w:p>
    <w:p>
      <w:pPr>
        <w:spacing w:before="720"/>
        <w:jc w:val="center"/>
      </w:pPr>
      <w:r>
        <w:rPr>
          <w:color w:val="5F6368"/>
          <w:sz w:val="16"/>
        </w:rPr>
        <w:t>Classification: Enterprise architecture reference. Validate current Google Cloud capabilities, commercial terms, regional availability, quotas and pricing calculator inputs before implementation.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top"/>
            <w:tcMar>
              <w:top w:w="80" w:type="dxa"/>
              <w:start w:w="80" w:type="dxa"/>
              <w:bottom w:w="80" w:type="dxa"/>
              <w:end w:w="80" w:type="dxa"/>
            </w:tcMar>
            <w:shd w:fill="1A73E8"/>
          </w:tcPr>
          <w:p>
            <w:pPr>
              <w:spacing w:after="0"/>
            </w:pPr>
            <w:r/>
            <w:r>
              <w:rPr>
                <w:rFonts w:ascii="Aptos" w:hAnsi="Aptos"/>
                <w:b/>
                <w:color w:val="FFFFFF"/>
                <w:sz w:val="16"/>
              </w:rPr>
              <w:t>Field</w:t>
            </w:r>
          </w:p>
        </w:tc>
        <w:tc>
          <w:tcPr>
            <w:tcW w:type="dxa" w:w="7488"/>
            <w:vAlign w:val="top"/>
            <w:tcMar>
              <w:top w:w="80" w:type="dxa"/>
              <w:start w:w="80" w:type="dxa"/>
              <w:bottom w:w="80" w:type="dxa"/>
              <w:end w:w="80" w:type="dxa"/>
            </w:tcMar>
            <w:shd w:fill="1A73E8"/>
          </w:tcPr>
          <w:p>
            <w:pPr>
              <w:spacing w:after="0"/>
            </w:pPr>
            <w:r/>
            <w:r>
              <w:rPr>
                <w:rFonts w:ascii="Aptos" w:hAnsi="Aptos"/>
                <w:b/>
                <w:color w:val="FFFFFF"/>
                <w:sz w:val="16"/>
              </w:rPr>
              <w:t>Value</w:t>
            </w:r>
          </w:p>
        </w:tc>
      </w:tr>
      <w:tr>
        <w:tc>
          <w:tcPr>
            <w:tcW w:type="dxa" w:w="2160"/>
            <w:vAlign w:val="top"/>
            <w:tcMar>
              <w:top w:w="80" w:type="dxa"/>
              <w:start w:w="80" w:type="dxa"/>
              <w:bottom w:w="80" w:type="dxa"/>
              <w:end w:w="80" w:type="dxa"/>
            </w:tcMar>
          </w:tcPr>
          <w:p>
            <w:pPr>
              <w:spacing w:after="0"/>
            </w:pPr>
            <w:r/>
            <w:r>
              <w:rPr>
                <w:rFonts w:ascii="Aptos" w:hAnsi="Aptos"/>
                <w:b w:val="0"/>
                <w:sz w:val="16"/>
              </w:rPr>
              <w:t>Document</w:t>
            </w:r>
          </w:p>
        </w:tc>
        <w:tc>
          <w:tcPr>
            <w:tcW w:type="dxa" w:w="7488"/>
            <w:vAlign w:val="top"/>
            <w:tcMar>
              <w:top w:w="80" w:type="dxa"/>
              <w:start w:w="80" w:type="dxa"/>
              <w:bottom w:w="80" w:type="dxa"/>
              <w:end w:w="80" w:type="dxa"/>
            </w:tcMar>
          </w:tcPr>
          <w:p>
            <w:pPr>
              <w:spacing w:after="0"/>
            </w:pPr>
            <w:r/>
            <w:r>
              <w:rPr>
                <w:rFonts w:ascii="Aptos" w:hAnsi="Aptos"/>
                <w:b w:val="0"/>
                <w:sz w:val="16"/>
              </w:rPr>
              <w:t>Volume 10 - FinOps and Cost Governance</w:t>
            </w:r>
          </w:p>
        </w:tc>
      </w:tr>
      <w:tr>
        <w:tc>
          <w:tcPr>
            <w:tcW w:type="dxa" w:w="2160"/>
            <w:vAlign w:val="top"/>
            <w:tcMar>
              <w:top w:w="80" w:type="dxa"/>
              <w:start w:w="80" w:type="dxa"/>
              <w:bottom w:w="80" w:type="dxa"/>
              <w:end w:w="80" w:type="dxa"/>
            </w:tcMar>
            <w:shd w:fill="F8F9FA"/>
          </w:tcPr>
          <w:p>
            <w:pPr>
              <w:spacing w:after="0"/>
            </w:pPr>
            <w:r/>
            <w:r>
              <w:rPr>
                <w:rFonts w:ascii="Aptos" w:hAnsi="Aptos"/>
                <w:b w:val="0"/>
                <w:sz w:val="16"/>
              </w:rPr>
              <w:t>Series</w:t>
            </w:r>
          </w:p>
        </w:tc>
        <w:tc>
          <w:tcPr>
            <w:tcW w:type="dxa" w:w="7488"/>
            <w:vAlign w:val="top"/>
            <w:tcMar>
              <w:top w:w="80" w:type="dxa"/>
              <w:start w:w="80" w:type="dxa"/>
              <w:bottom w:w="80" w:type="dxa"/>
              <w:end w:w="80" w:type="dxa"/>
            </w:tcMar>
            <w:shd w:fill="F8F9FA"/>
          </w:tcPr>
          <w:p>
            <w:pPr>
              <w:spacing w:after="0"/>
            </w:pPr>
            <w:r/>
            <w:r>
              <w:rPr>
                <w:rFonts w:ascii="Aptos" w:hAnsi="Aptos"/>
                <w:b w:val="0"/>
                <w:sz w:val="16"/>
              </w:rPr>
              <w:t>Enterprise Google Cloud Data Platform Blueprint</w:t>
            </w:r>
          </w:p>
        </w:tc>
      </w:tr>
      <w:tr>
        <w:tc>
          <w:tcPr>
            <w:tcW w:type="dxa" w:w="2160"/>
            <w:vAlign w:val="top"/>
            <w:tcMar>
              <w:top w:w="80" w:type="dxa"/>
              <w:start w:w="80" w:type="dxa"/>
              <w:bottom w:w="80" w:type="dxa"/>
              <w:end w:w="80" w:type="dxa"/>
            </w:tcMar>
          </w:tcPr>
          <w:p>
            <w:pPr>
              <w:spacing w:after="0"/>
            </w:pPr>
            <w:r/>
            <w:r>
              <w:rPr>
                <w:rFonts w:ascii="Aptos" w:hAnsi="Aptos"/>
                <w:b w:val="0"/>
                <w:sz w:val="16"/>
              </w:rPr>
              <w:t>Version</w:t>
            </w:r>
          </w:p>
        </w:tc>
        <w:tc>
          <w:tcPr>
            <w:tcW w:type="dxa" w:w="7488"/>
            <w:vAlign w:val="top"/>
            <w:tcMar>
              <w:top w:w="80" w:type="dxa"/>
              <w:start w:w="80" w:type="dxa"/>
              <w:bottom w:w="80" w:type="dxa"/>
              <w:end w:w="80" w:type="dxa"/>
            </w:tcMar>
          </w:tcPr>
          <w:p>
            <w:pPr>
              <w:spacing w:after="0"/>
            </w:pPr>
            <w:r/>
            <w:r>
              <w:rPr>
                <w:rFonts w:ascii="Aptos" w:hAnsi="Aptos"/>
                <w:b w:val="0"/>
                <w:sz w:val="16"/>
              </w:rPr>
              <w:t>1.0</w:t>
            </w:r>
          </w:p>
        </w:tc>
      </w:tr>
      <w:tr>
        <w:tc>
          <w:tcPr>
            <w:tcW w:type="dxa" w:w="2160"/>
            <w:vAlign w:val="top"/>
            <w:tcMar>
              <w:top w:w="80" w:type="dxa"/>
              <w:start w:w="80" w:type="dxa"/>
              <w:bottom w:w="80" w:type="dxa"/>
              <w:end w:w="80" w:type="dxa"/>
            </w:tcMar>
            <w:shd w:fill="F8F9FA"/>
          </w:tcPr>
          <w:p>
            <w:pPr>
              <w:spacing w:after="0"/>
            </w:pPr>
            <w:r/>
            <w:r>
              <w:rPr>
                <w:rFonts w:ascii="Aptos" w:hAnsi="Aptos"/>
                <w:b w:val="0"/>
                <w:sz w:val="16"/>
              </w:rPr>
              <w:t>Status</w:t>
            </w:r>
          </w:p>
        </w:tc>
        <w:tc>
          <w:tcPr>
            <w:tcW w:type="dxa" w:w="7488"/>
            <w:vAlign w:val="top"/>
            <w:tcMar>
              <w:top w:w="80" w:type="dxa"/>
              <w:start w:w="80" w:type="dxa"/>
              <w:bottom w:w="80" w:type="dxa"/>
              <w:end w:w="80" w:type="dxa"/>
            </w:tcMar>
            <w:shd w:fill="F8F9FA"/>
          </w:tcPr>
          <w:p>
            <w:pPr>
              <w:spacing w:after="0"/>
            </w:pPr>
            <w:r/>
            <w:r>
              <w:rPr>
                <w:rFonts w:ascii="Aptos" w:hAnsi="Aptos"/>
                <w:b w:val="0"/>
                <w:sz w:val="16"/>
              </w:rPr>
              <w:t>Detailed reference architecture for adaptation and implementation</w:t>
            </w:r>
          </w:p>
        </w:tc>
      </w:tr>
      <w:tr>
        <w:tc>
          <w:tcPr>
            <w:tcW w:type="dxa" w:w="2160"/>
            <w:vAlign w:val="top"/>
            <w:tcMar>
              <w:top w:w="80" w:type="dxa"/>
              <w:start w:w="80" w:type="dxa"/>
              <w:bottom w:w="80" w:type="dxa"/>
              <w:end w:w="80" w:type="dxa"/>
            </w:tcMar>
          </w:tcPr>
          <w:p>
            <w:pPr>
              <w:spacing w:after="0"/>
            </w:pPr>
            <w:r/>
            <w:r>
              <w:rPr>
                <w:rFonts w:ascii="Aptos" w:hAnsi="Aptos"/>
                <w:b w:val="0"/>
                <w:sz w:val="16"/>
              </w:rPr>
              <w:t>Date</w:t>
            </w:r>
          </w:p>
        </w:tc>
        <w:tc>
          <w:tcPr>
            <w:tcW w:type="dxa" w:w="7488"/>
            <w:vAlign w:val="top"/>
            <w:tcMar>
              <w:top w:w="80" w:type="dxa"/>
              <w:start w:w="80" w:type="dxa"/>
              <w:bottom w:w="80" w:type="dxa"/>
              <w:end w:w="80" w:type="dxa"/>
            </w:tcMar>
          </w:tcPr>
          <w:p>
            <w:pPr>
              <w:spacing w:after="0"/>
            </w:pPr>
            <w:r/>
            <w:r>
              <w:rPr>
                <w:rFonts w:ascii="Aptos" w:hAnsi="Aptos"/>
                <w:b w:val="0"/>
                <w:sz w:val="16"/>
              </w:rPr>
              <w:t>12 July 2026</w:t>
            </w:r>
          </w:p>
        </w:tc>
      </w:tr>
      <w:tr>
        <w:tc>
          <w:tcPr>
            <w:tcW w:type="dxa" w:w="2160"/>
            <w:vAlign w:val="top"/>
            <w:tcMar>
              <w:top w:w="80" w:type="dxa"/>
              <w:start w:w="80" w:type="dxa"/>
              <w:bottom w:w="80" w:type="dxa"/>
              <w:end w:w="80" w:type="dxa"/>
            </w:tcMar>
            <w:shd w:fill="F8F9FA"/>
          </w:tcPr>
          <w:p>
            <w:pPr>
              <w:spacing w:after="0"/>
            </w:pPr>
            <w:r/>
            <w:r>
              <w:rPr>
                <w:rFonts w:ascii="Aptos" w:hAnsi="Aptos"/>
                <w:b w:val="0"/>
                <w:sz w:val="16"/>
              </w:rPr>
              <w:t>Owner</w:t>
            </w:r>
          </w:p>
        </w:tc>
        <w:tc>
          <w:tcPr>
            <w:tcW w:type="dxa" w:w="7488"/>
            <w:vAlign w:val="top"/>
            <w:tcMar>
              <w:top w:w="80" w:type="dxa"/>
              <w:start w:w="80" w:type="dxa"/>
              <w:bottom w:w="80" w:type="dxa"/>
              <w:end w:w="80" w:type="dxa"/>
            </w:tcMar>
            <w:shd w:fill="F8F9FA"/>
          </w:tcPr>
          <w:p>
            <w:pPr>
              <w:spacing w:after="0"/>
            </w:pPr>
            <w:r/>
            <w:r>
              <w:rPr>
                <w:rFonts w:ascii="Aptos" w:hAnsi="Aptos"/>
                <w:b w:val="0"/>
                <w:sz w:val="16"/>
              </w:rPr>
              <w:t>Enterprise FinOps and Cloud Economics Architecture</w:t>
            </w:r>
          </w:p>
        </w:tc>
      </w:tr>
      <w:tr>
        <w:tc>
          <w:tcPr>
            <w:tcW w:type="dxa" w:w="2160"/>
            <w:vAlign w:val="top"/>
            <w:tcMar>
              <w:top w:w="80" w:type="dxa"/>
              <w:start w:w="80" w:type="dxa"/>
              <w:bottom w:w="80" w:type="dxa"/>
              <w:end w:w="80" w:type="dxa"/>
            </w:tcMar>
          </w:tcPr>
          <w:p>
            <w:pPr>
              <w:spacing w:after="0"/>
            </w:pPr>
            <w:r/>
            <w:r>
              <w:rPr>
                <w:rFonts w:ascii="Aptos" w:hAnsi="Aptos"/>
                <w:b w:val="0"/>
                <w:sz w:val="16"/>
              </w:rPr>
              <w:t>Approvers</w:t>
            </w:r>
          </w:p>
        </w:tc>
        <w:tc>
          <w:tcPr>
            <w:tcW w:type="dxa" w:w="7488"/>
            <w:vAlign w:val="top"/>
            <w:tcMar>
              <w:top w:w="80" w:type="dxa"/>
              <w:start w:w="80" w:type="dxa"/>
              <w:bottom w:w="80" w:type="dxa"/>
              <w:end w:w="80" w:type="dxa"/>
            </w:tcMar>
          </w:tcPr>
          <w:p>
            <w:pPr>
              <w:spacing w:after="0"/>
            </w:pPr>
            <w:r/>
            <w:r>
              <w:rPr>
                <w:rFonts w:ascii="Aptos" w:hAnsi="Aptos"/>
                <w:b w:val="0"/>
                <w:sz w:val="16"/>
              </w:rPr>
              <w:t>CFO delegate, CIO, CDO, Enterprise Architecture, Cloud Platform, Finance, Procurement, Security, SRE and Domain Product Owners</w:t>
            </w:r>
          </w:p>
        </w:tc>
      </w:tr>
      <w:tr>
        <w:tc>
          <w:tcPr>
            <w:tcW w:type="dxa" w:w="2160"/>
            <w:vAlign w:val="top"/>
            <w:tcMar>
              <w:top w:w="80" w:type="dxa"/>
              <w:start w:w="80" w:type="dxa"/>
              <w:bottom w:w="80" w:type="dxa"/>
              <w:end w:w="80" w:type="dxa"/>
            </w:tcMar>
            <w:shd w:fill="F8F9FA"/>
          </w:tcPr>
          <w:p>
            <w:pPr>
              <w:spacing w:after="0"/>
            </w:pPr>
            <w:r/>
            <w:r>
              <w:rPr>
                <w:rFonts w:ascii="Aptos" w:hAnsi="Aptos"/>
                <w:b w:val="0"/>
                <w:sz w:val="16"/>
              </w:rPr>
              <w:t>Audience</w:t>
            </w:r>
          </w:p>
        </w:tc>
        <w:tc>
          <w:tcPr>
            <w:tcW w:type="dxa" w:w="7488"/>
            <w:vAlign w:val="top"/>
            <w:tcMar>
              <w:top w:w="80" w:type="dxa"/>
              <w:start w:w="80" w:type="dxa"/>
              <w:bottom w:w="80" w:type="dxa"/>
              <w:end w:w="80" w:type="dxa"/>
            </w:tcMar>
            <w:shd w:fill="F8F9FA"/>
          </w:tcPr>
          <w:p>
            <w:pPr>
              <w:spacing w:after="0"/>
            </w:pPr>
            <w:r/>
            <w:r>
              <w:rPr>
                <w:rFonts w:ascii="Aptos" w:hAnsi="Aptos"/>
                <w:b w:val="0"/>
                <w:sz w:val="16"/>
              </w:rPr>
              <w:t>Executives, finance, procurement, architects, platform and domain engineers, data-product owners, SRE, security and audit</w:t>
            </w:r>
          </w:p>
        </w:tc>
      </w:tr>
      <w:tr>
        <w:tc>
          <w:tcPr>
            <w:tcW w:type="dxa" w:w="2160"/>
            <w:vAlign w:val="top"/>
            <w:tcMar>
              <w:top w:w="80" w:type="dxa"/>
              <w:start w:w="80" w:type="dxa"/>
              <w:bottom w:w="80" w:type="dxa"/>
              <w:end w:w="80" w:type="dxa"/>
            </w:tcMar>
          </w:tcPr>
          <w:p>
            <w:pPr>
              <w:spacing w:after="0"/>
            </w:pPr>
            <w:r/>
            <w:r>
              <w:rPr>
                <w:rFonts w:ascii="Aptos" w:hAnsi="Aptos"/>
                <w:b w:val="0"/>
                <w:sz w:val="16"/>
              </w:rPr>
              <w:t>Review cycle</w:t>
            </w:r>
          </w:p>
        </w:tc>
        <w:tc>
          <w:tcPr>
            <w:tcW w:type="dxa" w:w="7488"/>
            <w:vAlign w:val="top"/>
            <w:tcMar>
              <w:top w:w="80" w:type="dxa"/>
              <w:start w:w="80" w:type="dxa"/>
              <w:bottom w:w="80" w:type="dxa"/>
              <w:end w:w="80" w:type="dxa"/>
            </w:tcMar>
          </w:tcPr>
          <w:p>
            <w:pPr>
              <w:spacing w:after="0"/>
            </w:pPr>
            <w:r/>
            <w:r>
              <w:rPr>
                <w:rFonts w:ascii="Aptos" w:hAnsi="Aptos"/>
                <w:b w:val="0"/>
                <w:sz w:val="16"/>
              </w:rPr>
              <w:t>Monthly operational review; quarterly architecture/commercial review; after material product, contract, pricing, regulatory or workload change</w:t>
            </w:r>
          </w:p>
        </w:tc>
      </w:tr>
      <w:tr>
        <w:tc>
          <w:tcPr>
            <w:tcW w:type="dxa" w:w="2160"/>
            <w:vAlign w:val="top"/>
            <w:tcMar>
              <w:top w:w="80" w:type="dxa"/>
              <w:start w:w="80" w:type="dxa"/>
              <w:bottom w:w="80" w:type="dxa"/>
              <w:end w:w="80" w:type="dxa"/>
            </w:tcMar>
            <w:shd w:fill="F8F9FA"/>
          </w:tcPr>
          <w:p>
            <w:pPr>
              <w:spacing w:after="0"/>
            </w:pPr>
            <w:r/>
            <w:r>
              <w:rPr>
                <w:rFonts w:ascii="Aptos" w:hAnsi="Aptos"/>
                <w:b w:val="0"/>
                <w:sz w:val="16"/>
              </w:rPr>
              <w:t>Primary dependencies</w:t>
            </w:r>
          </w:p>
        </w:tc>
        <w:tc>
          <w:tcPr>
            <w:tcW w:type="dxa" w:w="7488"/>
            <w:vAlign w:val="top"/>
            <w:tcMar>
              <w:top w:w="80" w:type="dxa"/>
              <w:start w:w="80" w:type="dxa"/>
              <w:bottom w:w="80" w:type="dxa"/>
              <w:end w:w="80" w:type="dxa"/>
            </w:tcMar>
            <w:shd w:fill="F8F9FA"/>
          </w:tcPr>
          <w:p>
            <w:pPr>
              <w:spacing w:after="0"/>
            </w:pPr>
            <w:r/>
            <w:r>
              <w:rPr>
                <w:rFonts w:ascii="Aptos" w:hAnsi="Aptos"/>
                <w:b w:val="0"/>
                <w:sz w:val="16"/>
              </w:rPr>
              <w:t>Volumes 01-08; Volume 09 DevSecOps as implementation dependency; Volume 11 SRE; Volume 12 DR; Volume 13 Terraform</w:t>
            </w:r>
          </w:p>
        </w:tc>
      </w:tr>
      <w:tr>
        <w:tc>
          <w:tcPr>
            <w:tcW w:type="dxa" w:w="2160"/>
            <w:vAlign w:val="top"/>
            <w:tcMar>
              <w:top w:w="80" w:type="dxa"/>
              <w:start w:w="80" w:type="dxa"/>
              <w:bottom w:w="80" w:type="dxa"/>
              <w:end w:w="80" w:type="dxa"/>
            </w:tcMar>
          </w:tcPr>
          <w:p>
            <w:pPr>
              <w:spacing w:after="0"/>
            </w:pPr>
            <w:r/>
            <w:r>
              <w:rPr>
                <w:rFonts w:ascii="Aptos" w:hAnsi="Aptos"/>
                <w:b w:val="0"/>
                <w:sz w:val="16"/>
              </w:rPr>
              <w:t>Scope</w:t>
            </w:r>
          </w:p>
        </w:tc>
        <w:tc>
          <w:tcPr>
            <w:tcW w:type="dxa" w:w="7488"/>
            <w:vAlign w:val="top"/>
            <w:tcMar>
              <w:top w:w="80" w:type="dxa"/>
              <w:start w:w="80" w:type="dxa"/>
              <w:bottom w:w="80" w:type="dxa"/>
              <w:end w:w="80" w:type="dxa"/>
            </w:tcMar>
          </w:tcPr>
          <w:p>
            <w:pPr>
              <w:spacing w:after="0"/>
            </w:pPr>
            <w:r/>
            <w:r>
              <w:rPr>
                <w:rFonts w:ascii="Aptos" w:hAnsi="Aptos"/>
                <w:b w:val="0"/>
                <w:sz w:val="16"/>
              </w:rPr>
              <w:t>FinOps operating model, billing data, allocation, budgets, forecasting, anomaly response, service optimization, unit economics, commitments and implementation assets</w:t>
            </w:r>
          </w:p>
        </w:tc>
      </w:tr>
    </w:tbl>
    <w:p>
      <w:r>
        <w:t>Guidance classification. Mandatory baseline controls are required unless a time-bound exception is approved. Recommended patterns are defaults. Conditional patterns require workload evidence. Future-state capabilities and preview features require explicit validation before production use.</w:t>
      </w:r>
    </w:p>
    <w:p>
      <w:pPr>
        <w:pStyle w:val="Heading1"/>
      </w:pPr>
      <w:r>
        <w:t>Table of Contents</w:t>
      </w:r>
    </w:p>
    <w:p>
      <w:r>
        <w:t>1. Executive Summary</w:t>
      </w:r>
    </w:p>
    <w:p>
      <w:r>
        <w:t>2. Inherited Context, Scope and Assumptions</w:t>
      </w:r>
    </w:p>
    <w:p>
      <w:r>
        <w:t>3. Enterprise FinOps Strategy</w:t>
      </w:r>
    </w:p>
    <w:p>
      <w:r>
        <w:t>4. FinOps Operating Model</w:t>
      </w:r>
    </w:p>
    <w:p>
      <w:r>
        <w:t>5. Cost Ownership and Accountability</w:t>
      </w:r>
    </w:p>
    <w:p>
      <w:r>
        <w:t>6. Billing-Account and Cost-Center Structure</w:t>
      </w:r>
    </w:p>
    <w:p>
      <w:r>
        <w:t>7. Resource Labeling and Tagging</w:t>
      </w:r>
    </w:p>
    <w:p>
      <w:r>
        <w:t>8. FinOps Data Architecture and Billing Exports</w:t>
      </w:r>
    </w:p>
    <w:p>
      <w:r>
        <w:t>9. Showback and Chargeback</w:t>
      </w:r>
    </w:p>
    <w:p>
      <w:r>
        <w:t>10. Budget Management and Alerts</w:t>
      </w:r>
    </w:p>
    <w:p>
      <w:r>
        <w:t>11. Forecasting and Cost Anomaly Detection</w:t>
      </w:r>
    </w:p>
    <w:p>
      <w:r>
        <w:t>12. Unit Economics</w:t>
      </w:r>
    </w:p>
    <w:p>
      <w:r>
        <w:t>13. BigQuery Cost Model</w:t>
      </w:r>
    </w:p>
    <w:p>
      <w:r>
        <w:t>14. BigQuery Editions, Reservations and Slot Governance</w:t>
      </w:r>
    </w:p>
    <w:p>
      <w:r>
        <w:t>15. BigQuery Query and Storage Optimization</w:t>
      </w:r>
    </w:p>
    <w:p>
      <w:r>
        <w:t>16. Cloud Storage Optimization</w:t>
      </w:r>
    </w:p>
    <w:p>
      <w:r>
        <w:t>17. Dataflow Optimization</w:t>
      </w:r>
    </w:p>
    <w:p>
      <w:r>
        <w:t>18. Dataproc Optimization</w:t>
      </w:r>
    </w:p>
    <w:p>
      <w:r>
        <w:t>19. Pub/Sub Optimization</w:t>
      </w:r>
    </w:p>
    <w:p>
      <w:r>
        <w:t>20. Network Cost Optimization</w:t>
      </w:r>
    </w:p>
    <w:p>
      <w:r>
        <w:t>21. Logging and Monitoring Cost Optimization</w:t>
      </w:r>
    </w:p>
    <w:p>
      <w:r>
        <w:t>22. Vertex AI and Gemini Cost Optimization</w:t>
      </w:r>
    </w:p>
    <w:p>
      <w:r>
        <w:t>23. Idle-Resource and Commitment Planning</w:t>
      </w:r>
    </w:p>
    <w:p>
      <w:r>
        <w:t>24. Cost Dashboards and FinOps KPIs</w:t>
      </w:r>
    </w:p>
    <w:p>
      <w:r>
        <w:t>25. Monthly and Quarterly Review Cadence</w:t>
      </w:r>
    </w:p>
    <w:p>
      <w:r>
        <w:t>26. Structured Service Assessments</w:t>
      </w:r>
    </w:p>
    <w:p>
      <w:r>
        <w:t>27. Architecture Decision Records</w:t>
      </w:r>
    </w:p>
    <w:p>
      <w:r>
        <w:t>28. Risks and Mitigations</w:t>
      </w:r>
    </w:p>
    <w:p>
      <w:r>
        <w:t>29. Implementation Roadmap</w:t>
      </w:r>
    </w:p>
    <w:p>
      <w:r>
        <w:t>30. Validation Criteria and Acceptance Tests</w:t>
      </w:r>
    </w:p>
    <w:p>
      <w:r>
        <w:t>31. Production Readiness Checklist</w:t>
      </w:r>
    </w:p>
    <w:p>
      <w:r>
        <w:t>32. Dependencies, Decisions and Next Actions</w:t>
      </w:r>
    </w:p>
    <w:p>
      <w:r>
        <w:t>33. References and Companion Assets</w:t>
      </w:r>
    </w:p>
    <w:p>
      <w:r>
        <w:br w:type="page"/>
      </w:r>
    </w:p>
    <w:p>
      <w:pPr>
        <w:pStyle w:val="Heading1"/>
      </w:pPr>
      <w:r>
        <w:t>1. Executive Summary</w:t>
      </w:r>
    </w:p>
    <w:p>
      <w:r>
        <w:t>Volume 10 defines the enterprise FinOps and cost-governance architecture for the Google Cloud data and AI platform. The objective is not simply to reduce spend. It is to create financial accountability, reliable forecasts, measurable unit economics and a continuous optimization system that protects service levels, security, privacy, resilience and business value.</w:t>
      </w:r>
    </w:p>
    <w:p>
      <w:r>
        <w:t>The target state uses Cloud Billing exports to BigQuery as a governed cost data product, supported by project and product mappings, resource labels, resource tags, service telemetry and finance master data. Direct costs are attributed to owners whenever technically possible. Shared platform costs are allocated through approved, versioned drivers. Showback precedes chargeback until data quality and dispute controls are mature.</w:t>
      </w:r>
    </w:p>
    <w:p>
      <w:r>
        <w:t>BigQuery uses a hybrid economic model: workload-isolated reservations and autoscaling for predictable production demand, and on-demand processing for low-volume or uncertain workloads. Commitments are purchased only after measured utilization and scenario analysis. Cloud Storage, Dataflow, Dataproc, Pub/Sub, networking, logging, monitoring, Vertex AI and Gemini are governed through measurable service-specific cost drivers rather than arbitrary percentage-reduction targets.</w:t>
      </w:r>
    </w:p>
    <w:p>
      <w:r>
        <w:t>This blueprint intentionally contains no current list prices. Every cost model exposes measurable variables and requires the latest Google Cloud Pricing Calculator, billing-account pricing export and contracted commercial terms. This prevents stale prices from becoming architecture assumptions.</w:t>
      </w:r>
    </w:p>
    <w:p>
      <w:pPr>
        <w:jc w:val="center"/>
      </w:pPr>
      <w:r>
        <w:drawing>
          <wp:inline xmlns:a="http://schemas.openxmlformats.org/drawingml/2006/main" xmlns:pic="http://schemas.openxmlformats.org/drawingml/2006/picture">
            <wp:extent cx="6126480" cy="3002890"/>
            <wp:docPr id="1" name="Picture 1" descr="Image: image1.png"/>
            <wp:cNvGraphicFramePr>
              <a:graphicFrameLocks noChangeAspect="1"/>
            </wp:cNvGraphicFramePr>
            <a:graphic>
              <a:graphicData uri="http://schemas.openxmlformats.org/drawingml/2006/picture">
                <pic:pic>
                  <pic:nvPicPr>
                    <pic:cNvPr id="0" name="finops_reference_architecture.png"/>
                    <pic:cNvPicPr/>
                  </pic:nvPicPr>
                  <pic:blipFill>
                    <a:blip r:embed="rId11"/>
                    <a:stretch>
                      <a:fillRect/>
                    </a:stretch>
                  </pic:blipFill>
                  <pic:spPr>
                    <a:xfrm>
                      <a:off x="0" y="0"/>
                      <a:ext cx="6126480" cy="3002890"/>
                    </a:xfrm>
                    <a:prstGeom prst="rect"/>
                  </pic:spPr>
                </pic:pic>
              </a:graphicData>
            </a:graphic>
          </wp:inline>
        </w:drawing>
      </w:r>
    </w:p>
    <w:p>
      <w:pPr>
        <w:pStyle w:val="Small"/>
        <w:jc w:val="center"/>
      </w:pPr>
      <w:r>
        <w:rPr>
          <w:i/>
        </w:rPr>
        <w:t>Figure 1 - Enterprise FinOps and cost-governance reference architecture</w:t>
      </w:r>
    </w:p>
    <w:p>
      <w:pPr>
        <w:pStyle w:val="Heading2"/>
      </w:pPr>
      <w:r>
        <w:t>1.1 Executive outcomes</w:t>
      </w:r>
    </w:p>
    <w:p>
      <w:pPr>
        <w:pStyle w:val="ListBullet"/>
      </w:pPr>
      <w:r>
        <w:t>At least 98 percent of production net cost is assigned to a valid business owner, domain and product, with the remainder visible in an unallocated remediation queue.</w:t>
      </w:r>
    </w:p>
    <w:p>
      <w:pPr>
        <w:pStyle w:val="ListBullet"/>
      </w:pPr>
      <w:r>
        <w:t>Every production product has an approved monthly budget, rolling forecast, service-tier context and named cost owner.</w:t>
      </w:r>
    </w:p>
    <w:p>
      <w:pPr>
        <w:pStyle w:val="ListBullet"/>
      </w:pPr>
      <w:r>
        <w:t>Cost anomalies and budget events enter a programmatic workflow with accountable acknowledgement and evidence of disposition.</w:t>
      </w:r>
    </w:p>
    <w:p>
      <w:pPr>
        <w:pStyle w:val="ListBullet"/>
      </w:pPr>
      <w:r>
        <w:t>Optimization decisions are expressed as quality-adjusted unit economics, not only absolute spend reduction.</w:t>
      </w:r>
    </w:p>
    <w:p>
      <w:pPr>
        <w:pStyle w:val="ListBullet"/>
      </w:pPr>
      <w:r>
        <w:t>Commitments, reservations and storage lifecycle decisions are based on measured demand and remain reversible within approved risk limits.</w:t>
      </w:r>
    </w:p>
    <w:p>
      <w:pPr>
        <w:pStyle w:val="ListBullet"/>
      </w:pPr>
      <w:r>
        <w:t>Finance can reconcile showback and chargeback statements to the governed cost ledger and invoice, including credits, adjustments and late-reported usage.</w:t>
      </w:r>
    </w:p>
    <w:p>
      <w:pPr>
        <w:pStyle w:val="Heading1"/>
      </w:pPr>
      <w:r>
        <w:t>2. Inherited Context, Scope and Assumptions</w:t>
      </w:r>
    </w:p>
    <w:p>
      <w:pPr>
        <w:pStyle w:val="Heading2"/>
      </w:pPr>
      <w:r>
        <w:t>2.1 Inherited architecture context</w:t>
      </w:r>
    </w:p>
    <w:p>
      <w:pPr>
        <w:pStyle w:val="ListBullet"/>
      </w:pPr>
      <w:r>
        <w:t>The enterprise is a global Fortune 100 organization with 10-50 PB of historical data, 50-250 TB of daily growth, billions of events and thousands of pipelines and users.</w:t>
      </w:r>
    </w:p>
    <w:p>
      <w:pPr>
        <w:pStyle w:val="ListBullet"/>
      </w:pPr>
      <w:r>
        <w:t>The platform uses AMER, EMEA and APAC regional data planes, central governance, shared platform services and federated domain-owned data products.</w:t>
      </w:r>
    </w:p>
    <w:p>
      <w:pPr>
        <w:pStyle w:val="ListBullet"/>
      </w:pPr>
      <w:r>
        <w:t>BigQuery is the primary governed analytical platform; Cloud Storage provides landing, raw, replay and archive capabilities; BigLake and Iceberg are conditional interoperability patterns.</w:t>
      </w:r>
    </w:p>
    <w:p>
      <w:pPr>
        <w:pStyle w:val="ListBullet"/>
      </w:pPr>
      <w:r>
        <w:t>Pub/Sub, Dataflow, Datastream, Dataform and Cloud Composer support ingestion and engineering; Looker provides governed analytics; Vertex AI and Gemini provide predictive and generative AI capabilities.</w:t>
      </w:r>
    </w:p>
    <w:p>
      <w:pPr>
        <w:pStyle w:val="ListBullet"/>
      </w:pPr>
      <w:r>
        <w:t>Security classifications are Public, Internal, Confidential, Restricted and Regulated. Zero Trust, VPC Service Controls, group-based IAM, workload identity, selective CMEK and centralized audit evidence remain inherited mandatory controls.</w:t>
      </w:r>
    </w:p>
    <w:p>
      <w:pPr>
        <w:pStyle w:val="ListBullet"/>
      </w:pPr>
      <w:r>
        <w:t>Tier 0, Tier 1 and Tier 2 SLO, RTO and RPO targets remain in force. A cost optimization is invalid if it causes an unapproved SLO, recovery, security or compliance regression.</w:t>
      </w:r>
    </w:p>
    <w:p>
      <w:pPr>
        <w:pStyle w:val="Heading2"/>
      </w:pPr>
      <w:r>
        <w:t>2.2 Confirmed requirements</w:t>
      </w:r>
    </w:p>
    <w:p>
      <w:pPr>
        <w:pStyle w:val="ListBullet"/>
      </w:pPr>
      <w:r>
        <w:t>Generate Volume 10 only; do not regenerate previous volumes.</w:t>
      </w:r>
    </w:p>
    <w:p>
      <w:pPr>
        <w:pStyle w:val="ListBullet"/>
      </w:pPr>
      <w:r>
        <w:t>Address all 41 FinOps and cost-governance topics in the master prompt.</w:t>
      </w:r>
    </w:p>
    <w:p>
      <w:pPr>
        <w:pStyle w:val="ListBullet"/>
      </w:pPr>
      <w:r>
        <w:t>Do not invent current product prices; use variables that can be populated from current official calculators and enterprise contract data.</w:t>
      </w:r>
    </w:p>
    <w:p>
      <w:pPr>
        <w:pStyle w:val="ListBullet"/>
      </w:pPr>
      <w:r>
        <w:t>Provide diagrams, matrices, implementation examples, service assessments, ADRs, risks, roadmap, validation criteria and production-readiness controls.</w:t>
      </w:r>
    </w:p>
    <w:p>
      <w:pPr>
        <w:pStyle w:val="Heading2"/>
      </w:pPr>
      <w:r>
        <w:t>2.3 Architecture assumptions</w:t>
      </w:r>
    </w:p>
    <w:p>
      <w:pPr>
        <w:pStyle w:val="ListBullet"/>
      </w:pPr>
      <w:r>
        <w:t>The enterprise may have multiple Cloud Billing accounts where legal entity, contract, currency, tax or reseller boundaries require them, but avoids billing-account proliferation for team-level management.</w:t>
      </w:r>
    </w:p>
    <w:p>
      <w:pPr>
        <w:pStyle w:val="ListBullet"/>
      </w:pPr>
      <w:r>
        <w:t>Cloud Billing export projects are centrally governed, use supported dataset locations and are protected as Confidential financial data.</w:t>
      </w:r>
    </w:p>
    <w:p>
      <w:pPr>
        <w:pStyle w:val="ListBullet"/>
      </w:pPr>
      <w:r>
        <w:t>An authoritative finance cost-center master, project registry, domain/product catalog and owner group directory are available or will be established as implementation dependencies.</w:t>
      </w:r>
    </w:p>
    <w:p>
      <w:pPr>
        <w:pStyle w:val="ListBullet"/>
      </w:pPr>
      <w:r>
        <w:t>Terraform and controlled CI/CD are the system of record for budgets, reservations, lifecycle policies, notification topics and policy configuration.</w:t>
      </w:r>
    </w:p>
    <w:p>
      <w:pPr>
        <w:pStyle w:val="ListBullet"/>
      </w:pPr>
      <w:r>
        <w:t>Product pricing, discounts, CUD eligibility, editions and preview capabilities are validated at implementation time and during quarterly review.</w:t>
      </w:r>
    </w:p>
    <w:p>
      <w:pPr>
        <w:pStyle w:val="Heading2"/>
      </w:pPr>
      <w:r>
        <w:t>2.4 Open decisions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92"/>
            <w:vAlign w:val="top"/>
            <w:tcMar>
              <w:top w:w="80" w:type="dxa"/>
              <w:start w:w="80" w:type="dxa"/>
              <w:bottom w:w="80" w:type="dxa"/>
              <w:end w:w="80" w:type="dxa"/>
            </w:tcMar>
            <w:shd w:fill="1A73E8"/>
          </w:tcPr>
          <w:p>
            <w:pPr>
              <w:spacing w:after="0"/>
            </w:pPr>
            <w:r/>
            <w:r>
              <w:rPr>
                <w:rFonts w:ascii="Aptos" w:hAnsi="Aptos"/>
                <w:b/>
                <w:color w:val="FFFFFF"/>
                <w:sz w:val="15"/>
              </w:rPr>
              <w:t>Decision</w:t>
            </w:r>
          </w:p>
        </w:tc>
        <w:tc>
          <w:tcPr>
            <w:tcW w:type="dxa" w:w="4032"/>
            <w:vAlign w:val="top"/>
            <w:tcMar>
              <w:top w:w="80" w:type="dxa"/>
              <w:start w:w="80" w:type="dxa"/>
              <w:bottom w:w="80" w:type="dxa"/>
              <w:end w:w="80" w:type="dxa"/>
            </w:tcMar>
            <w:shd w:fill="1A73E8"/>
          </w:tcPr>
          <w:p>
            <w:pPr>
              <w:spacing w:after="0"/>
            </w:pPr>
            <w:r/>
            <w:r>
              <w:rPr>
                <w:rFonts w:ascii="Aptos" w:hAnsi="Aptos"/>
                <w:b/>
                <w:color w:val="FFFFFF"/>
                <w:sz w:val="15"/>
              </w:rPr>
              <w:t>Required evidence</w:t>
            </w:r>
          </w:p>
        </w:tc>
        <w:tc>
          <w:tcPr>
            <w:tcW w:type="dxa" w:w="2016"/>
            <w:vAlign w:val="top"/>
            <w:tcMar>
              <w:top w:w="80" w:type="dxa"/>
              <w:start w:w="80" w:type="dxa"/>
              <w:bottom w:w="80" w:type="dxa"/>
              <w:end w:w="80" w:type="dxa"/>
            </w:tcMar>
            <w:shd w:fill="1A73E8"/>
          </w:tcPr>
          <w:p>
            <w:pPr>
              <w:spacing w:after="0"/>
            </w:pPr>
            <w:r/>
            <w:r>
              <w:rPr>
                <w:rFonts w:ascii="Aptos" w:hAnsi="Aptos"/>
                <w:b/>
                <w:color w:val="FFFFFF"/>
                <w:sz w:val="15"/>
              </w:rPr>
              <w:t>Accountable body</w:t>
            </w:r>
          </w:p>
        </w:tc>
        <w:tc>
          <w:tcPr>
            <w:tcW w:type="dxa" w:w="1728"/>
            <w:vAlign w:val="top"/>
            <w:tcMar>
              <w:top w:w="80" w:type="dxa"/>
              <w:start w:w="80" w:type="dxa"/>
              <w:bottom w:w="80" w:type="dxa"/>
              <w:end w:w="80" w:type="dxa"/>
            </w:tcMar>
            <w:shd w:fill="1A73E8"/>
          </w:tcPr>
          <w:p>
            <w:pPr>
              <w:spacing w:after="0"/>
            </w:pPr>
            <w:r/>
            <w:r>
              <w:rPr>
                <w:rFonts w:ascii="Aptos" w:hAnsi="Aptos"/>
                <w:b/>
                <w:color w:val="FFFFFF"/>
                <w:sz w:val="15"/>
              </w:rPr>
              <w:t>Due before</w:t>
            </w:r>
          </w:p>
        </w:tc>
      </w:tr>
      <w:tr>
        <w:tc>
          <w:tcPr>
            <w:tcW w:type="dxa" w:w="2592"/>
            <w:vAlign w:val="top"/>
            <w:tcMar>
              <w:top w:w="80" w:type="dxa"/>
              <w:start w:w="80" w:type="dxa"/>
              <w:bottom w:w="80" w:type="dxa"/>
              <w:end w:w="80" w:type="dxa"/>
            </w:tcMar>
          </w:tcPr>
          <w:p>
            <w:pPr>
              <w:spacing w:after="0"/>
            </w:pPr>
            <w:r/>
            <w:r>
              <w:rPr>
                <w:rFonts w:ascii="Aptos" w:hAnsi="Aptos"/>
                <w:b w:val="0"/>
                <w:sz w:val="15"/>
              </w:rPr>
              <w:t>FOCUS export adoption by billing account</w:t>
            </w:r>
          </w:p>
        </w:tc>
        <w:tc>
          <w:tcPr>
            <w:tcW w:type="dxa" w:w="4032"/>
            <w:vAlign w:val="top"/>
            <w:tcMar>
              <w:top w:w="80" w:type="dxa"/>
              <w:start w:w="80" w:type="dxa"/>
              <w:bottom w:w="80" w:type="dxa"/>
              <w:end w:w="80" w:type="dxa"/>
            </w:tcMar>
          </w:tcPr>
          <w:p>
            <w:pPr>
              <w:spacing w:after="0"/>
            </w:pPr>
            <w:r/>
            <w:r>
              <w:rPr>
                <w:rFonts w:ascii="Aptos" w:hAnsi="Aptos"/>
                <w:b w:val="0"/>
                <w:sz w:val="15"/>
              </w:rPr>
              <w:t>regional availability, schema, reconciliation and enterprise tooling compatibility</w:t>
            </w:r>
          </w:p>
        </w:tc>
        <w:tc>
          <w:tcPr>
            <w:tcW w:type="dxa" w:w="2016"/>
            <w:vAlign w:val="top"/>
            <w:tcMar>
              <w:top w:w="80" w:type="dxa"/>
              <w:start w:w="80" w:type="dxa"/>
              <w:bottom w:w="80" w:type="dxa"/>
              <w:end w:w="80" w:type="dxa"/>
            </w:tcMar>
          </w:tcPr>
          <w:p>
            <w:pPr>
              <w:spacing w:after="0"/>
            </w:pPr>
            <w:r/>
            <w:r>
              <w:rPr>
                <w:rFonts w:ascii="Aptos" w:hAnsi="Aptos"/>
                <w:b w:val="0"/>
                <w:sz w:val="15"/>
              </w:rPr>
              <w:t>Enterprise FinOps Architecture</w:t>
            </w:r>
          </w:p>
        </w:tc>
        <w:tc>
          <w:tcPr>
            <w:tcW w:type="dxa" w:w="1728"/>
            <w:vAlign w:val="top"/>
            <w:tcMar>
              <w:top w:w="80" w:type="dxa"/>
              <w:start w:w="80" w:type="dxa"/>
              <w:bottom w:w="80" w:type="dxa"/>
              <w:end w:w="80" w:type="dxa"/>
            </w:tcMar>
          </w:tcPr>
          <w:p>
            <w:pPr>
              <w:spacing w:after="0"/>
            </w:pPr>
            <w:r/>
            <w:r>
              <w:rPr>
                <w:rFonts w:ascii="Aptos" w:hAnsi="Aptos"/>
                <w:b w:val="0"/>
                <w:sz w:val="15"/>
              </w:rPr>
              <w:t>Cost data product release</w:t>
            </w:r>
          </w:p>
        </w:tc>
      </w:tr>
      <w:tr>
        <w:tc>
          <w:tcPr>
            <w:tcW w:type="dxa" w:w="2592"/>
            <w:vAlign w:val="top"/>
            <w:tcMar>
              <w:top w:w="80" w:type="dxa"/>
              <w:start w:w="80" w:type="dxa"/>
              <w:bottom w:w="80" w:type="dxa"/>
              <w:end w:w="80" w:type="dxa"/>
            </w:tcMar>
            <w:shd w:fill="F8F9FA"/>
          </w:tcPr>
          <w:p>
            <w:pPr>
              <w:spacing w:after="0"/>
            </w:pPr>
            <w:r/>
            <w:r>
              <w:rPr>
                <w:rFonts w:ascii="Aptos" w:hAnsi="Aptos"/>
                <w:b w:val="0"/>
                <w:sz w:val="15"/>
              </w:rPr>
              <w:t>Chargeback scope and start date</w:t>
            </w:r>
          </w:p>
        </w:tc>
        <w:tc>
          <w:tcPr>
            <w:tcW w:type="dxa" w:w="4032"/>
            <w:vAlign w:val="top"/>
            <w:tcMar>
              <w:top w:w="80" w:type="dxa"/>
              <w:start w:w="80" w:type="dxa"/>
              <w:bottom w:w="80" w:type="dxa"/>
              <w:end w:w="80" w:type="dxa"/>
            </w:tcMar>
            <w:shd w:fill="F8F9FA"/>
          </w:tcPr>
          <w:p>
            <w:pPr>
              <w:spacing w:after="0"/>
            </w:pPr>
            <w:r/>
            <w:r>
              <w:rPr>
                <w:rFonts w:ascii="Aptos" w:hAnsi="Aptos"/>
                <w:b w:val="0"/>
                <w:sz w:val="15"/>
              </w:rPr>
              <w:t>two stable showback cycles, dispute rate, allocation coverage and finance sign-off</w:t>
            </w:r>
          </w:p>
        </w:tc>
        <w:tc>
          <w:tcPr>
            <w:tcW w:type="dxa" w:w="2016"/>
            <w:vAlign w:val="top"/>
            <w:tcMar>
              <w:top w:w="80" w:type="dxa"/>
              <w:start w:w="80" w:type="dxa"/>
              <w:bottom w:w="80" w:type="dxa"/>
              <w:end w:w="80" w:type="dxa"/>
            </w:tcMar>
            <w:shd w:fill="F8F9FA"/>
          </w:tcPr>
          <w:p>
            <w:pPr>
              <w:spacing w:after="0"/>
            </w:pPr>
            <w:r/>
            <w:r>
              <w:rPr>
                <w:rFonts w:ascii="Aptos" w:hAnsi="Aptos"/>
                <w:b w:val="0"/>
                <w:sz w:val="15"/>
              </w:rPr>
              <w:t>FinOps Council / Finance</w:t>
            </w:r>
          </w:p>
        </w:tc>
        <w:tc>
          <w:tcPr>
            <w:tcW w:type="dxa" w:w="1728"/>
            <w:vAlign w:val="top"/>
            <w:tcMar>
              <w:top w:w="80" w:type="dxa"/>
              <w:start w:w="80" w:type="dxa"/>
              <w:bottom w:w="80" w:type="dxa"/>
              <w:end w:w="80" w:type="dxa"/>
            </w:tcMar>
            <w:shd w:fill="F8F9FA"/>
          </w:tcPr>
          <w:p>
            <w:pPr>
              <w:spacing w:after="0"/>
            </w:pPr>
            <w:r/>
            <w:r>
              <w:rPr>
                <w:rFonts w:ascii="Aptos" w:hAnsi="Aptos"/>
                <w:b w:val="0"/>
                <w:sz w:val="15"/>
              </w:rPr>
              <w:t>Financial posting</w:t>
            </w:r>
          </w:p>
        </w:tc>
      </w:tr>
      <w:tr>
        <w:tc>
          <w:tcPr>
            <w:tcW w:type="dxa" w:w="2592"/>
            <w:vAlign w:val="top"/>
            <w:tcMar>
              <w:top w:w="80" w:type="dxa"/>
              <w:start w:w="80" w:type="dxa"/>
              <w:bottom w:w="80" w:type="dxa"/>
              <w:end w:w="80" w:type="dxa"/>
            </w:tcMar>
          </w:tcPr>
          <w:p>
            <w:pPr>
              <w:spacing w:after="0"/>
            </w:pPr>
            <w:r/>
            <w:r>
              <w:rPr>
                <w:rFonts w:ascii="Aptos" w:hAnsi="Aptos"/>
                <w:b w:val="0"/>
                <w:sz w:val="15"/>
              </w:rPr>
              <w:t>BigQuery edition and commitment portfolio</w:t>
            </w:r>
          </w:p>
        </w:tc>
        <w:tc>
          <w:tcPr>
            <w:tcW w:type="dxa" w:w="4032"/>
            <w:vAlign w:val="top"/>
            <w:tcMar>
              <w:top w:w="80" w:type="dxa"/>
              <w:start w:w="80" w:type="dxa"/>
              <w:bottom w:w="80" w:type="dxa"/>
              <w:end w:w="80" w:type="dxa"/>
            </w:tcMar>
          </w:tcPr>
          <w:p>
            <w:pPr>
              <w:spacing w:after="0"/>
            </w:pPr>
            <w:r/>
            <w:r>
              <w:rPr>
                <w:rFonts w:ascii="Aptos" w:hAnsi="Aptos"/>
                <w:b w:val="0"/>
                <w:sz w:val="15"/>
              </w:rPr>
              <w:t>workload tests, historical slot usage, SLOs, scenario model and commercial terms</w:t>
            </w:r>
          </w:p>
        </w:tc>
        <w:tc>
          <w:tcPr>
            <w:tcW w:type="dxa" w:w="2016"/>
            <w:vAlign w:val="top"/>
            <w:tcMar>
              <w:top w:w="80" w:type="dxa"/>
              <w:start w:w="80" w:type="dxa"/>
              <w:bottom w:w="80" w:type="dxa"/>
              <w:end w:w="80" w:type="dxa"/>
            </w:tcMar>
          </w:tcPr>
          <w:p>
            <w:pPr>
              <w:spacing w:after="0"/>
            </w:pPr>
            <w:r/>
            <w:r>
              <w:rPr>
                <w:rFonts w:ascii="Aptos" w:hAnsi="Aptos"/>
                <w:b w:val="0"/>
                <w:sz w:val="15"/>
              </w:rPr>
              <w:t>Analytics Platform / Finance</w:t>
            </w:r>
          </w:p>
        </w:tc>
        <w:tc>
          <w:tcPr>
            <w:tcW w:type="dxa" w:w="1728"/>
            <w:vAlign w:val="top"/>
            <w:tcMar>
              <w:top w:w="80" w:type="dxa"/>
              <w:start w:w="80" w:type="dxa"/>
              <w:bottom w:w="80" w:type="dxa"/>
              <w:end w:w="80" w:type="dxa"/>
            </w:tcMar>
          </w:tcPr>
          <w:p>
            <w:pPr>
              <w:spacing w:after="0"/>
            </w:pPr>
            <w:r/>
            <w:r>
              <w:rPr>
                <w:rFonts w:ascii="Aptos" w:hAnsi="Aptos"/>
                <w:b w:val="0"/>
                <w:sz w:val="15"/>
              </w:rPr>
              <w:t>Commitment purchase</w:t>
            </w:r>
          </w:p>
        </w:tc>
      </w:tr>
      <w:tr>
        <w:tc>
          <w:tcPr>
            <w:tcW w:type="dxa" w:w="2592"/>
            <w:vAlign w:val="top"/>
            <w:tcMar>
              <w:top w:w="80" w:type="dxa"/>
              <w:start w:w="80" w:type="dxa"/>
              <w:bottom w:w="80" w:type="dxa"/>
              <w:end w:w="80" w:type="dxa"/>
            </w:tcMar>
            <w:shd w:fill="F8F9FA"/>
          </w:tcPr>
          <w:p>
            <w:pPr>
              <w:spacing w:after="0"/>
            </w:pPr>
            <w:r/>
            <w:r>
              <w:rPr>
                <w:rFonts w:ascii="Aptos" w:hAnsi="Aptos"/>
                <w:b w:val="0"/>
                <w:sz w:val="15"/>
              </w:rPr>
              <w:t>Shared platform allocation driver</w:t>
            </w:r>
          </w:p>
        </w:tc>
        <w:tc>
          <w:tcPr>
            <w:tcW w:type="dxa" w:w="4032"/>
            <w:vAlign w:val="top"/>
            <w:tcMar>
              <w:top w:w="80" w:type="dxa"/>
              <w:start w:w="80" w:type="dxa"/>
              <w:bottom w:w="80" w:type="dxa"/>
              <w:end w:w="80" w:type="dxa"/>
            </w:tcMar>
            <w:shd w:fill="F8F9FA"/>
          </w:tcPr>
          <w:p>
            <w:pPr>
              <w:spacing w:after="0"/>
            </w:pPr>
            <w:r/>
            <w:r>
              <w:rPr>
                <w:rFonts w:ascii="Aptos" w:hAnsi="Aptos"/>
                <w:b w:val="0"/>
                <w:sz w:val="15"/>
              </w:rPr>
              <w:t>causal relationship, stability, explainability and administrative effort</w:t>
            </w:r>
          </w:p>
        </w:tc>
        <w:tc>
          <w:tcPr>
            <w:tcW w:type="dxa" w:w="2016"/>
            <w:vAlign w:val="top"/>
            <w:tcMar>
              <w:top w:w="80" w:type="dxa"/>
              <w:start w:w="80" w:type="dxa"/>
              <w:bottom w:w="80" w:type="dxa"/>
              <w:end w:w="80" w:type="dxa"/>
            </w:tcMar>
            <w:shd w:fill="F8F9FA"/>
          </w:tcPr>
          <w:p>
            <w:pPr>
              <w:spacing w:after="0"/>
            </w:pPr>
            <w:r/>
            <w:r>
              <w:rPr>
                <w:rFonts w:ascii="Aptos" w:hAnsi="Aptos"/>
                <w:b w:val="0"/>
                <w:sz w:val="15"/>
              </w:rPr>
              <w:t>FinOps Council</w:t>
            </w:r>
          </w:p>
        </w:tc>
        <w:tc>
          <w:tcPr>
            <w:tcW w:type="dxa" w:w="1728"/>
            <w:vAlign w:val="top"/>
            <w:tcMar>
              <w:top w:w="80" w:type="dxa"/>
              <w:start w:w="80" w:type="dxa"/>
              <w:bottom w:w="80" w:type="dxa"/>
              <w:end w:w="80" w:type="dxa"/>
            </w:tcMar>
            <w:shd w:fill="F8F9FA"/>
          </w:tcPr>
          <w:p>
            <w:pPr>
              <w:spacing w:after="0"/>
            </w:pPr>
            <w:r/>
            <w:r>
              <w:rPr>
                <w:rFonts w:ascii="Aptos" w:hAnsi="Aptos"/>
                <w:b w:val="0"/>
                <w:sz w:val="15"/>
              </w:rPr>
              <w:t>Showback publication</w:t>
            </w:r>
          </w:p>
        </w:tc>
      </w:tr>
      <w:tr>
        <w:tc>
          <w:tcPr>
            <w:tcW w:type="dxa" w:w="2592"/>
            <w:vAlign w:val="top"/>
            <w:tcMar>
              <w:top w:w="80" w:type="dxa"/>
              <w:start w:w="80" w:type="dxa"/>
              <w:bottom w:w="80" w:type="dxa"/>
              <w:end w:w="80" w:type="dxa"/>
            </w:tcMar>
          </w:tcPr>
          <w:p>
            <w:pPr>
              <w:spacing w:after="0"/>
            </w:pPr>
            <w:r/>
            <w:r>
              <w:rPr>
                <w:rFonts w:ascii="Aptos" w:hAnsi="Aptos"/>
                <w:b w:val="0"/>
                <w:sz w:val="15"/>
              </w:rPr>
              <w:t>AI unit-of-value metric</w:t>
            </w:r>
          </w:p>
        </w:tc>
        <w:tc>
          <w:tcPr>
            <w:tcW w:type="dxa" w:w="4032"/>
            <w:vAlign w:val="top"/>
            <w:tcMar>
              <w:top w:w="80" w:type="dxa"/>
              <w:start w:w="80" w:type="dxa"/>
              <w:bottom w:w="80" w:type="dxa"/>
              <w:end w:w="80" w:type="dxa"/>
            </w:tcMar>
          </w:tcPr>
          <w:p>
            <w:pPr>
              <w:spacing w:after="0"/>
            </w:pPr>
            <w:r/>
            <w:r>
              <w:rPr>
                <w:rFonts w:ascii="Aptos" w:hAnsi="Aptos"/>
                <w:b w:val="0"/>
                <w:sz w:val="15"/>
              </w:rPr>
              <w:t>accepted-task definition, quality gate and product telemetry</w:t>
            </w:r>
          </w:p>
        </w:tc>
        <w:tc>
          <w:tcPr>
            <w:tcW w:type="dxa" w:w="2016"/>
            <w:vAlign w:val="top"/>
            <w:tcMar>
              <w:top w:w="80" w:type="dxa"/>
              <w:start w:w="80" w:type="dxa"/>
              <w:bottom w:w="80" w:type="dxa"/>
              <w:end w:w="80" w:type="dxa"/>
            </w:tcMar>
          </w:tcPr>
          <w:p>
            <w:pPr>
              <w:spacing w:after="0"/>
            </w:pPr>
            <w:r/>
            <w:r>
              <w:rPr>
                <w:rFonts w:ascii="Aptos" w:hAnsi="Aptos"/>
                <w:b w:val="0"/>
                <w:sz w:val="15"/>
              </w:rPr>
              <w:t>AI Product Council</w:t>
            </w:r>
          </w:p>
        </w:tc>
        <w:tc>
          <w:tcPr>
            <w:tcW w:type="dxa" w:w="1728"/>
            <w:vAlign w:val="top"/>
            <w:tcMar>
              <w:top w:w="80" w:type="dxa"/>
              <w:start w:w="80" w:type="dxa"/>
              <w:bottom w:w="80" w:type="dxa"/>
              <w:end w:w="80" w:type="dxa"/>
            </w:tcMar>
          </w:tcPr>
          <w:p>
            <w:pPr>
              <w:spacing w:after="0"/>
            </w:pPr>
            <w:r/>
            <w:r>
              <w:rPr>
                <w:rFonts w:ascii="Aptos" w:hAnsi="Aptos"/>
                <w:b w:val="0"/>
                <w:sz w:val="15"/>
              </w:rPr>
              <w:t>AI chargeback</w:t>
            </w:r>
          </w:p>
        </w:tc>
      </w:tr>
    </w:tbl>
    <w:p>
      <w:pPr>
        <w:pStyle w:val="Heading1"/>
      </w:pPr>
      <w:r>
        <w:t>3. Enterprise FinOps Strategy</w:t>
      </w:r>
    </w:p>
    <w:p>
      <w:r>
        <w:t>The strategy adopts the FinOps principle of engineering and finance collaboration, but adapts it to data products, analytics workloads and AI applications. FinOps is embedded in product design, delivery and operations rather than applied after invoices arrive.</w:t>
      </w:r>
    </w:p>
    <w:p>
      <w:pPr>
        <w:pStyle w:val="Heading2"/>
      </w:pPr>
      <w:r>
        <w:t>3.1 Strategy pillars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top"/>
            <w:tcMar>
              <w:top w:w="80" w:type="dxa"/>
              <w:start w:w="80" w:type="dxa"/>
              <w:bottom w:w="80" w:type="dxa"/>
              <w:end w:w="80" w:type="dxa"/>
            </w:tcMar>
            <w:shd w:fill="1A73E8"/>
          </w:tcPr>
          <w:p>
            <w:pPr>
              <w:spacing w:after="0"/>
            </w:pPr>
            <w:r/>
            <w:r>
              <w:rPr>
                <w:rFonts w:ascii="Aptos" w:hAnsi="Aptos"/>
                <w:b/>
                <w:color w:val="FFFFFF"/>
                <w:sz w:val="15"/>
              </w:rPr>
              <w:t>Pillar</w:t>
            </w:r>
          </w:p>
        </w:tc>
        <w:tc>
          <w:tcPr>
            <w:tcW w:type="dxa" w:w="4752"/>
            <w:vAlign w:val="top"/>
            <w:tcMar>
              <w:top w:w="80" w:type="dxa"/>
              <w:start w:w="80" w:type="dxa"/>
              <w:bottom w:w="80" w:type="dxa"/>
              <w:end w:w="80" w:type="dxa"/>
            </w:tcMar>
            <w:shd w:fill="1A73E8"/>
          </w:tcPr>
          <w:p>
            <w:pPr>
              <w:spacing w:after="0"/>
            </w:pPr>
            <w:r/>
            <w:r>
              <w:rPr>
                <w:rFonts w:ascii="Aptos" w:hAnsi="Aptos"/>
                <w:b/>
                <w:color w:val="FFFFFF"/>
                <w:sz w:val="15"/>
              </w:rPr>
              <w:t>Architecture implication</w:t>
            </w:r>
          </w:p>
        </w:tc>
        <w:tc>
          <w:tcPr>
            <w:tcW w:type="dxa" w:w="3312"/>
            <w:vAlign w:val="top"/>
            <w:tcMar>
              <w:top w:w="80" w:type="dxa"/>
              <w:start w:w="80" w:type="dxa"/>
              <w:bottom w:w="80" w:type="dxa"/>
              <w:end w:w="80" w:type="dxa"/>
            </w:tcMar>
            <w:shd w:fill="1A73E8"/>
          </w:tcPr>
          <w:p>
            <w:pPr>
              <w:spacing w:after="0"/>
            </w:pPr>
            <w:r/>
            <w:r>
              <w:rPr>
                <w:rFonts w:ascii="Aptos" w:hAnsi="Aptos"/>
                <w:b/>
                <w:color w:val="FFFFFF"/>
                <w:sz w:val="15"/>
              </w:rPr>
              <w:t>Mandatory evidence</w:t>
            </w:r>
          </w:p>
        </w:tc>
      </w:tr>
      <w:tr>
        <w:tc>
          <w:tcPr>
            <w:tcW w:type="dxa" w:w="1584"/>
            <w:vAlign w:val="top"/>
            <w:tcMar>
              <w:top w:w="80" w:type="dxa"/>
              <w:start w:w="80" w:type="dxa"/>
              <w:bottom w:w="80" w:type="dxa"/>
              <w:end w:w="80" w:type="dxa"/>
            </w:tcMar>
          </w:tcPr>
          <w:p>
            <w:pPr>
              <w:spacing w:after="0"/>
            </w:pPr>
            <w:r/>
            <w:r>
              <w:rPr>
                <w:rFonts w:ascii="Aptos" w:hAnsi="Aptos"/>
                <w:b w:val="0"/>
                <w:sz w:val="15"/>
              </w:rPr>
              <w:t>Visibility</w:t>
            </w:r>
          </w:p>
        </w:tc>
        <w:tc>
          <w:tcPr>
            <w:tcW w:type="dxa" w:w="4752"/>
            <w:vAlign w:val="top"/>
            <w:tcMar>
              <w:top w:w="80" w:type="dxa"/>
              <w:start w:w="80" w:type="dxa"/>
              <w:bottom w:w="80" w:type="dxa"/>
              <w:end w:w="80" w:type="dxa"/>
            </w:tcMar>
          </w:tcPr>
          <w:p>
            <w:pPr>
              <w:spacing w:after="0"/>
            </w:pPr>
            <w:r/>
            <w:r>
              <w:rPr>
                <w:rFonts w:ascii="Aptos" w:hAnsi="Aptos"/>
                <w:b w:val="0"/>
                <w:sz w:val="15"/>
              </w:rPr>
              <w:t>Immutable billing exports, normalized views and shared dashboards</w:t>
            </w:r>
          </w:p>
        </w:tc>
        <w:tc>
          <w:tcPr>
            <w:tcW w:type="dxa" w:w="3312"/>
            <w:vAlign w:val="top"/>
            <w:tcMar>
              <w:top w:w="80" w:type="dxa"/>
              <w:start w:w="80" w:type="dxa"/>
              <w:bottom w:w="80" w:type="dxa"/>
              <w:end w:w="80" w:type="dxa"/>
            </w:tcMar>
          </w:tcPr>
          <w:p>
            <w:pPr>
              <w:spacing w:after="0"/>
            </w:pPr>
            <w:r/>
            <w:r>
              <w:rPr>
                <w:rFonts w:ascii="Aptos" w:hAnsi="Aptos"/>
                <w:b w:val="0"/>
                <w:sz w:val="15"/>
              </w:rPr>
              <w:t>daily export freshness and monthly reconciliation</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Accountability</w:t>
            </w:r>
          </w:p>
        </w:tc>
        <w:tc>
          <w:tcPr>
            <w:tcW w:type="dxa" w:w="4752"/>
            <w:vAlign w:val="top"/>
            <w:tcMar>
              <w:top w:w="80" w:type="dxa"/>
              <w:start w:w="80" w:type="dxa"/>
              <w:bottom w:w="80" w:type="dxa"/>
              <w:end w:w="80" w:type="dxa"/>
            </w:tcMar>
            <w:shd w:fill="F8F9FA"/>
          </w:tcPr>
          <w:p>
            <w:pPr>
              <w:spacing w:after="0"/>
            </w:pPr>
            <w:r/>
            <w:r>
              <w:rPr>
                <w:rFonts w:ascii="Aptos" w:hAnsi="Aptos"/>
                <w:b w:val="0"/>
                <w:sz w:val="15"/>
              </w:rPr>
              <w:t>Named cost owner for every production project and data product</w:t>
            </w:r>
          </w:p>
        </w:tc>
        <w:tc>
          <w:tcPr>
            <w:tcW w:type="dxa" w:w="3312"/>
            <w:vAlign w:val="top"/>
            <w:tcMar>
              <w:top w:w="80" w:type="dxa"/>
              <w:start w:w="80" w:type="dxa"/>
              <w:bottom w:w="80" w:type="dxa"/>
              <w:end w:w="80" w:type="dxa"/>
            </w:tcMar>
            <w:shd w:fill="F8F9FA"/>
          </w:tcPr>
          <w:p>
            <w:pPr>
              <w:spacing w:after="0"/>
            </w:pPr>
            <w:r/>
            <w:r>
              <w:rPr>
                <w:rFonts w:ascii="Aptos" w:hAnsi="Aptos"/>
                <w:b w:val="0"/>
                <w:sz w:val="15"/>
              </w:rPr>
              <w:t>owner group, cost center and product mapping</w:t>
            </w:r>
          </w:p>
        </w:tc>
      </w:tr>
      <w:tr>
        <w:tc>
          <w:tcPr>
            <w:tcW w:type="dxa" w:w="1584"/>
            <w:vAlign w:val="top"/>
            <w:tcMar>
              <w:top w:w="80" w:type="dxa"/>
              <w:start w:w="80" w:type="dxa"/>
              <w:bottom w:w="80" w:type="dxa"/>
              <w:end w:w="80" w:type="dxa"/>
            </w:tcMar>
          </w:tcPr>
          <w:p>
            <w:pPr>
              <w:spacing w:after="0"/>
            </w:pPr>
            <w:r/>
            <w:r>
              <w:rPr>
                <w:rFonts w:ascii="Aptos" w:hAnsi="Aptos"/>
                <w:b w:val="0"/>
                <w:sz w:val="15"/>
              </w:rPr>
              <w:t>Optimization</w:t>
            </w:r>
          </w:p>
        </w:tc>
        <w:tc>
          <w:tcPr>
            <w:tcW w:type="dxa" w:w="4752"/>
            <w:vAlign w:val="top"/>
            <w:tcMar>
              <w:top w:w="80" w:type="dxa"/>
              <w:start w:w="80" w:type="dxa"/>
              <w:bottom w:w="80" w:type="dxa"/>
              <w:end w:w="80" w:type="dxa"/>
            </w:tcMar>
          </w:tcPr>
          <w:p>
            <w:pPr>
              <w:spacing w:after="0"/>
            </w:pPr>
            <w:r/>
            <w:r>
              <w:rPr>
                <w:rFonts w:ascii="Aptos" w:hAnsi="Aptos"/>
                <w:b w:val="0"/>
                <w:sz w:val="15"/>
              </w:rPr>
              <w:t>Service-specific efficiency backlog with SLO and risk guardrails</w:t>
            </w:r>
          </w:p>
        </w:tc>
        <w:tc>
          <w:tcPr>
            <w:tcW w:type="dxa" w:w="3312"/>
            <w:vAlign w:val="top"/>
            <w:tcMar>
              <w:top w:w="80" w:type="dxa"/>
              <w:start w:w="80" w:type="dxa"/>
              <w:bottom w:w="80" w:type="dxa"/>
              <w:end w:w="80" w:type="dxa"/>
            </w:tcMar>
          </w:tcPr>
          <w:p>
            <w:pPr>
              <w:spacing w:after="0"/>
            </w:pPr>
            <w:r/>
            <w:r>
              <w:rPr>
                <w:rFonts w:ascii="Aptos" w:hAnsi="Aptos"/>
                <w:b w:val="0"/>
                <w:sz w:val="15"/>
              </w:rPr>
              <w:t>before/after cost, quality and performance evidence</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Planning</w:t>
            </w:r>
          </w:p>
        </w:tc>
        <w:tc>
          <w:tcPr>
            <w:tcW w:type="dxa" w:w="4752"/>
            <w:vAlign w:val="top"/>
            <w:tcMar>
              <w:top w:w="80" w:type="dxa"/>
              <w:start w:w="80" w:type="dxa"/>
              <w:bottom w:w="80" w:type="dxa"/>
              <w:end w:w="80" w:type="dxa"/>
            </w:tcMar>
            <w:shd w:fill="F8F9FA"/>
          </w:tcPr>
          <w:p>
            <w:pPr>
              <w:spacing w:after="0"/>
            </w:pPr>
            <w:r/>
            <w:r>
              <w:rPr>
                <w:rFonts w:ascii="Aptos" w:hAnsi="Aptos"/>
                <w:b w:val="0"/>
                <w:sz w:val="15"/>
              </w:rPr>
              <w:t>Budgets, rolling forecasts and demand drivers by product</w:t>
            </w:r>
          </w:p>
        </w:tc>
        <w:tc>
          <w:tcPr>
            <w:tcW w:type="dxa" w:w="3312"/>
            <w:vAlign w:val="top"/>
            <w:tcMar>
              <w:top w:w="80" w:type="dxa"/>
              <w:start w:w="80" w:type="dxa"/>
              <w:bottom w:w="80" w:type="dxa"/>
              <w:end w:w="80" w:type="dxa"/>
            </w:tcMar>
            <w:shd w:fill="F8F9FA"/>
          </w:tcPr>
          <w:p>
            <w:pPr>
              <w:spacing w:after="0"/>
            </w:pPr>
            <w:r/>
            <w:r>
              <w:rPr>
                <w:rFonts w:ascii="Aptos" w:hAnsi="Aptos"/>
                <w:b w:val="0"/>
                <w:sz w:val="15"/>
              </w:rPr>
              <w:t>forecast assumptions and variance commentary</w:t>
            </w:r>
          </w:p>
        </w:tc>
      </w:tr>
      <w:tr>
        <w:tc>
          <w:tcPr>
            <w:tcW w:type="dxa" w:w="1584"/>
            <w:vAlign w:val="top"/>
            <w:tcMar>
              <w:top w:w="80" w:type="dxa"/>
              <w:start w:w="80" w:type="dxa"/>
              <w:bottom w:w="80" w:type="dxa"/>
              <w:end w:w="80" w:type="dxa"/>
            </w:tcMar>
          </w:tcPr>
          <w:p>
            <w:pPr>
              <w:spacing w:after="0"/>
            </w:pPr>
            <w:r/>
            <w:r>
              <w:rPr>
                <w:rFonts w:ascii="Aptos" w:hAnsi="Aptos"/>
                <w:b w:val="0"/>
                <w:sz w:val="15"/>
              </w:rPr>
              <w:t>Unit economics</w:t>
            </w:r>
          </w:p>
        </w:tc>
        <w:tc>
          <w:tcPr>
            <w:tcW w:type="dxa" w:w="4752"/>
            <w:vAlign w:val="top"/>
            <w:tcMar>
              <w:top w:w="80" w:type="dxa"/>
              <w:start w:w="80" w:type="dxa"/>
              <w:bottom w:w="80" w:type="dxa"/>
              <w:end w:w="80" w:type="dxa"/>
            </w:tcMar>
          </w:tcPr>
          <w:p>
            <w:pPr>
              <w:spacing w:after="0"/>
            </w:pPr>
            <w:r/>
            <w:r>
              <w:rPr>
                <w:rFonts w:ascii="Aptos" w:hAnsi="Aptos"/>
                <w:b w:val="0"/>
                <w:sz w:val="15"/>
              </w:rPr>
              <w:t>Cost per successful business outcome, not only resource utilization</w:t>
            </w:r>
          </w:p>
        </w:tc>
        <w:tc>
          <w:tcPr>
            <w:tcW w:type="dxa" w:w="3312"/>
            <w:vAlign w:val="top"/>
            <w:tcMar>
              <w:top w:w="80" w:type="dxa"/>
              <w:start w:w="80" w:type="dxa"/>
              <w:bottom w:w="80" w:type="dxa"/>
              <w:end w:w="80" w:type="dxa"/>
            </w:tcMar>
          </w:tcPr>
          <w:p>
            <w:pPr>
              <w:spacing w:after="0"/>
            </w:pPr>
            <w:r/>
            <w:r>
              <w:rPr>
                <w:rFonts w:ascii="Aptos" w:hAnsi="Aptos"/>
                <w:b w:val="0"/>
                <w:sz w:val="15"/>
              </w:rPr>
              <w:t>business-unit denominator and quality gate</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Commercial leverage</w:t>
            </w:r>
          </w:p>
        </w:tc>
        <w:tc>
          <w:tcPr>
            <w:tcW w:type="dxa" w:w="4752"/>
            <w:vAlign w:val="top"/>
            <w:tcMar>
              <w:top w:w="80" w:type="dxa"/>
              <w:start w:w="80" w:type="dxa"/>
              <w:bottom w:w="80" w:type="dxa"/>
              <w:end w:w="80" w:type="dxa"/>
            </w:tcMar>
            <w:shd w:fill="F8F9FA"/>
          </w:tcPr>
          <w:p>
            <w:pPr>
              <w:spacing w:after="0"/>
            </w:pPr>
            <w:r/>
            <w:r>
              <w:rPr>
                <w:rFonts w:ascii="Aptos" w:hAnsi="Aptos"/>
                <w:b w:val="0"/>
                <w:sz w:val="15"/>
              </w:rPr>
              <w:t>Enterprise commitment and contract portfolio management</w:t>
            </w:r>
          </w:p>
        </w:tc>
        <w:tc>
          <w:tcPr>
            <w:tcW w:type="dxa" w:w="3312"/>
            <w:vAlign w:val="top"/>
            <w:tcMar>
              <w:top w:w="80" w:type="dxa"/>
              <w:start w:w="80" w:type="dxa"/>
              <w:bottom w:w="80" w:type="dxa"/>
              <w:end w:w="80" w:type="dxa"/>
            </w:tcMar>
            <w:shd w:fill="F8F9FA"/>
          </w:tcPr>
          <w:p>
            <w:pPr>
              <w:spacing w:after="0"/>
            </w:pPr>
            <w:r/>
            <w:r>
              <w:rPr>
                <w:rFonts w:ascii="Aptos" w:hAnsi="Aptos"/>
                <w:b w:val="0"/>
                <w:sz w:val="15"/>
              </w:rPr>
              <w:t>eligible usage, coverage, utilization and scenario model</w:t>
            </w:r>
          </w:p>
        </w:tc>
      </w:tr>
      <w:tr>
        <w:tc>
          <w:tcPr>
            <w:tcW w:type="dxa" w:w="1584"/>
            <w:vAlign w:val="top"/>
            <w:tcMar>
              <w:top w:w="80" w:type="dxa"/>
              <w:start w:w="80" w:type="dxa"/>
              <w:bottom w:w="80" w:type="dxa"/>
              <w:end w:w="80" w:type="dxa"/>
            </w:tcMar>
          </w:tcPr>
          <w:p>
            <w:pPr>
              <w:spacing w:after="0"/>
            </w:pPr>
            <w:r/>
            <w:r>
              <w:rPr>
                <w:rFonts w:ascii="Aptos" w:hAnsi="Aptos"/>
                <w:b w:val="0"/>
                <w:sz w:val="15"/>
              </w:rPr>
              <w:t>Automation</w:t>
            </w:r>
          </w:p>
        </w:tc>
        <w:tc>
          <w:tcPr>
            <w:tcW w:type="dxa" w:w="4752"/>
            <w:vAlign w:val="top"/>
            <w:tcMar>
              <w:top w:w="80" w:type="dxa"/>
              <w:start w:w="80" w:type="dxa"/>
              <w:bottom w:w="80" w:type="dxa"/>
              <w:end w:w="80" w:type="dxa"/>
            </w:tcMar>
          </w:tcPr>
          <w:p>
            <w:pPr>
              <w:spacing w:after="0"/>
            </w:pPr>
            <w:r/>
            <w:r>
              <w:rPr>
                <w:rFonts w:ascii="Aptos" w:hAnsi="Aptos"/>
                <w:b w:val="0"/>
                <w:sz w:val="15"/>
              </w:rPr>
              <w:t>Policy as code, programmatic alerts and scheduled allocation</w:t>
            </w:r>
          </w:p>
        </w:tc>
        <w:tc>
          <w:tcPr>
            <w:tcW w:type="dxa" w:w="3312"/>
            <w:vAlign w:val="top"/>
            <w:tcMar>
              <w:top w:w="80" w:type="dxa"/>
              <w:start w:w="80" w:type="dxa"/>
              <w:bottom w:w="80" w:type="dxa"/>
              <w:end w:w="80" w:type="dxa"/>
            </w:tcMar>
          </w:tcPr>
          <w:p>
            <w:pPr>
              <w:spacing w:after="0"/>
            </w:pPr>
            <w:r/>
            <w:r>
              <w:rPr>
                <w:rFonts w:ascii="Aptos" w:hAnsi="Aptos"/>
                <w:b w:val="0"/>
                <w:sz w:val="15"/>
              </w:rPr>
              <w:t>versioned configuration and audit trail</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Continuous improvement</w:t>
            </w:r>
          </w:p>
        </w:tc>
        <w:tc>
          <w:tcPr>
            <w:tcW w:type="dxa" w:w="4752"/>
            <w:vAlign w:val="top"/>
            <w:tcMar>
              <w:top w:w="80" w:type="dxa"/>
              <w:start w:w="80" w:type="dxa"/>
              <w:bottom w:w="80" w:type="dxa"/>
              <w:end w:w="80" w:type="dxa"/>
            </w:tcMar>
            <w:shd w:fill="F8F9FA"/>
          </w:tcPr>
          <w:p>
            <w:pPr>
              <w:spacing w:after="0"/>
            </w:pPr>
            <w:r/>
            <w:r>
              <w:rPr>
                <w:rFonts w:ascii="Aptos" w:hAnsi="Aptos"/>
                <w:b w:val="0"/>
                <w:sz w:val="15"/>
              </w:rPr>
              <w:t>Weekly, monthly and quarterly governance loops</w:t>
            </w:r>
          </w:p>
        </w:tc>
        <w:tc>
          <w:tcPr>
            <w:tcW w:type="dxa" w:w="3312"/>
            <w:vAlign w:val="top"/>
            <w:tcMar>
              <w:top w:w="80" w:type="dxa"/>
              <w:start w:w="80" w:type="dxa"/>
              <w:bottom w:w="80" w:type="dxa"/>
              <w:end w:w="80" w:type="dxa"/>
            </w:tcMar>
            <w:shd w:fill="F8F9FA"/>
          </w:tcPr>
          <w:p>
            <w:pPr>
              <w:spacing w:after="0"/>
            </w:pPr>
            <w:r/>
            <w:r>
              <w:rPr>
                <w:rFonts w:ascii="Aptos" w:hAnsi="Aptos"/>
                <w:b w:val="0"/>
                <w:sz w:val="15"/>
              </w:rPr>
              <w:t>decision register and completed actions</w:t>
            </w:r>
          </w:p>
        </w:tc>
      </w:tr>
    </w:tbl>
    <w:p>
      <w:pPr>
        <w:pStyle w:val="Heading2"/>
      </w:pPr>
      <w:r>
        <w:t>3.2 Optimization guardrails</w:t>
      </w:r>
    </w:p>
    <w:p>
      <w:pPr>
        <w:pStyle w:val="ListBullet"/>
      </w:pPr>
      <w:r>
        <w:t>No optimization may weaken mandatory audit logging, data residency, legal hold, privacy deletion, key management, access control or incident evidence.</w:t>
      </w:r>
    </w:p>
    <w:p>
      <w:pPr>
        <w:pStyle w:val="ListBullet"/>
      </w:pPr>
      <w:r>
        <w:t>No optimization may change a Tier 0 or Tier 1 capacity, retention or recovery control without service-owner and SRE validation.</w:t>
      </w:r>
    </w:p>
    <w:p>
      <w:pPr>
        <w:pStyle w:val="ListBullet"/>
      </w:pPr>
      <w:r>
        <w:t>Savings claims use net realized cost or contract-adjusted avoided cost, never unvalidated list-price arithmetic.</w:t>
      </w:r>
    </w:p>
    <w:p>
      <w:pPr>
        <w:pStyle w:val="ListBullet"/>
      </w:pPr>
      <w:r>
        <w:t>Optimization benefits are tracked separately as realized savings, cost avoidance, negotiated rate benefit and demand reduction.</w:t>
      </w:r>
    </w:p>
    <w:p>
      <w:pPr>
        <w:pStyle w:val="ListBullet"/>
      </w:pPr>
      <w:r>
        <w:t>Growth that creates approved business value is not classified as waste merely because total cost increases.</w:t>
      </w:r>
    </w:p>
    <w:p>
      <w:pPr>
        <w:pStyle w:val="Heading1"/>
      </w:pPr>
      <w:r>
        <w:t>4. FinOps Operating Model</w:t>
      </w:r>
    </w:p>
    <w:p>
      <w:r>
        <w:t>The operating model is federated. The Enterprise FinOps team owns policy, billing data, enterprise commitments, cost dashboards and the optimization portfolio. Platform teams own shared-service efficiency. Domain and product owners own budgets, forecasts, demand, unit economics and remediation for their workloads. Finance owns accounting treatment and chargeback posting. Procurement owns commercial negotiation. SRE and Security protect reliability and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Role</w:t>
            </w:r>
          </w:p>
        </w:tc>
        <w:tc>
          <w:tcPr>
            <w:tcW w:type="dxa" w:w="4032"/>
            <w:vAlign w:val="top"/>
            <w:tcMar>
              <w:top w:w="80" w:type="dxa"/>
              <w:start w:w="80" w:type="dxa"/>
              <w:bottom w:w="80" w:type="dxa"/>
              <w:end w:w="80" w:type="dxa"/>
            </w:tcMar>
            <w:shd w:fill="1A73E8"/>
          </w:tcPr>
          <w:p>
            <w:pPr>
              <w:spacing w:after="0"/>
            </w:pPr>
            <w:r/>
            <w:r>
              <w:rPr>
                <w:rFonts w:ascii="Aptos" w:hAnsi="Aptos"/>
                <w:b/>
                <w:color w:val="FFFFFF"/>
                <w:sz w:val="15"/>
              </w:rPr>
              <w:t>Primary accountability</w:t>
            </w:r>
          </w:p>
        </w:tc>
        <w:tc>
          <w:tcPr>
            <w:tcW w:type="dxa" w:w="3888"/>
            <w:vAlign w:val="top"/>
            <w:tcMar>
              <w:top w:w="80" w:type="dxa"/>
              <w:start w:w="80" w:type="dxa"/>
              <w:bottom w:w="80" w:type="dxa"/>
              <w:end w:w="80" w:type="dxa"/>
            </w:tcMar>
            <w:shd w:fill="1A73E8"/>
          </w:tcPr>
          <w:p>
            <w:pPr>
              <w:spacing w:after="0"/>
            </w:pPr>
            <w:r/>
            <w:r>
              <w:rPr>
                <w:rFonts w:ascii="Aptos" w:hAnsi="Aptos"/>
                <w:b/>
                <w:color w:val="FFFFFF"/>
                <w:sz w:val="15"/>
              </w:rPr>
              <w:t>Key deliverables</w:t>
            </w:r>
          </w:p>
        </w:tc>
      </w:tr>
      <w:tr>
        <w:tc>
          <w:tcPr>
            <w:tcW w:type="dxa" w:w="1728"/>
            <w:vAlign w:val="top"/>
            <w:tcMar>
              <w:top w:w="80" w:type="dxa"/>
              <w:start w:w="80" w:type="dxa"/>
              <w:bottom w:w="80" w:type="dxa"/>
              <w:end w:w="80" w:type="dxa"/>
            </w:tcMar>
          </w:tcPr>
          <w:p>
            <w:pPr>
              <w:spacing w:after="0"/>
            </w:pPr>
            <w:r/>
            <w:r>
              <w:rPr>
                <w:rFonts w:ascii="Aptos" w:hAnsi="Aptos"/>
                <w:b w:val="0"/>
                <w:sz w:val="15"/>
              </w:rPr>
              <w:t>FinOps Council</w:t>
            </w:r>
          </w:p>
        </w:tc>
        <w:tc>
          <w:tcPr>
            <w:tcW w:type="dxa" w:w="4032"/>
            <w:vAlign w:val="top"/>
            <w:tcMar>
              <w:top w:w="80" w:type="dxa"/>
              <w:start w:w="80" w:type="dxa"/>
              <w:bottom w:w="80" w:type="dxa"/>
              <w:end w:w="80" w:type="dxa"/>
            </w:tcMar>
          </w:tcPr>
          <w:p>
            <w:pPr>
              <w:spacing w:after="0"/>
            </w:pPr>
            <w:r/>
            <w:r>
              <w:rPr>
                <w:rFonts w:ascii="Aptos" w:hAnsi="Aptos"/>
                <w:b w:val="0"/>
                <w:sz w:val="15"/>
              </w:rPr>
              <w:t>policy, priorities, disputes, commitment approval recommendation</w:t>
            </w:r>
          </w:p>
        </w:tc>
        <w:tc>
          <w:tcPr>
            <w:tcW w:type="dxa" w:w="3888"/>
            <w:vAlign w:val="top"/>
            <w:tcMar>
              <w:top w:w="80" w:type="dxa"/>
              <w:start w:w="80" w:type="dxa"/>
              <w:bottom w:w="80" w:type="dxa"/>
              <w:end w:w="80" w:type="dxa"/>
            </w:tcMar>
          </w:tcPr>
          <w:p>
            <w:pPr>
              <w:spacing w:after="0"/>
            </w:pPr>
            <w:r/>
            <w:r>
              <w:rPr>
                <w:rFonts w:ascii="Aptos" w:hAnsi="Aptos"/>
                <w:b w:val="0"/>
                <w:sz w:val="15"/>
              </w:rPr>
              <w:t>standards, decision register, quarterly optimization portfolio</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Enterprise FinOps team</w:t>
            </w:r>
          </w:p>
        </w:tc>
        <w:tc>
          <w:tcPr>
            <w:tcW w:type="dxa" w:w="4032"/>
            <w:vAlign w:val="top"/>
            <w:tcMar>
              <w:top w:w="80" w:type="dxa"/>
              <w:start w:w="80" w:type="dxa"/>
              <w:bottom w:w="80" w:type="dxa"/>
              <w:end w:w="80" w:type="dxa"/>
            </w:tcMar>
            <w:shd w:fill="F8F9FA"/>
          </w:tcPr>
          <w:p>
            <w:pPr>
              <w:spacing w:after="0"/>
            </w:pPr>
            <w:r/>
            <w:r>
              <w:rPr>
                <w:rFonts w:ascii="Aptos" w:hAnsi="Aptos"/>
                <w:b w:val="0"/>
                <w:sz w:val="15"/>
              </w:rPr>
              <w:t>cost data product, forecasts, anomalies, dashboards, portfolio analysis</w:t>
            </w:r>
          </w:p>
        </w:tc>
        <w:tc>
          <w:tcPr>
            <w:tcW w:type="dxa" w:w="3888"/>
            <w:vAlign w:val="top"/>
            <w:tcMar>
              <w:top w:w="80" w:type="dxa"/>
              <w:start w:w="80" w:type="dxa"/>
              <w:bottom w:w="80" w:type="dxa"/>
              <w:end w:w="80" w:type="dxa"/>
            </w:tcMar>
            <w:shd w:fill="F8F9FA"/>
          </w:tcPr>
          <w:p>
            <w:pPr>
              <w:spacing w:after="0"/>
            </w:pPr>
            <w:r/>
            <w:r>
              <w:rPr>
                <w:rFonts w:ascii="Aptos" w:hAnsi="Aptos"/>
                <w:b w:val="0"/>
                <w:sz w:val="15"/>
              </w:rPr>
              <w:t>normalized ledger, showback statements, recommendations</w:t>
            </w:r>
          </w:p>
        </w:tc>
      </w:tr>
      <w:tr>
        <w:tc>
          <w:tcPr>
            <w:tcW w:type="dxa" w:w="1728"/>
            <w:vAlign w:val="top"/>
            <w:tcMar>
              <w:top w:w="80" w:type="dxa"/>
              <w:start w:w="80" w:type="dxa"/>
              <w:bottom w:w="80" w:type="dxa"/>
              <w:end w:w="80" w:type="dxa"/>
            </w:tcMar>
          </w:tcPr>
          <w:p>
            <w:pPr>
              <w:spacing w:after="0"/>
            </w:pPr>
            <w:r/>
            <w:r>
              <w:rPr>
                <w:rFonts w:ascii="Aptos" w:hAnsi="Aptos"/>
                <w:b w:val="0"/>
                <w:sz w:val="15"/>
              </w:rPr>
              <w:t>Cloud Platform FinOps</w:t>
            </w:r>
          </w:p>
        </w:tc>
        <w:tc>
          <w:tcPr>
            <w:tcW w:type="dxa" w:w="4032"/>
            <w:vAlign w:val="top"/>
            <w:tcMar>
              <w:top w:w="80" w:type="dxa"/>
              <w:start w:w="80" w:type="dxa"/>
              <w:bottom w:w="80" w:type="dxa"/>
              <w:end w:w="80" w:type="dxa"/>
            </w:tcMar>
          </w:tcPr>
          <w:p>
            <w:pPr>
              <w:spacing w:after="0"/>
            </w:pPr>
            <w:r/>
            <w:r>
              <w:rPr>
                <w:rFonts w:ascii="Aptos" w:hAnsi="Aptos"/>
                <w:b w:val="0"/>
                <w:sz w:val="15"/>
              </w:rPr>
              <w:t>shared infrastructure and platform economics</w:t>
            </w:r>
          </w:p>
        </w:tc>
        <w:tc>
          <w:tcPr>
            <w:tcW w:type="dxa" w:w="3888"/>
            <w:vAlign w:val="top"/>
            <w:tcMar>
              <w:top w:w="80" w:type="dxa"/>
              <w:start w:w="80" w:type="dxa"/>
              <w:bottom w:w="80" w:type="dxa"/>
              <w:end w:w="80" w:type="dxa"/>
            </w:tcMar>
          </w:tcPr>
          <w:p>
            <w:pPr>
              <w:spacing w:after="0"/>
            </w:pPr>
            <w:r/>
            <w:r>
              <w:rPr>
                <w:rFonts w:ascii="Aptos" w:hAnsi="Aptos"/>
                <w:b w:val="0"/>
                <w:sz w:val="15"/>
              </w:rPr>
              <w:t>reservation operations, shared pool drivers, platform unit costs</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Domain/Product owner</w:t>
            </w:r>
          </w:p>
        </w:tc>
        <w:tc>
          <w:tcPr>
            <w:tcW w:type="dxa" w:w="4032"/>
            <w:vAlign w:val="top"/>
            <w:tcMar>
              <w:top w:w="80" w:type="dxa"/>
              <w:start w:w="80" w:type="dxa"/>
              <w:bottom w:w="80" w:type="dxa"/>
              <w:end w:w="80" w:type="dxa"/>
            </w:tcMar>
            <w:shd w:fill="F8F9FA"/>
          </w:tcPr>
          <w:p>
            <w:pPr>
              <w:spacing w:after="0"/>
            </w:pPr>
            <w:r/>
            <w:r>
              <w:rPr>
                <w:rFonts w:ascii="Aptos" w:hAnsi="Aptos"/>
                <w:b w:val="0"/>
                <w:sz w:val="15"/>
              </w:rPr>
              <w:t>budget, forecast, demand and business-value denominator</w:t>
            </w:r>
          </w:p>
        </w:tc>
        <w:tc>
          <w:tcPr>
            <w:tcW w:type="dxa" w:w="3888"/>
            <w:vAlign w:val="top"/>
            <w:tcMar>
              <w:top w:w="80" w:type="dxa"/>
              <w:start w:w="80" w:type="dxa"/>
              <w:bottom w:w="80" w:type="dxa"/>
              <w:end w:w="80" w:type="dxa"/>
            </w:tcMar>
            <w:shd w:fill="F8F9FA"/>
          </w:tcPr>
          <w:p>
            <w:pPr>
              <w:spacing w:after="0"/>
            </w:pPr>
            <w:r/>
            <w:r>
              <w:rPr>
                <w:rFonts w:ascii="Aptos" w:hAnsi="Aptos"/>
                <w:b w:val="0"/>
                <w:sz w:val="15"/>
              </w:rPr>
              <w:t>monthly commentary, optimization backlog, unit economics</w:t>
            </w:r>
          </w:p>
        </w:tc>
      </w:tr>
      <w:tr>
        <w:tc>
          <w:tcPr>
            <w:tcW w:type="dxa" w:w="1728"/>
            <w:vAlign w:val="top"/>
            <w:tcMar>
              <w:top w:w="80" w:type="dxa"/>
              <w:start w:w="80" w:type="dxa"/>
              <w:bottom w:w="80" w:type="dxa"/>
              <w:end w:w="80" w:type="dxa"/>
            </w:tcMar>
          </w:tcPr>
          <w:p>
            <w:pPr>
              <w:spacing w:after="0"/>
            </w:pPr>
            <w:r/>
            <w:r>
              <w:rPr>
                <w:rFonts w:ascii="Aptos" w:hAnsi="Aptos"/>
                <w:b w:val="0"/>
                <w:sz w:val="15"/>
              </w:rPr>
              <w:t>Engineering lead</w:t>
            </w:r>
          </w:p>
        </w:tc>
        <w:tc>
          <w:tcPr>
            <w:tcW w:type="dxa" w:w="4032"/>
            <w:vAlign w:val="top"/>
            <w:tcMar>
              <w:top w:w="80" w:type="dxa"/>
              <w:start w:w="80" w:type="dxa"/>
              <w:bottom w:w="80" w:type="dxa"/>
              <w:end w:w="80" w:type="dxa"/>
            </w:tcMar>
          </w:tcPr>
          <w:p>
            <w:pPr>
              <w:spacing w:after="0"/>
            </w:pPr>
            <w:r/>
            <w:r>
              <w:rPr>
                <w:rFonts w:ascii="Aptos" w:hAnsi="Aptos"/>
                <w:b w:val="0"/>
                <w:sz w:val="15"/>
              </w:rPr>
              <w:t>implementation and validation of efficiency changes</w:t>
            </w:r>
          </w:p>
        </w:tc>
        <w:tc>
          <w:tcPr>
            <w:tcW w:type="dxa" w:w="3888"/>
            <w:vAlign w:val="top"/>
            <w:tcMar>
              <w:top w:w="80" w:type="dxa"/>
              <w:start w:w="80" w:type="dxa"/>
              <w:bottom w:w="80" w:type="dxa"/>
              <w:end w:w="80" w:type="dxa"/>
            </w:tcMar>
          </w:tcPr>
          <w:p>
            <w:pPr>
              <w:spacing w:after="0"/>
            </w:pPr>
            <w:r/>
            <w:r>
              <w:rPr>
                <w:rFonts w:ascii="Aptos" w:hAnsi="Aptos"/>
                <w:b w:val="0"/>
                <w:sz w:val="15"/>
              </w:rPr>
              <w:t>tested code/configuration, before/after evidence</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Finance</w:t>
            </w:r>
          </w:p>
        </w:tc>
        <w:tc>
          <w:tcPr>
            <w:tcW w:type="dxa" w:w="4032"/>
            <w:vAlign w:val="top"/>
            <w:tcMar>
              <w:top w:w="80" w:type="dxa"/>
              <w:start w:w="80" w:type="dxa"/>
              <w:bottom w:w="80" w:type="dxa"/>
              <w:end w:w="80" w:type="dxa"/>
            </w:tcMar>
            <w:shd w:fill="F8F9FA"/>
          </w:tcPr>
          <w:p>
            <w:pPr>
              <w:spacing w:after="0"/>
            </w:pPr>
            <w:r/>
            <w:r>
              <w:rPr>
                <w:rFonts w:ascii="Aptos" w:hAnsi="Aptos"/>
                <w:b w:val="0"/>
                <w:sz w:val="15"/>
              </w:rPr>
              <w:t>budget authority, accounting, chargeback and reconciliation</w:t>
            </w:r>
          </w:p>
        </w:tc>
        <w:tc>
          <w:tcPr>
            <w:tcW w:type="dxa" w:w="3888"/>
            <w:vAlign w:val="top"/>
            <w:tcMar>
              <w:top w:w="80" w:type="dxa"/>
              <w:start w:w="80" w:type="dxa"/>
              <w:bottom w:w="80" w:type="dxa"/>
              <w:end w:w="80" w:type="dxa"/>
            </w:tcMar>
            <w:shd w:fill="F8F9FA"/>
          </w:tcPr>
          <w:p>
            <w:pPr>
              <w:spacing w:after="0"/>
            </w:pPr>
            <w:r/>
            <w:r>
              <w:rPr>
                <w:rFonts w:ascii="Aptos" w:hAnsi="Aptos"/>
                <w:b w:val="0"/>
                <w:sz w:val="15"/>
              </w:rPr>
              <w:t>approved budget, journal, invoice reconciliation</w:t>
            </w:r>
          </w:p>
        </w:tc>
      </w:tr>
      <w:tr>
        <w:tc>
          <w:tcPr>
            <w:tcW w:type="dxa" w:w="1728"/>
            <w:vAlign w:val="top"/>
            <w:tcMar>
              <w:top w:w="80" w:type="dxa"/>
              <w:start w:w="80" w:type="dxa"/>
              <w:bottom w:w="80" w:type="dxa"/>
              <w:end w:w="80" w:type="dxa"/>
            </w:tcMar>
          </w:tcPr>
          <w:p>
            <w:pPr>
              <w:spacing w:after="0"/>
            </w:pPr>
            <w:r/>
            <w:r>
              <w:rPr>
                <w:rFonts w:ascii="Aptos" w:hAnsi="Aptos"/>
                <w:b w:val="0"/>
                <w:sz w:val="15"/>
              </w:rPr>
              <w:t>Procurement</w:t>
            </w:r>
          </w:p>
        </w:tc>
        <w:tc>
          <w:tcPr>
            <w:tcW w:type="dxa" w:w="4032"/>
            <w:vAlign w:val="top"/>
            <w:tcMar>
              <w:top w:w="80" w:type="dxa"/>
              <w:start w:w="80" w:type="dxa"/>
              <w:bottom w:w="80" w:type="dxa"/>
              <w:end w:w="80" w:type="dxa"/>
            </w:tcMar>
          </w:tcPr>
          <w:p>
            <w:pPr>
              <w:spacing w:after="0"/>
            </w:pPr>
            <w:r/>
            <w:r>
              <w:rPr>
                <w:rFonts w:ascii="Aptos" w:hAnsi="Aptos"/>
                <w:b w:val="0"/>
                <w:sz w:val="15"/>
              </w:rPr>
              <w:t>contract, discount and renewal strategy</w:t>
            </w:r>
          </w:p>
        </w:tc>
        <w:tc>
          <w:tcPr>
            <w:tcW w:type="dxa" w:w="3888"/>
            <w:vAlign w:val="top"/>
            <w:tcMar>
              <w:top w:w="80" w:type="dxa"/>
              <w:start w:w="80" w:type="dxa"/>
              <w:bottom w:w="80" w:type="dxa"/>
              <w:end w:w="80" w:type="dxa"/>
            </w:tcMar>
          </w:tcPr>
          <w:p>
            <w:pPr>
              <w:spacing w:after="0"/>
            </w:pPr>
            <w:r/>
            <w:r>
              <w:rPr>
                <w:rFonts w:ascii="Aptos" w:hAnsi="Aptos"/>
                <w:b w:val="0"/>
                <w:sz w:val="15"/>
              </w:rPr>
              <w:t>commercial scenarios and negotiation plan</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SRE</w:t>
            </w:r>
          </w:p>
        </w:tc>
        <w:tc>
          <w:tcPr>
            <w:tcW w:type="dxa" w:w="4032"/>
            <w:vAlign w:val="top"/>
            <w:tcMar>
              <w:top w:w="80" w:type="dxa"/>
              <w:start w:w="80" w:type="dxa"/>
              <w:bottom w:w="80" w:type="dxa"/>
              <w:end w:w="80" w:type="dxa"/>
            </w:tcMar>
            <w:shd w:fill="F8F9FA"/>
          </w:tcPr>
          <w:p>
            <w:pPr>
              <w:spacing w:after="0"/>
            </w:pPr>
            <w:r/>
            <w:r>
              <w:rPr>
                <w:rFonts w:ascii="Aptos" w:hAnsi="Aptos"/>
                <w:b w:val="0"/>
                <w:sz w:val="15"/>
              </w:rPr>
              <w:t>SLO, capacity and resilience constraints</w:t>
            </w:r>
          </w:p>
        </w:tc>
        <w:tc>
          <w:tcPr>
            <w:tcW w:type="dxa" w:w="3888"/>
            <w:vAlign w:val="top"/>
            <w:tcMar>
              <w:top w:w="80" w:type="dxa"/>
              <w:start w:w="80" w:type="dxa"/>
              <w:bottom w:w="80" w:type="dxa"/>
              <w:end w:w="80" w:type="dxa"/>
            </w:tcMar>
            <w:shd w:fill="F8F9FA"/>
          </w:tcPr>
          <w:p>
            <w:pPr>
              <w:spacing w:after="0"/>
            </w:pPr>
            <w:r/>
            <w:r>
              <w:rPr>
                <w:rFonts w:ascii="Aptos" w:hAnsi="Aptos"/>
                <w:b w:val="0"/>
                <w:sz w:val="15"/>
              </w:rPr>
              <w:t>performance validation and operational risk assessment</w:t>
            </w:r>
          </w:p>
        </w:tc>
      </w:tr>
      <w:tr>
        <w:tc>
          <w:tcPr>
            <w:tcW w:type="dxa" w:w="1728"/>
            <w:vAlign w:val="top"/>
            <w:tcMar>
              <w:top w:w="80" w:type="dxa"/>
              <w:start w:w="80" w:type="dxa"/>
              <w:bottom w:w="80" w:type="dxa"/>
              <w:end w:w="80" w:type="dxa"/>
            </w:tcMar>
          </w:tcPr>
          <w:p>
            <w:pPr>
              <w:spacing w:after="0"/>
            </w:pPr>
            <w:r/>
            <w:r>
              <w:rPr>
                <w:rFonts w:ascii="Aptos" w:hAnsi="Aptos"/>
                <w:b w:val="0"/>
                <w:sz w:val="15"/>
              </w:rPr>
              <w:t>Security/Privacy</w:t>
            </w:r>
          </w:p>
        </w:tc>
        <w:tc>
          <w:tcPr>
            <w:tcW w:type="dxa" w:w="4032"/>
            <w:vAlign w:val="top"/>
            <w:tcMar>
              <w:top w:w="80" w:type="dxa"/>
              <w:start w:w="80" w:type="dxa"/>
              <w:bottom w:w="80" w:type="dxa"/>
              <w:end w:w="80" w:type="dxa"/>
            </w:tcMar>
          </w:tcPr>
          <w:p>
            <w:pPr>
              <w:spacing w:after="0"/>
            </w:pPr>
            <w:r/>
            <w:r>
              <w:rPr>
                <w:rFonts w:ascii="Aptos" w:hAnsi="Aptos"/>
                <w:b w:val="0"/>
                <w:sz w:val="15"/>
              </w:rPr>
              <w:t>control and data-handling constraints</w:t>
            </w:r>
          </w:p>
        </w:tc>
        <w:tc>
          <w:tcPr>
            <w:tcW w:type="dxa" w:w="3888"/>
            <w:vAlign w:val="top"/>
            <w:tcMar>
              <w:top w:w="80" w:type="dxa"/>
              <w:start w:w="80" w:type="dxa"/>
              <w:bottom w:w="80" w:type="dxa"/>
              <w:end w:w="80" w:type="dxa"/>
            </w:tcMar>
          </w:tcPr>
          <w:p>
            <w:pPr>
              <w:spacing w:after="0"/>
            </w:pPr>
            <w:r/>
            <w:r>
              <w:rPr>
                <w:rFonts w:ascii="Aptos" w:hAnsi="Aptos"/>
                <w:b w:val="0"/>
                <w:sz w:val="15"/>
              </w:rPr>
              <w:t>approval for retention, logging or data-movement changes</w:t>
            </w:r>
          </w:p>
        </w:tc>
      </w:tr>
    </w:tbl>
    <w:p>
      <w:pPr>
        <w:jc w:val="center"/>
      </w:pPr>
      <w:r>
        <w:drawing>
          <wp:inline xmlns:a="http://schemas.openxmlformats.org/drawingml/2006/main" xmlns:pic="http://schemas.openxmlformats.org/drawingml/2006/picture">
            <wp:extent cx="6126480" cy="5758891"/>
            <wp:docPr id="2" name="Picture 2" descr="Image: image2.png"/>
            <wp:cNvGraphicFramePr>
              <a:graphicFrameLocks noChangeAspect="1"/>
            </wp:cNvGraphicFramePr>
            <a:graphic>
              <a:graphicData uri="http://schemas.openxmlformats.org/drawingml/2006/picture">
                <pic:pic>
                  <pic:nvPicPr>
                    <pic:cNvPr id="0" name="cost_review_operating_model.png"/>
                    <pic:cNvPicPr/>
                  </pic:nvPicPr>
                  <pic:blipFill>
                    <a:blip r:embed="rId12"/>
                    <a:stretch>
                      <a:fillRect/>
                    </a:stretch>
                  </pic:blipFill>
                  <pic:spPr>
                    <a:xfrm>
                      <a:off x="0" y="0"/>
                      <a:ext cx="6126480" cy="5758891"/>
                    </a:xfrm>
                    <a:prstGeom prst="rect"/>
                  </pic:spPr>
                </pic:pic>
              </a:graphicData>
            </a:graphic>
          </wp:inline>
        </w:drawing>
      </w:r>
    </w:p>
    <w:p>
      <w:pPr>
        <w:pStyle w:val="Small"/>
        <w:jc w:val="center"/>
      </w:pPr>
      <w:r>
        <w:rPr>
          <w:i/>
        </w:rPr>
        <w:t>Figure 2 - FinOps review cadence and decision evidence</w:t>
      </w:r>
    </w:p>
    <w:p>
      <w:pPr>
        <w:pStyle w:val="Heading1"/>
      </w:pPr>
      <w:r>
        <w:t>5. Cost Ownership and Accountability</w:t>
      </w:r>
    </w:p>
    <w:p>
      <w:r>
        <w:t>Every cost line must resolve to an accountable owner through one of four paths: direct resource attribution, project-to-product mapping, service-specific usage allocation or an approved shared-platform pool. Unallocated cost is not silently spread across consumers; it is reported as a governance defect with an owner and due date.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vAlign w:val="top"/>
            <w:tcMar>
              <w:top w:w="80" w:type="dxa"/>
              <w:start w:w="80" w:type="dxa"/>
              <w:bottom w:w="80" w:type="dxa"/>
              <w:end w:w="80" w:type="dxa"/>
            </w:tcMar>
            <w:shd w:fill="1A73E8"/>
          </w:tcPr>
          <w:p>
            <w:pPr>
              <w:spacing w:after="0"/>
            </w:pPr>
            <w:r/>
            <w:r>
              <w:rPr>
                <w:rFonts w:ascii="Aptos" w:hAnsi="Aptos"/>
                <w:b/>
                <w:color w:val="FFFFFF"/>
                <w:sz w:val="15"/>
              </w:rPr>
              <w:t>Ownership layer</w:t>
            </w:r>
          </w:p>
        </w:tc>
        <w:tc>
          <w:tcPr>
            <w:tcW w:type="dxa" w:w="2160"/>
            <w:vAlign w:val="top"/>
            <w:tcMar>
              <w:top w:w="80" w:type="dxa"/>
              <w:start w:w="80" w:type="dxa"/>
              <w:bottom w:w="80" w:type="dxa"/>
              <w:end w:w="80" w:type="dxa"/>
            </w:tcMar>
            <w:shd w:fill="1A73E8"/>
          </w:tcPr>
          <w:p>
            <w:pPr>
              <w:spacing w:after="0"/>
            </w:pPr>
            <w:r/>
            <w:r>
              <w:rPr>
                <w:rFonts w:ascii="Aptos" w:hAnsi="Aptos"/>
                <w:b/>
                <w:color w:val="FFFFFF"/>
                <w:sz w:val="15"/>
              </w:rPr>
              <w:t>Owner</w:t>
            </w:r>
          </w:p>
        </w:tc>
        <w:tc>
          <w:tcPr>
            <w:tcW w:type="dxa" w:w="3312"/>
            <w:vAlign w:val="top"/>
            <w:tcMar>
              <w:top w:w="80" w:type="dxa"/>
              <w:start w:w="80" w:type="dxa"/>
              <w:bottom w:w="80" w:type="dxa"/>
              <w:end w:w="80" w:type="dxa"/>
            </w:tcMar>
            <w:shd w:fill="1A73E8"/>
          </w:tcPr>
          <w:p>
            <w:pPr>
              <w:spacing w:after="0"/>
            </w:pPr>
            <w:r/>
            <w:r>
              <w:rPr>
                <w:rFonts w:ascii="Aptos" w:hAnsi="Aptos"/>
                <w:b/>
                <w:color w:val="FFFFFF"/>
                <w:sz w:val="15"/>
              </w:rPr>
              <w:t>Examples</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Required metadata</w:t>
            </w:r>
          </w:p>
        </w:tc>
      </w:tr>
      <w:tr>
        <w:tc>
          <w:tcPr>
            <w:tcW w:type="dxa" w:w="1584"/>
            <w:vAlign w:val="top"/>
            <w:tcMar>
              <w:top w:w="80" w:type="dxa"/>
              <w:start w:w="80" w:type="dxa"/>
              <w:bottom w:w="80" w:type="dxa"/>
              <w:end w:w="80" w:type="dxa"/>
            </w:tcMar>
          </w:tcPr>
          <w:p>
            <w:pPr>
              <w:spacing w:after="0"/>
            </w:pPr>
            <w:r/>
            <w:r>
              <w:rPr>
                <w:rFonts w:ascii="Aptos" w:hAnsi="Aptos"/>
                <w:b w:val="0"/>
                <w:sz w:val="15"/>
              </w:rPr>
              <w:t>Enterprise portfolio</w:t>
            </w:r>
          </w:p>
        </w:tc>
        <w:tc>
          <w:tcPr>
            <w:tcW w:type="dxa" w:w="2160"/>
            <w:vAlign w:val="top"/>
            <w:tcMar>
              <w:top w:w="80" w:type="dxa"/>
              <w:start w:w="80" w:type="dxa"/>
              <w:bottom w:w="80" w:type="dxa"/>
              <w:end w:w="80" w:type="dxa"/>
            </w:tcMar>
          </w:tcPr>
          <w:p>
            <w:pPr>
              <w:spacing w:after="0"/>
            </w:pPr>
            <w:r/>
            <w:r>
              <w:rPr>
                <w:rFonts w:ascii="Aptos" w:hAnsi="Aptos"/>
                <w:b w:val="0"/>
                <w:sz w:val="15"/>
              </w:rPr>
              <w:t>CFO/CIO delegates and FinOps Council</w:t>
            </w:r>
          </w:p>
        </w:tc>
        <w:tc>
          <w:tcPr>
            <w:tcW w:type="dxa" w:w="3312"/>
            <w:vAlign w:val="top"/>
            <w:tcMar>
              <w:top w:w="80" w:type="dxa"/>
              <w:start w:w="80" w:type="dxa"/>
              <w:bottom w:w="80" w:type="dxa"/>
              <w:end w:w="80" w:type="dxa"/>
            </w:tcMar>
          </w:tcPr>
          <w:p>
            <w:pPr>
              <w:spacing w:after="0"/>
            </w:pPr>
            <w:r/>
            <w:r>
              <w:rPr>
                <w:rFonts w:ascii="Aptos" w:hAnsi="Aptos"/>
                <w:b w:val="0"/>
                <w:sz w:val="15"/>
              </w:rPr>
              <w:t>billing account, enterprise commitments, major contracts</w:t>
            </w:r>
          </w:p>
        </w:tc>
        <w:tc>
          <w:tcPr>
            <w:tcW w:type="dxa" w:w="2880"/>
            <w:vAlign w:val="top"/>
            <w:tcMar>
              <w:top w:w="80" w:type="dxa"/>
              <w:start w:w="80" w:type="dxa"/>
              <w:bottom w:w="80" w:type="dxa"/>
              <w:end w:w="80" w:type="dxa"/>
            </w:tcMar>
          </w:tcPr>
          <w:p>
            <w:pPr>
              <w:spacing w:after="0"/>
            </w:pPr>
            <w:r/>
            <w:r>
              <w:rPr>
                <w:rFonts w:ascii="Aptos" w:hAnsi="Aptos"/>
                <w:b w:val="0"/>
                <w:sz w:val="15"/>
              </w:rPr>
              <w:t>legal entity, currency, contract, billing account</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Platform product</w:t>
            </w:r>
          </w:p>
        </w:tc>
        <w:tc>
          <w:tcPr>
            <w:tcW w:type="dxa" w:w="2160"/>
            <w:vAlign w:val="top"/>
            <w:tcMar>
              <w:top w:w="80" w:type="dxa"/>
              <w:start w:w="80" w:type="dxa"/>
              <w:bottom w:w="80" w:type="dxa"/>
              <w:end w:w="80" w:type="dxa"/>
            </w:tcMar>
            <w:shd w:fill="F8F9FA"/>
          </w:tcPr>
          <w:p>
            <w:pPr>
              <w:spacing w:after="0"/>
            </w:pPr>
            <w:r/>
            <w:r>
              <w:rPr>
                <w:rFonts w:ascii="Aptos" w:hAnsi="Aptos"/>
                <w:b w:val="0"/>
                <w:sz w:val="15"/>
              </w:rPr>
              <w:t>platform product owner</w:t>
            </w:r>
          </w:p>
        </w:tc>
        <w:tc>
          <w:tcPr>
            <w:tcW w:type="dxa" w:w="3312"/>
            <w:vAlign w:val="top"/>
            <w:tcMar>
              <w:top w:w="80" w:type="dxa"/>
              <w:start w:w="80" w:type="dxa"/>
              <w:bottom w:w="80" w:type="dxa"/>
              <w:end w:w="80" w:type="dxa"/>
            </w:tcMar>
            <w:shd w:fill="F8F9FA"/>
          </w:tcPr>
          <w:p>
            <w:pPr>
              <w:spacing w:after="0"/>
            </w:pPr>
            <w:r/>
            <w:r>
              <w:rPr>
                <w:rFonts w:ascii="Aptos" w:hAnsi="Aptos"/>
                <w:b w:val="0"/>
                <w:sz w:val="15"/>
              </w:rPr>
              <w:t>landing zone, governance, observability, shared ingestion</w:t>
            </w:r>
          </w:p>
        </w:tc>
        <w:tc>
          <w:tcPr>
            <w:tcW w:type="dxa" w:w="2880"/>
            <w:vAlign w:val="top"/>
            <w:tcMar>
              <w:top w:w="80" w:type="dxa"/>
              <w:start w:w="80" w:type="dxa"/>
              <w:bottom w:w="80" w:type="dxa"/>
              <w:end w:w="80" w:type="dxa"/>
            </w:tcMar>
            <w:shd w:fill="F8F9FA"/>
          </w:tcPr>
          <w:p>
            <w:pPr>
              <w:spacing w:after="0"/>
            </w:pPr>
            <w:r/>
            <w:r>
              <w:rPr>
                <w:rFonts w:ascii="Aptos" w:hAnsi="Aptos"/>
                <w:b w:val="0"/>
                <w:sz w:val="15"/>
              </w:rPr>
              <w:t>platform product, owner, allocation model</w:t>
            </w:r>
          </w:p>
        </w:tc>
      </w:tr>
      <w:tr>
        <w:tc>
          <w:tcPr>
            <w:tcW w:type="dxa" w:w="1584"/>
            <w:vAlign w:val="top"/>
            <w:tcMar>
              <w:top w:w="80" w:type="dxa"/>
              <w:start w:w="80" w:type="dxa"/>
              <w:bottom w:w="80" w:type="dxa"/>
              <w:end w:w="80" w:type="dxa"/>
            </w:tcMar>
          </w:tcPr>
          <w:p>
            <w:pPr>
              <w:spacing w:after="0"/>
            </w:pPr>
            <w:r/>
            <w:r>
              <w:rPr>
                <w:rFonts w:ascii="Aptos" w:hAnsi="Aptos"/>
                <w:b w:val="0"/>
                <w:sz w:val="15"/>
              </w:rPr>
              <w:t>Domain</w:t>
            </w:r>
          </w:p>
        </w:tc>
        <w:tc>
          <w:tcPr>
            <w:tcW w:type="dxa" w:w="2160"/>
            <w:vAlign w:val="top"/>
            <w:tcMar>
              <w:top w:w="80" w:type="dxa"/>
              <w:start w:w="80" w:type="dxa"/>
              <w:bottom w:w="80" w:type="dxa"/>
              <w:end w:w="80" w:type="dxa"/>
            </w:tcMar>
          </w:tcPr>
          <w:p>
            <w:pPr>
              <w:spacing w:after="0"/>
            </w:pPr>
            <w:r/>
            <w:r>
              <w:rPr>
                <w:rFonts w:ascii="Aptos" w:hAnsi="Aptos"/>
                <w:b w:val="0"/>
                <w:sz w:val="15"/>
              </w:rPr>
              <w:t>domain data owner</w:t>
            </w:r>
          </w:p>
        </w:tc>
        <w:tc>
          <w:tcPr>
            <w:tcW w:type="dxa" w:w="3312"/>
            <w:vAlign w:val="top"/>
            <w:tcMar>
              <w:top w:w="80" w:type="dxa"/>
              <w:start w:w="80" w:type="dxa"/>
              <w:bottom w:w="80" w:type="dxa"/>
              <w:end w:w="80" w:type="dxa"/>
            </w:tcMar>
          </w:tcPr>
          <w:p>
            <w:pPr>
              <w:spacing w:after="0"/>
            </w:pPr>
            <w:r/>
            <w:r>
              <w:rPr>
                <w:rFonts w:ascii="Aptos" w:hAnsi="Aptos"/>
                <w:b w:val="0"/>
                <w:sz w:val="15"/>
              </w:rPr>
              <w:t>sales, finance, HR, supply chain</w:t>
            </w:r>
          </w:p>
        </w:tc>
        <w:tc>
          <w:tcPr>
            <w:tcW w:type="dxa" w:w="2880"/>
            <w:vAlign w:val="top"/>
            <w:tcMar>
              <w:top w:w="80" w:type="dxa"/>
              <w:start w:w="80" w:type="dxa"/>
              <w:bottom w:w="80" w:type="dxa"/>
              <w:end w:w="80" w:type="dxa"/>
            </w:tcMar>
          </w:tcPr>
          <w:p>
            <w:pPr>
              <w:spacing w:after="0"/>
            </w:pPr>
            <w:r/>
            <w:r>
              <w:rPr>
                <w:rFonts w:ascii="Aptos" w:hAnsi="Aptos"/>
                <w:b w:val="0"/>
                <w:sz w:val="15"/>
              </w:rPr>
              <w:t>business unit, domain, cost center</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Data product</w:t>
            </w:r>
          </w:p>
        </w:tc>
        <w:tc>
          <w:tcPr>
            <w:tcW w:type="dxa" w:w="2160"/>
            <w:vAlign w:val="top"/>
            <w:tcMar>
              <w:top w:w="80" w:type="dxa"/>
              <w:start w:w="80" w:type="dxa"/>
              <w:bottom w:w="80" w:type="dxa"/>
              <w:end w:w="80" w:type="dxa"/>
            </w:tcMar>
            <w:shd w:fill="F8F9FA"/>
          </w:tcPr>
          <w:p>
            <w:pPr>
              <w:spacing w:after="0"/>
            </w:pPr>
            <w:r/>
            <w:r>
              <w:rPr>
                <w:rFonts w:ascii="Aptos" w:hAnsi="Aptos"/>
                <w:b w:val="0"/>
                <w:sz w:val="15"/>
              </w:rPr>
              <w:t>data-product owner</w:t>
            </w:r>
          </w:p>
        </w:tc>
        <w:tc>
          <w:tcPr>
            <w:tcW w:type="dxa" w:w="3312"/>
            <w:vAlign w:val="top"/>
            <w:tcMar>
              <w:top w:w="80" w:type="dxa"/>
              <w:start w:w="80" w:type="dxa"/>
              <w:bottom w:w="80" w:type="dxa"/>
              <w:end w:w="80" w:type="dxa"/>
            </w:tcMar>
            <w:shd w:fill="F8F9FA"/>
          </w:tcPr>
          <w:p>
            <w:pPr>
              <w:spacing w:after="0"/>
            </w:pPr>
            <w:r/>
            <w:r>
              <w:rPr>
                <w:rFonts w:ascii="Aptos" w:hAnsi="Aptos"/>
                <w:b w:val="0"/>
                <w:sz w:val="15"/>
              </w:rPr>
              <w:t>customer-360, daily-sales, claims analytics</w:t>
            </w:r>
          </w:p>
        </w:tc>
        <w:tc>
          <w:tcPr>
            <w:tcW w:type="dxa" w:w="2880"/>
            <w:vAlign w:val="top"/>
            <w:tcMar>
              <w:top w:w="80" w:type="dxa"/>
              <w:start w:w="80" w:type="dxa"/>
              <w:bottom w:w="80" w:type="dxa"/>
              <w:end w:w="80" w:type="dxa"/>
            </w:tcMar>
            <w:shd w:fill="F8F9FA"/>
          </w:tcPr>
          <w:p>
            <w:pPr>
              <w:spacing w:after="0"/>
            </w:pPr>
            <w:r/>
            <w:r>
              <w:rPr>
                <w:rFonts w:ascii="Aptos" w:hAnsi="Aptos"/>
                <w:b w:val="0"/>
                <w:sz w:val="15"/>
              </w:rPr>
              <w:t>product ID, tier, classification, consumers</w:t>
            </w:r>
          </w:p>
        </w:tc>
      </w:tr>
      <w:tr>
        <w:tc>
          <w:tcPr>
            <w:tcW w:type="dxa" w:w="1584"/>
            <w:vAlign w:val="top"/>
            <w:tcMar>
              <w:top w:w="80" w:type="dxa"/>
              <w:start w:w="80" w:type="dxa"/>
              <w:bottom w:w="80" w:type="dxa"/>
              <w:end w:w="80" w:type="dxa"/>
            </w:tcMar>
          </w:tcPr>
          <w:p>
            <w:pPr>
              <w:spacing w:after="0"/>
            </w:pPr>
            <w:r/>
            <w:r>
              <w:rPr>
                <w:rFonts w:ascii="Aptos" w:hAnsi="Aptos"/>
                <w:b w:val="0"/>
                <w:sz w:val="15"/>
              </w:rPr>
              <w:t>Workload</w:t>
            </w:r>
          </w:p>
        </w:tc>
        <w:tc>
          <w:tcPr>
            <w:tcW w:type="dxa" w:w="2160"/>
            <w:vAlign w:val="top"/>
            <w:tcMar>
              <w:top w:w="80" w:type="dxa"/>
              <w:start w:w="80" w:type="dxa"/>
              <w:bottom w:w="80" w:type="dxa"/>
              <w:end w:w="80" w:type="dxa"/>
            </w:tcMar>
          </w:tcPr>
          <w:p>
            <w:pPr>
              <w:spacing w:after="0"/>
            </w:pPr>
            <w:r/>
            <w:r>
              <w:rPr>
                <w:rFonts w:ascii="Aptos" w:hAnsi="Aptos"/>
                <w:b w:val="0"/>
                <w:sz w:val="15"/>
              </w:rPr>
              <w:t>engineering owner</w:t>
            </w:r>
          </w:p>
        </w:tc>
        <w:tc>
          <w:tcPr>
            <w:tcW w:type="dxa" w:w="3312"/>
            <w:vAlign w:val="top"/>
            <w:tcMar>
              <w:top w:w="80" w:type="dxa"/>
              <w:start w:w="80" w:type="dxa"/>
              <w:bottom w:w="80" w:type="dxa"/>
              <w:end w:w="80" w:type="dxa"/>
            </w:tcMar>
          </w:tcPr>
          <w:p>
            <w:pPr>
              <w:spacing w:after="0"/>
            </w:pPr>
            <w:r/>
            <w:r>
              <w:rPr>
                <w:rFonts w:ascii="Aptos" w:hAnsi="Aptos"/>
                <w:b w:val="0"/>
                <w:sz w:val="15"/>
              </w:rPr>
              <w:t>ELT job, stream, dashboard, model endpoint</w:t>
            </w:r>
          </w:p>
        </w:tc>
        <w:tc>
          <w:tcPr>
            <w:tcW w:type="dxa" w:w="2880"/>
            <w:vAlign w:val="top"/>
            <w:tcMar>
              <w:top w:w="80" w:type="dxa"/>
              <w:start w:w="80" w:type="dxa"/>
              <w:bottom w:w="80" w:type="dxa"/>
              <w:end w:w="80" w:type="dxa"/>
            </w:tcMar>
          </w:tcPr>
          <w:p>
            <w:pPr>
              <w:spacing w:after="0"/>
            </w:pPr>
            <w:r/>
            <w:r>
              <w:rPr>
                <w:rFonts w:ascii="Aptos" w:hAnsi="Aptos"/>
                <w:b w:val="0"/>
                <w:sz w:val="15"/>
              </w:rPr>
              <w:t>workload type, environment, service tier</w:t>
            </w:r>
          </w:p>
        </w:tc>
      </w:tr>
    </w:tbl>
    <w:p>
      <w:pPr>
        <w:pStyle w:val="Heading2"/>
      </w:pPr>
      <w:r>
        <w:t>5.1 Accountability policy</w:t>
      </w:r>
    </w:p>
    <w:p>
      <w:pPr>
        <w:pStyle w:val="ListBullet"/>
      </w:pPr>
      <w:r>
        <w:t>Production resources without a valid owner or cost center fail the deployment gate where the service supports labels or can be mapped through project factory metadata.</w:t>
      </w:r>
    </w:p>
    <w:p>
      <w:pPr>
        <w:pStyle w:val="ListBullet"/>
      </w:pPr>
      <w:r>
        <w:t>Owner groups must be resolvable and monitored; individual-person labels are prohibited because they become stale and create privacy concerns.</w:t>
      </w:r>
    </w:p>
    <w:p>
      <w:pPr>
        <w:pStyle w:val="ListBullet"/>
      </w:pPr>
      <w:r>
        <w:t>Every budget alert and anomaly routes to the product owner and a platform escalation group.</w:t>
      </w:r>
    </w:p>
    <w:p>
      <w:pPr>
        <w:pStyle w:val="ListBullet"/>
      </w:pPr>
      <w:r>
        <w:t>Owners may challenge allocation through a time-bound dispute workflow, but cost remains visible during investigation.</w:t>
      </w:r>
    </w:p>
    <w:p>
      <w:pPr>
        <w:pStyle w:val="Heading1"/>
      </w:pPr>
      <w:r>
        <w:t>6. Billing-Account and Cost-Center Structure</w:t>
      </w:r>
    </w:p>
    <w:p>
      <w:r>
        <w:t>Billing accounts are commercial and legal constructs, not team folders. The default is the smallest number of accounts that supports enterprise contracts and consolidated optimization. Separate billing accounts are justified for different legal entities, currencies, tax treatment, reseller relationships, contract terms or mandated separation. Project hierarchy and labels provide team-level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top"/>
            <w:tcMar>
              <w:top w:w="80" w:type="dxa"/>
              <w:start w:w="80" w:type="dxa"/>
              <w:bottom w:w="80" w:type="dxa"/>
              <w:end w:w="80" w:type="dxa"/>
            </w:tcMar>
            <w:shd w:fill="1A73E8"/>
          </w:tcPr>
          <w:p>
            <w:pPr>
              <w:spacing w:after="0"/>
            </w:pPr>
            <w:r/>
            <w:r>
              <w:rPr>
                <w:rFonts w:ascii="Aptos" w:hAnsi="Aptos"/>
                <w:b/>
                <w:color w:val="FFFFFF"/>
                <w:sz w:val="15"/>
              </w:rPr>
              <w:t>Layer</w:t>
            </w:r>
          </w:p>
        </w:tc>
        <w:tc>
          <w:tcPr>
            <w:tcW w:type="dxa" w:w="4608"/>
            <w:vAlign w:val="top"/>
            <w:tcMar>
              <w:top w:w="80" w:type="dxa"/>
              <w:start w:w="80" w:type="dxa"/>
              <w:bottom w:w="80" w:type="dxa"/>
              <w:end w:w="80" w:type="dxa"/>
            </w:tcMar>
            <w:shd w:fill="1A73E8"/>
          </w:tcPr>
          <w:p>
            <w:pPr>
              <w:spacing w:after="0"/>
            </w:pPr>
            <w:r/>
            <w:r>
              <w:rPr>
                <w:rFonts w:ascii="Aptos" w:hAnsi="Aptos"/>
                <w:b/>
                <w:color w:val="FFFFFF"/>
                <w:sz w:val="15"/>
              </w:rPr>
              <w:t>Design standard</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Anti-pattern</w:t>
            </w:r>
          </w:p>
        </w:tc>
      </w:tr>
      <w:tr>
        <w:tc>
          <w:tcPr>
            <w:tcW w:type="dxa" w:w="2016"/>
            <w:vAlign w:val="top"/>
            <w:tcMar>
              <w:top w:w="80" w:type="dxa"/>
              <w:start w:w="80" w:type="dxa"/>
              <w:bottom w:w="80" w:type="dxa"/>
              <w:end w:w="80" w:type="dxa"/>
            </w:tcMar>
          </w:tcPr>
          <w:p>
            <w:pPr>
              <w:spacing w:after="0"/>
            </w:pPr>
            <w:r/>
            <w:r>
              <w:rPr>
                <w:rFonts w:ascii="Aptos" w:hAnsi="Aptos"/>
                <w:b w:val="0"/>
                <w:sz w:val="15"/>
              </w:rPr>
              <w:t>Cloud Billing account</w:t>
            </w:r>
          </w:p>
        </w:tc>
        <w:tc>
          <w:tcPr>
            <w:tcW w:type="dxa" w:w="4608"/>
            <w:vAlign w:val="top"/>
            <w:tcMar>
              <w:top w:w="80" w:type="dxa"/>
              <w:start w:w="80" w:type="dxa"/>
              <w:bottom w:w="80" w:type="dxa"/>
              <w:end w:w="80" w:type="dxa"/>
            </w:tcMar>
          </w:tcPr>
          <w:p>
            <w:pPr>
              <w:spacing w:after="0"/>
            </w:pPr>
            <w:r/>
            <w:r>
              <w:rPr>
                <w:rFonts w:ascii="Aptos" w:hAnsi="Aptos"/>
                <w:b w:val="0"/>
                <w:sz w:val="15"/>
              </w:rPr>
              <w:t>align to contract/legal boundary; centrally administered</w:t>
            </w:r>
          </w:p>
        </w:tc>
        <w:tc>
          <w:tcPr>
            <w:tcW w:type="dxa" w:w="2880"/>
            <w:vAlign w:val="top"/>
            <w:tcMar>
              <w:top w:w="80" w:type="dxa"/>
              <w:start w:w="80" w:type="dxa"/>
              <w:bottom w:w="80" w:type="dxa"/>
              <w:end w:w="80" w:type="dxa"/>
            </w:tcMar>
          </w:tcPr>
          <w:p>
            <w:pPr>
              <w:spacing w:after="0"/>
            </w:pPr>
            <w:r/>
            <w:r>
              <w:rPr>
                <w:rFonts w:ascii="Aptos" w:hAnsi="Aptos"/>
                <w:b w:val="0"/>
                <w:sz w:val="15"/>
              </w:rPr>
              <w:t>one billing account per domain or project</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Billing export project</w:t>
            </w:r>
          </w:p>
        </w:tc>
        <w:tc>
          <w:tcPr>
            <w:tcW w:type="dxa" w:w="4608"/>
            <w:vAlign w:val="top"/>
            <w:tcMar>
              <w:top w:w="80" w:type="dxa"/>
              <w:start w:w="80" w:type="dxa"/>
              <w:bottom w:w="80" w:type="dxa"/>
              <w:end w:w="80" w:type="dxa"/>
            </w:tcMar>
            <w:shd w:fill="F8F9FA"/>
          </w:tcPr>
          <w:p>
            <w:pPr>
              <w:spacing w:after="0"/>
            </w:pPr>
            <w:r/>
            <w:r>
              <w:rPr>
                <w:rFonts w:ascii="Aptos" w:hAnsi="Aptos"/>
                <w:b w:val="0"/>
                <w:sz w:val="15"/>
              </w:rPr>
              <w:t>dedicated FinOps project with restricted administration</w:t>
            </w:r>
          </w:p>
        </w:tc>
        <w:tc>
          <w:tcPr>
            <w:tcW w:type="dxa" w:w="2880"/>
            <w:vAlign w:val="top"/>
            <w:tcMar>
              <w:top w:w="80" w:type="dxa"/>
              <w:start w:w="80" w:type="dxa"/>
              <w:bottom w:w="80" w:type="dxa"/>
              <w:end w:w="80" w:type="dxa"/>
            </w:tcMar>
            <w:shd w:fill="F8F9FA"/>
          </w:tcPr>
          <w:p>
            <w:pPr>
              <w:spacing w:after="0"/>
            </w:pPr>
            <w:r/>
            <w:r>
              <w:rPr>
                <w:rFonts w:ascii="Aptos" w:hAnsi="Aptos"/>
                <w:b w:val="0"/>
                <w:sz w:val="15"/>
              </w:rPr>
              <w:t>export dataset in a domain sandbox</w:t>
            </w:r>
          </w:p>
        </w:tc>
      </w:tr>
      <w:tr>
        <w:tc>
          <w:tcPr>
            <w:tcW w:type="dxa" w:w="2016"/>
            <w:vAlign w:val="top"/>
            <w:tcMar>
              <w:top w:w="80" w:type="dxa"/>
              <w:start w:w="80" w:type="dxa"/>
              <w:bottom w:w="80" w:type="dxa"/>
              <w:end w:w="80" w:type="dxa"/>
            </w:tcMar>
          </w:tcPr>
          <w:p>
            <w:pPr>
              <w:spacing w:after="0"/>
            </w:pPr>
            <w:r/>
            <w:r>
              <w:rPr>
                <w:rFonts w:ascii="Aptos" w:hAnsi="Aptos"/>
                <w:b w:val="0"/>
                <w:sz w:val="15"/>
              </w:rPr>
              <w:t>Cost-center mapping</w:t>
            </w:r>
          </w:p>
        </w:tc>
        <w:tc>
          <w:tcPr>
            <w:tcW w:type="dxa" w:w="4608"/>
            <w:vAlign w:val="top"/>
            <w:tcMar>
              <w:top w:w="80" w:type="dxa"/>
              <w:start w:w="80" w:type="dxa"/>
              <w:bottom w:w="80" w:type="dxa"/>
              <w:end w:w="80" w:type="dxa"/>
            </w:tcMar>
          </w:tcPr>
          <w:p>
            <w:pPr>
              <w:spacing w:after="0"/>
            </w:pPr>
            <w:r/>
            <w:r>
              <w:rPr>
                <w:rFonts w:ascii="Aptos" w:hAnsi="Aptos"/>
                <w:b w:val="0"/>
                <w:sz w:val="15"/>
              </w:rPr>
              <w:t>authoritative finance master mapped to projects/products</w:t>
            </w:r>
          </w:p>
        </w:tc>
        <w:tc>
          <w:tcPr>
            <w:tcW w:type="dxa" w:w="2880"/>
            <w:vAlign w:val="top"/>
            <w:tcMar>
              <w:top w:w="80" w:type="dxa"/>
              <w:start w:w="80" w:type="dxa"/>
              <w:bottom w:w="80" w:type="dxa"/>
              <w:end w:w="80" w:type="dxa"/>
            </w:tcMar>
          </w:tcPr>
          <w:p>
            <w:pPr>
              <w:spacing w:after="0"/>
            </w:pPr>
            <w:r/>
            <w:r>
              <w:rPr>
                <w:rFonts w:ascii="Aptos" w:hAnsi="Aptos"/>
                <w:b w:val="0"/>
                <w:sz w:val="15"/>
              </w:rPr>
              <w:t>free-text owner-entered cost centers</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Invoice reconciliation</w:t>
            </w:r>
          </w:p>
        </w:tc>
        <w:tc>
          <w:tcPr>
            <w:tcW w:type="dxa" w:w="4608"/>
            <w:vAlign w:val="top"/>
            <w:tcMar>
              <w:top w:w="80" w:type="dxa"/>
              <w:start w:w="80" w:type="dxa"/>
              <w:bottom w:w="80" w:type="dxa"/>
              <w:end w:w="80" w:type="dxa"/>
            </w:tcMar>
            <w:shd w:fill="F8F9FA"/>
          </w:tcPr>
          <w:p>
            <w:pPr>
              <w:spacing w:after="0"/>
            </w:pPr>
            <w:r/>
            <w:r>
              <w:rPr>
                <w:rFonts w:ascii="Aptos" w:hAnsi="Aptos"/>
                <w:b w:val="0"/>
                <w:sz w:val="15"/>
              </w:rPr>
              <w:t>invoice month, credits, adjustments and late data handled</w:t>
            </w:r>
          </w:p>
        </w:tc>
        <w:tc>
          <w:tcPr>
            <w:tcW w:type="dxa" w:w="2880"/>
            <w:vAlign w:val="top"/>
            <w:tcMar>
              <w:top w:w="80" w:type="dxa"/>
              <w:start w:w="80" w:type="dxa"/>
              <w:bottom w:w="80" w:type="dxa"/>
              <w:end w:w="80" w:type="dxa"/>
            </w:tcMar>
            <w:shd w:fill="F8F9FA"/>
          </w:tcPr>
          <w:p>
            <w:pPr>
              <w:spacing w:after="0"/>
            </w:pPr>
            <w:r/>
            <w:r>
              <w:rPr>
                <w:rFonts w:ascii="Aptos" w:hAnsi="Aptos"/>
                <w:b w:val="0"/>
                <w:sz w:val="15"/>
              </w:rPr>
              <w:t>daily export treated as final invoice</w:t>
            </w:r>
          </w:p>
        </w:tc>
      </w:tr>
      <w:tr>
        <w:tc>
          <w:tcPr>
            <w:tcW w:type="dxa" w:w="2016"/>
            <w:vAlign w:val="top"/>
            <w:tcMar>
              <w:top w:w="80" w:type="dxa"/>
              <w:start w:w="80" w:type="dxa"/>
              <w:bottom w:w="80" w:type="dxa"/>
              <w:end w:w="80" w:type="dxa"/>
            </w:tcMar>
          </w:tcPr>
          <w:p>
            <w:pPr>
              <w:spacing w:after="0"/>
            </w:pPr>
            <w:r/>
            <w:r>
              <w:rPr>
                <w:rFonts w:ascii="Aptos" w:hAnsi="Aptos"/>
                <w:b w:val="0"/>
                <w:sz w:val="15"/>
              </w:rPr>
              <w:t>Cross-account consolidation</w:t>
            </w:r>
          </w:p>
        </w:tc>
        <w:tc>
          <w:tcPr>
            <w:tcW w:type="dxa" w:w="4608"/>
            <w:vAlign w:val="top"/>
            <w:tcMar>
              <w:top w:w="80" w:type="dxa"/>
              <w:start w:w="80" w:type="dxa"/>
              <w:bottom w:w="80" w:type="dxa"/>
              <w:end w:w="80" w:type="dxa"/>
            </w:tcMar>
          </w:tcPr>
          <w:p>
            <w:pPr>
              <w:spacing w:after="0"/>
            </w:pPr>
            <w:r/>
            <w:r>
              <w:rPr>
                <w:rFonts w:ascii="Aptos" w:hAnsi="Aptos"/>
                <w:b w:val="0"/>
                <w:sz w:val="15"/>
              </w:rPr>
              <w:t>normalized enterprise views and currency/accounting policy</w:t>
            </w:r>
          </w:p>
        </w:tc>
        <w:tc>
          <w:tcPr>
            <w:tcW w:type="dxa" w:w="2880"/>
            <w:vAlign w:val="top"/>
            <w:tcMar>
              <w:top w:w="80" w:type="dxa"/>
              <w:start w:w="80" w:type="dxa"/>
              <w:bottom w:w="80" w:type="dxa"/>
              <w:end w:w="80" w:type="dxa"/>
            </w:tcMar>
          </w:tcPr>
          <w:p>
            <w:pPr>
              <w:spacing w:after="0"/>
            </w:pPr>
            <w:r/>
            <w:r>
              <w:rPr>
                <w:rFonts w:ascii="Aptos" w:hAnsi="Aptos"/>
                <w:b w:val="0"/>
                <w:sz w:val="15"/>
              </w:rPr>
              <w:t>manual spreadsheet copy/paste as system of record</w:t>
            </w:r>
          </w:p>
        </w:tc>
      </w:tr>
    </w:tbl>
    <w:p>
      <w:r>
        <w:t>Regional design. The FOCUS, standard and detailed exports must use a supported dataset location. Selection must consider finance access, data residency, downstream dashboards, VPC Service Controls and cross-region query cost. A central global view may aggregate only fields approved for cross-region movement; regulated legal-entity details can remain regional.</w:t>
      </w:r>
    </w:p>
    <w:p>
      <w:pPr>
        <w:pStyle w:val="Heading1"/>
      </w:pPr>
      <w:r>
        <w:t>7. Resource Labeling and Tagging</w:t>
      </w:r>
    </w:p>
    <w:p>
      <w:r>
        <w:t>Labels support cost attribution and operational search. Resource Manager tags support centrally managed policy and inheritance use cases. Project-factory metadata provides a fallback for services or charge lines that lack granular labels. The implementation must not assume every SKU carries every resource label in the billing export.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vAlign w:val="top"/>
            <w:tcMar>
              <w:top w:w="80" w:type="dxa"/>
              <w:start w:w="80" w:type="dxa"/>
              <w:bottom w:w="80" w:type="dxa"/>
              <w:end w:w="80" w:type="dxa"/>
            </w:tcMar>
            <w:shd w:fill="1A73E8"/>
          </w:tcPr>
          <w:p>
            <w:pPr>
              <w:spacing w:after="0"/>
            </w:pPr>
            <w:r/>
            <w:r>
              <w:rPr>
                <w:rFonts w:ascii="Aptos" w:hAnsi="Aptos"/>
                <w:b/>
                <w:color w:val="FFFFFF"/>
                <w:sz w:val="14"/>
              </w:rPr>
              <w:t>Key</w:t>
            </w:r>
          </w:p>
        </w:tc>
        <w:tc>
          <w:tcPr>
            <w:tcW w:type="dxa" w:w="1440"/>
            <w:vAlign w:val="top"/>
            <w:tcMar>
              <w:top w:w="80" w:type="dxa"/>
              <w:start w:w="80" w:type="dxa"/>
              <w:bottom w:w="80" w:type="dxa"/>
              <w:end w:w="80" w:type="dxa"/>
            </w:tcMar>
            <w:shd w:fill="1A73E8"/>
          </w:tcPr>
          <w:p>
            <w:pPr>
              <w:spacing w:after="0"/>
            </w:pPr>
            <w:r/>
            <w:r>
              <w:rPr>
                <w:rFonts w:ascii="Aptos" w:hAnsi="Aptos"/>
                <w:b/>
                <w:color w:val="FFFFFF"/>
                <w:sz w:val="14"/>
              </w:rPr>
              <w:t>Type</w:t>
            </w:r>
          </w:p>
        </w:tc>
        <w:tc>
          <w:tcPr>
            <w:tcW w:type="dxa" w:w="1440"/>
            <w:vAlign w:val="top"/>
            <w:tcMar>
              <w:top w:w="80" w:type="dxa"/>
              <w:start w:w="80" w:type="dxa"/>
              <w:bottom w:w="80" w:type="dxa"/>
              <w:end w:w="80" w:type="dxa"/>
            </w:tcMar>
            <w:shd w:fill="1A73E8"/>
          </w:tcPr>
          <w:p>
            <w:pPr>
              <w:spacing w:after="0"/>
            </w:pPr>
            <w:r/>
            <w:r>
              <w:rPr>
                <w:rFonts w:ascii="Aptos" w:hAnsi="Aptos"/>
                <w:b/>
                <w:color w:val="FFFFFF"/>
                <w:sz w:val="14"/>
              </w:rPr>
              <w:t>Required</w:t>
            </w:r>
          </w:p>
        </w:tc>
        <w:tc>
          <w:tcPr>
            <w:tcW w:type="dxa" w:w="1872"/>
            <w:vAlign w:val="top"/>
            <w:tcMar>
              <w:top w:w="80" w:type="dxa"/>
              <w:start w:w="80" w:type="dxa"/>
              <w:bottom w:w="80" w:type="dxa"/>
              <w:end w:w="80" w:type="dxa"/>
            </w:tcMar>
            <w:shd w:fill="1A73E8"/>
          </w:tcPr>
          <w:p>
            <w:pPr>
              <w:spacing w:after="0"/>
            </w:pPr>
            <w:r/>
            <w:r>
              <w:rPr>
                <w:rFonts w:ascii="Aptos" w:hAnsi="Aptos"/>
                <w:b/>
                <w:color w:val="FFFFFF"/>
                <w:sz w:val="14"/>
              </w:rPr>
              <w:t>Example</w:t>
            </w:r>
          </w:p>
        </w:tc>
        <w:tc>
          <w:tcPr>
            <w:tcW w:type="dxa" w:w="3456"/>
            <w:vAlign w:val="top"/>
            <w:tcMar>
              <w:top w:w="80" w:type="dxa"/>
              <w:start w:w="80" w:type="dxa"/>
              <w:bottom w:w="80" w:type="dxa"/>
              <w:end w:w="80" w:type="dxa"/>
            </w:tcMar>
            <w:shd w:fill="1A73E8"/>
          </w:tcPr>
          <w:p>
            <w:pPr>
              <w:spacing w:after="0"/>
            </w:pPr>
            <w:r/>
            <w:r>
              <w:rPr>
                <w:rFonts w:ascii="Aptos" w:hAnsi="Aptos"/>
                <w:b/>
                <w:color w:val="FFFFFF"/>
                <w:sz w:val="14"/>
              </w:rPr>
              <w:t>Control</w:t>
            </w:r>
          </w:p>
        </w:tc>
      </w:tr>
      <w:tr>
        <w:tc>
          <w:tcPr>
            <w:tcW w:type="dxa" w:w="1440"/>
            <w:vAlign w:val="top"/>
            <w:tcMar>
              <w:top w:w="80" w:type="dxa"/>
              <w:start w:w="80" w:type="dxa"/>
              <w:bottom w:w="80" w:type="dxa"/>
              <w:end w:w="80" w:type="dxa"/>
            </w:tcMar>
          </w:tcPr>
          <w:p>
            <w:pPr>
              <w:spacing w:after="0"/>
            </w:pPr>
            <w:r/>
            <w:r>
              <w:rPr>
                <w:rFonts w:ascii="Aptos" w:hAnsi="Aptos"/>
                <w:b w:val="0"/>
                <w:sz w:val="14"/>
              </w:rPr>
              <w:t>environment</w:t>
            </w:r>
          </w:p>
        </w:tc>
        <w:tc>
          <w:tcPr>
            <w:tcW w:type="dxa" w:w="1440"/>
            <w:vAlign w:val="top"/>
            <w:tcMar>
              <w:top w:w="80" w:type="dxa"/>
              <w:start w:w="80" w:type="dxa"/>
              <w:bottom w:w="80" w:type="dxa"/>
              <w:end w:w="80" w:type="dxa"/>
            </w:tcMar>
          </w:tcPr>
          <w:p>
            <w:pPr>
              <w:spacing w:after="0"/>
            </w:pPr>
            <w:r/>
            <w:r>
              <w:rPr>
                <w:rFonts w:ascii="Aptos" w:hAnsi="Aptos"/>
                <w:b w:val="0"/>
                <w:sz w:val="14"/>
              </w:rPr>
              <w:t>label/tag</w:t>
            </w:r>
          </w:p>
        </w:tc>
        <w:tc>
          <w:tcPr>
            <w:tcW w:type="dxa" w:w="1440"/>
            <w:vAlign w:val="top"/>
            <w:tcMar>
              <w:top w:w="80" w:type="dxa"/>
              <w:start w:w="80" w:type="dxa"/>
              <w:bottom w:w="80" w:type="dxa"/>
              <w:end w:w="80" w:type="dxa"/>
            </w:tcMar>
          </w:tcPr>
          <w:p>
            <w:pPr>
              <w:spacing w:after="0"/>
            </w:pPr>
            <w:r/>
            <w:r>
              <w:rPr>
                <w:rFonts w:ascii="Aptos" w:hAnsi="Aptos"/>
                <w:b w:val="0"/>
                <w:sz w:val="14"/>
              </w:rPr>
              <w:t>all resources</w:t>
            </w:r>
          </w:p>
        </w:tc>
        <w:tc>
          <w:tcPr>
            <w:tcW w:type="dxa" w:w="1872"/>
            <w:vAlign w:val="top"/>
            <w:tcMar>
              <w:top w:w="80" w:type="dxa"/>
              <w:start w:w="80" w:type="dxa"/>
              <w:bottom w:w="80" w:type="dxa"/>
              <w:end w:w="80" w:type="dxa"/>
            </w:tcMar>
          </w:tcPr>
          <w:p>
            <w:pPr>
              <w:spacing w:after="0"/>
            </w:pPr>
            <w:r/>
            <w:r>
              <w:rPr>
                <w:rFonts w:ascii="Aptos" w:hAnsi="Aptos"/>
                <w:b w:val="0"/>
                <w:sz w:val="14"/>
              </w:rPr>
              <w:t>prod</w:t>
            </w:r>
          </w:p>
        </w:tc>
        <w:tc>
          <w:tcPr>
            <w:tcW w:type="dxa" w:w="3456"/>
            <w:vAlign w:val="top"/>
            <w:tcMar>
              <w:top w:w="80" w:type="dxa"/>
              <w:start w:w="80" w:type="dxa"/>
              <w:bottom w:w="80" w:type="dxa"/>
              <w:end w:w="80" w:type="dxa"/>
            </w:tcMar>
          </w:tcPr>
          <w:p>
            <w:pPr>
              <w:spacing w:after="0"/>
            </w:pPr>
            <w:r/>
            <w:r>
              <w:rPr>
                <w:rFonts w:ascii="Aptos" w:hAnsi="Aptos"/>
                <w:b w:val="0"/>
                <w:sz w:val="14"/>
              </w:rPr>
              <w:t>approved enumeration</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business_unit</w:t>
            </w:r>
          </w:p>
        </w:tc>
        <w:tc>
          <w:tcPr>
            <w:tcW w:type="dxa" w:w="1440"/>
            <w:vAlign w:val="top"/>
            <w:tcMar>
              <w:top w:w="80" w:type="dxa"/>
              <w:start w:w="80" w:type="dxa"/>
              <w:bottom w:w="80" w:type="dxa"/>
              <w:end w:w="80" w:type="dxa"/>
            </w:tcMar>
            <w:shd w:fill="F8F9FA"/>
          </w:tcPr>
          <w:p>
            <w:pPr>
              <w:spacing w:after="0"/>
            </w:pPr>
            <w:r/>
            <w:r>
              <w:rPr>
                <w:rFonts w:ascii="Aptos" w:hAnsi="Aptos"/>
                <w:b w:val="0"/>
                <w:sz w:val="14"/>
              </w:rPr>
              <w:t>label</w:t>
            </w:r>
          </w:p>
        </w:tc>
        <w:tc>
          <w:tcPr>
            <w:tcW w:type="dxa" w:w="1440"/>
            <w:vAlign w:val="top"/>
            <w:tcMar>
              <w:top w:w="80" w:type="dxa"/>
              <w:start w:w="80" w:type="dxa"/>
              <w:bottom w:w="80" w:type="dxa"/>
              <w:end w:w="80" w:type="dxa"/>
            </w:tcMar>
            <w:shd w:fill="F8F9FA"/>
          </w:tcPr>
          <w:p>
            <w:pPr>
              <w:spacing w:after="0"/>
            </w:pPr>
            <w:r/>
            <w:r>
              <w:rPr>
                <w:rFonts w:ascii="Aptos" w:hAnsi="Aptos"/>
                <w:b w:val="0"/>
                <w:sz w:val="14"/>
              </w:rPr>
              <w:t>production</w:t>
            </w:r>
          </w:p>
        </w:tc>
        <w:tc>
          <w:tcPr>
            <w:tcW w:type="dxa" w:w="1872"/>
            <w:vAlign w:val="top"/>
            <w:tcMar>
              <w:top w:w="80" w:type="dxa"/>
              <w:start w:w="80" w:type="dxa"/>
              <w:bottom w:w="80" w:type="dxa"/>
              <w:end w:w="80" w:type="dxa"/>
            </w:tcMar>
            <w:shd w:fill="F8F9FA"/>
          </w:tcPr>
          <w:p>
            <w:pPr>
              <w:spacing w:after="0"/>
            </w:pPr>
            <w:r/>
            <w:r>
              <w:rPr>
                <w:rFonts w:ascii="Aptos" w:hAnsi="Aptos"/>
                <w:b w:val="0"/>
                <w:sz w:val="14"/>
              </w:rPr>
              <w:t>retail</w:t>
            </w:r>
          </w:p>
        </w:tc>
        <w:tc>
          <w:tcPr>
            <w:tcW w:type="dxa" w:w="3456"/>
            <w:vAlign w:val="top"/>
            <w:tcMar>
              <w:top w:w="80" w:type="dxa"/>
              <w:start w:w="80" w:type="dxa"/>
              <w:bottom w:w="80" w:type="dxa"/>
              <w:end w:w="80" w:type="dxa"/>
            </w:tcMar>
            <w:shd w:fill="F8F9FA"/>
          </w:tcPr>
          <w:p>
            <w:pPr>
              <w:spacing w:after="0"/>
            </w:pPr>
            <w:r/>
            <w:r>
              <w:rPr>
                <w:rFonts w:ascii="Aptos" w:hAnsi="Aptos"/>
                <w:b w:val="0"/>
                <w:sz w:val="14"/>
              </w:rPr>
              <w:t>finance master</w:t>
            </w:r>
          </w:p>
        </w:tc>
      </w:tr>
      <w:tr>
        <w:tc>
          <w:tcPr>
            <w:tcW w:type="dxa" w:w="1440"/>
            <w:vAlign w:val="top"/>
            <w:tcMar>
              <w:top w:w="80" w:type="dxa"/>
              <w:start w:w="80" w:type="dxa"/>
              <w:bottom w:w="80" w:type="dxa"/>
              <w:end w:w="80" w:type="dxa"/>
            </w:tcMar>
          </w:tcPr>
          <w:p>
            <w:pPr>
              <w:spacing w:after="0"/>
            </w:pPr>
            <w:r/>
            <w:r>
              <w:rPr>
                <w:rFonts w:ascii="Aptos" w:hAnsi="Aptos"/>
                <w:b w:val="0"/>
                <w:sz w:val="14"/>
              </w:rPr>
              <w:t>domain</w:t>
            </w:r>
          </w:p>
        </w:tc>
        <w:tc>
          <w:tcPr>
            <w:tcW w:type="dxa" w:w="1440"/>
            <w:vAlign w:val="top"/>
            <w:tcMar>
              <w:top w:w="80" w:type="dxa"/>
              <w:start w:w="80" w:type="dxa"/>
              <w:bottom w:w="80" w:type="dxa"/>
              <w:end w:w="80" w:type="dxa"/>
            </w:tcMar>
          </w:tcPr>
          <w:p>
            <w:pPr>
              <w:spacing w:after="0"/>
            </w:pPr>
            <w:r/>
            <w:r>
              <w:rPr>
                <w:rFonts w:ascii="Aptos" w:hAnsi="Aptos"/>
                <w:b w:val="0"/>
                <w:sz w:val="14"/>
              </w:rPr>
              <w:t>label</w:t>
            </w:r>
          </w:p>
        </w:tc>
        <w:tc>
          <w:tcPr>
            <w:tcW w:type="dxa" w:w="1440"/>
            <w:vAlign w:val="top"/>
            <w:tcMar>
              <w:top w:w="80" w:type="dxa"/>
              <w:start w:w="80" w:type="dxa"/>
              <w:bottom w:w="80" w:type="dxa"/>
              <w:end w:w="80" w:type="dxa"/>
            </w:tcMar>
          </w:tcPr>
          <w:p>
            <w:pPr>
              <w:spacing w:after="0"/>
            </w:pPr>
            <w:r/>
            <w:r>
              <w:rPr>
                <w:rFonts w:ascii="Aptos" w:hAnsi="Aptos"/>
                <w:b w:val="0"/>
                <w:sz w:val="14"/>
              </w:rPr>
              <w:t>data/AI</w:t>
            </w:r>
          </w:p>
        </w:tc>
        <w:tc>
          <w:tcPr>
            <w:tcW w:type="dxa" w:w="1872"/>
            <w:vAlign w:val="top"/>
            <w:tcMar>
              <w:top w:w="80" w:type="dxa"/>
              <w:start w:w="80" w:type="dxa"/>
              <w:bottom w:w="80" w:type="dxa"/>
              <w:end w:w="80" w:type="dxa"/>
            </w:tcMar>
          </w:tcPr>
          <w:p>
            <w:pPr>
              <w:spacing w:after="0"/>
            </w:pPr>
            <w:r/>
            <w:r>
              <w:rPr>
                <w:rFonts w:ascii="Aptos" w:hAnsi="Aptos"/>
                <w:b w:val="0"/>
                <w:sz w:val="14"/>
              </w:rPr>
              <w:t>sales</w:t>
            </w:r>
          </w:p>
        </w:tc>
        <w:tc>
          <w:tcPr>
            <w:tcW w:type="dxa" w:w="3456"/>
            <w:vAlign w:val="top"/>
            <w:tcMar>
              <w:top w:w="80" w:type="dxa"/>
              <w:start w:w="80" w:type="dxa"/>
              <w:bottom w:w="80" w:type="dxa"/>
              <w:end w:w="80" w:type="dxa"/>
            </w:tcMar>
          </w:tcPr>
          <w:p>
            <w:pPr>
              <w:spacing w:after="0"/>
            </w:pPr>
            <w:r/>
            <w:r>
              <w:rPr>
                <w:rFonts w:ascii="Aptos" w:hAnsi="Aptos"/>
                <w:b w:val="0"/>
                <w:sz w:val="14"/>
              </w:rPr>
              <w:t>domain registry</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data_product</w:t>
            </w:r>
          </w:p>
        </w:tc>
        <w:tc>
          <w:tcPr>
            <w:tcW w:type="dxa" w:w="1440"/>
            <w:vAlign w:val="top"/>
            <w:tcMar>
              <w:top w:w="80" w:type="dxa"/>
              <w:start w:w="80" w:type="dxa"/>
              <w:bottom w:w="80" w:type="dxa"/>
              <w:end w:w="80" w:type="dxa"/>
            </w:tcMar>
            <w:shd w:fill="F8F9FA"/>
          </w:tcPr>
          <w:p>
            <w:pPr>
              <w:spacing w:after="0"/>
            </w:pPr>
            <w:r/>
            <w:r>
              <w:rPr>
                <w:rFonts w:ascii="Aptos" w:hAnsi="Aptos"/>
                <w:b w:val="0"/>
                <w:sz w:val="14"/>
              </w:rPr>
              <w:t>label or job label</w:t>
            </w:r>
          </w:p>
        </w:tc>
        <w:tc>
          <w:tcPr>
            <w:tcW w:type="dxa" w:w="1440"/>
            <w:vAlign w:val="top"/>
            <w:tcMar>
              <w:top w:w="80" w:type="dxa"/>
              <w:start w:w="80" w:type="dxa"/>
              <w:bottom w:w="80" w:type="dxa"/>
              <w:end w:w="80" w:type="dxa"/>
            </w:tcMar>
            <w:shd w:fill="F8F9FA"/>
          </w:tcPr>
          <w:p>
            <w:pPr>
              <w:spacing w:after="0"/>
            </w:pPr>
            <w:r/>
            <w:r>
              <w:rPr>
                <w:rFonts w:ascii="Aptos" w:hAnsi="Aptos"/>
                <w:b w:val="0"/>
                <w:sz w:val="14"/>
              </w:rPr>
              <w:t>product workloads</w:t>
            </w:r>
          </w:p>
        </w:tc>
        <w:tc>
          <w:tcPr>
            <w:tcW w:type="dxa" w:w="1872"/>
            <w:vAlign w:val="top"/>
            <w:tcMar>
              <w:top w:w="80" w:type="dxa"/>
              <w:start w:w="80" w:type="dxa"/>
              <w:bottom w:w="80" w:type="dxa"/>
              <w:end w:w="80" w:type="dxa"/>
            </w:tcMar>
            <w:shd w:fill="F8F9FA"/>
          </w:tcPr>
          <w:p>
            <w:pPr>
              <w:spacing w:after="0"/>
            </w:pPr>
            <w:r/>
            <w:r>
              <w:rPr>
                <w:rFonts w:ascii="Aptos" w:hAnsi="Aptos"/>
                <w:b w:val="0"/>
                <w:sz w:val="14"/>
              </w:rPr>
              <w:t>customer-360</w:t>
            </w:r>
          </w:p>
        </w:tc>
        <w:tc>
          <w:tcPr>
            <w:tcW w:type="dxa" w:w="3456"/>
            <w:vAlign w:val="top"/>
            <w:tcMar>
              <w:top w:w="80" w:type="dxa"/>
              <w:start w:w="80" w:type="dxa"/>
              <w:bottom w:w="80" w:type="dxa"/>
              <w:end w:w="80" w:type="dxa"/>
            </w:tcMar>
            <w:shd w:fill="F8F9FA"/>
          </w:tcPr>
          <w:p>
            <w:pPr>
              <w:spacing w:after="0"/>
            </w:pPr>
            <w:r/>
            <w:r>
              <w:rPr>
                <w:rFonts w:ascii="Aptos" w:hAnsi="Aptos"/>
                <w:b w:val="0"/>
                <w:sz w:val="14"/>
              </w:rPr>
              <w:t>product catalog</w:t>
            </w:r>
          </w:p>
        </w:tc>
      </w:tr>
      <w:tr>
        <w:tc>
          <w:tcPr>
            <w:tcW w:type="dxa" w:w="1440"/>
            <w:vAlign w:val="top"/>
            <w:tcMar>
              <w:top w:w="80" w:type="dxa"/>
              <w:start w:w="80" w:type="dxa"/>
              <w:bottom w:w="80" w:type="dxa"/>
              <w:end w:w="80" w:type="dxa"/>
            </w:tcMar>
          </w:tcPr>
          <w:p>
            <w:pPr>
              <w:spacing w:after="0"/>
            </w:pPr>
            <w:r/>
            <w:r>
              <w:rPr>
                <w:rFonts w:ascii="Aptos" w:hAnsi="Aptos"/>
                <w:b w:val="0"/>
                <w:sz w:val="14"/>
              </w:rPr>
              <w:t>cost_center</w:t>
            </w:r>
          </w:p>
        </w:tc>
        <w:tc>
          <w:tcPr>
            <w:tcW w:type="dxa" w:w="1440"/>
            <w:vAlign w:val="top"/>
            <w:tcMar>
              <w:top w:w="80" w:type="dxa"/>
              <w:start w:w="80" w:type="dxa"/>
              <w:bottom w:w="80" w:type="dxa"/>
              <w:end w:w="80" w:type="dxa"/>
            </w:tcMar>
          </w:tcPr>
          <w:p>
            <w:pPr>
              <w:spacing w:after="0"/>
            </w:pPr>
            <w:r/>
            <w:r>
              <w:rPr>
                <w:rFonts w:ascii="Aptos" w:hAnsi="Aptos"/>
                <w:b w:val="0"/>
                <w:sz w:val="14"/>
              </w:rPr>
              <w:t>label/project map</w:t>
            </w:r>
          </w:p>
        </w:tc>
        <w:tc>
          <w:tcPr>
            <w:tcW w:type="dxa" w:w="1440"/>
            <w:vAlign w:val="top"/>
            <w:tcMar>
              <w:top w:w="80" w:type="dxa"/>
              <w:start w:w="80" w:type="dxa"/>
              <w:bottom w:w="80" w:type="dxa"/>
              <w:end w:w="80" w:type="dxa"/>
            </w:tcMar>
          </w:tcPr>
          <w:p>
            <w:pPr>
              <w:spacing w:after="0"/>
            </w:pPr>
            <w:r/>
            <w:r>
              <w:rPr>
                <w:rFonts w:ascii="Aptos" w:hAnsi="Aptos"/>
                <w:b w:val="0"/>
                <w:sz w:val="14"/>
              </w:rPr>
              <w:t>production</w:t>
            </w:r>
          </w:p>
        </w:tc>
        <w:tc>
          <w:tcPr>
            <w:tcW w:type="dxa" w:w="1872"/>
            <w:vAlign w:val="top"/>
            <w:tcMar>
              <w:top w:w="80" w:type="dxa"/>
              <w:start w:w="80" w:type="dxa"/>
              <w:bottom w:w="80" w:type="dxa"/>
              <w:end w:w="80" w:type="dxa"/>
            </w:tcMar>
          </w:tcPr>
          <w:p>
            <w:pPr>
              <w:spacing w:after="0"/>
            </w:pPr>
            <w:r/>
            <w:r>
              <w:rPr>
                <w:rFonts w:ascii="Aptos" w:hAnsi="Aptos"/>
                <w:b w:val="0"/>
                <w:sz w:val="14"/>
              </w:rPr>
              <w:t>CC-1042</w:t>
            </w:r>
          </w:p>
        </w:tc>
        <w:tc>
          <w:tcPr>
            <w:tcW w:type="dxa" w:w="3456"/>
            <w:vAlign w:val="top"/>
            <w:tcMar>
              <w:top w:w="80" w:type="dxa"/>
              <w:start w:w="80" w:type="dxa"/>
              <w:bottom w:w="80" w:type="dxa"/>
              <w:end w:w="80" w:type="dxa"/>
            </w:tcMar>
          </w:tcPr>
          <w:p>
            <w:pPr>
              <w:spacing w:after="0"/>
            </w:pPr>
            <w:r/>
            <w:r>
              <w:rPr>
                <w:rFonts w:ascii="Aptos" w:hAnsi="Aptos"/>
                <w:b w:val="0"/>
                <w:sz w:val="14"/>
              </w:rPr>
              <w:t>finance validation</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owner</w:t>
            </w:r>
          </w:p>
        </w:tc>
        <w:tc>
          <w:tcPr>
            <w:tcW w:type="dxa" w:w="1440"/>
            <w:vAlign w:val="top"/>
            <w:tcMar>
              <w:top w:w="80" w:type="dxa"/>
              <w:start w:w="80" w:type="dxa"/>
              <w:bottom w:w="80" w:type="dxa"/>
              <w:end w:w="80" w:type="dxa"/>
            </w:tcMar>
            <w:shd w:fill="F8F9FA"/>
          </w:tcPr>
          <w:p>
            <w:pPr>
              <w:spacing w:after="0"/>
            </w:pPr>
            <w:r/>
            <w:r>
              <w:rPr>
                <w:rFonts w:ascii="Aptos" w:hAnsi="Aptos"/>
                <w:b w:val="0"/>
                <w:sz w:val="14"/>
              </w:rPr>
              <w:t>label</w:t>
            </w:r>
          </w:p>
        </w:tc>
        <w:tc>
          <w:tcPr>
            <w:tcW w:type="dxa" w:w="1440"/>
            <w:vAlign w:val="top"/>
            <w:tcMar>
              <w:top w:w="80" w:type="dxa"/>
              <w:start w:w="80" w:type="dxa"/>
              <w:bottom w:w="80" w:type="dxa"/>
              <w:end w:w="80" w:type="dxa"/>
            </w:tcMar>
            <w:shd w:fill="F8F9FA"/>
          </w:tcPr>
          <w:p>
            <w:pPr>
              <w:spacing w:after="0"/>
            </w:pPr>
            <w:r/>
            <w:r>
              <w:rPr>
                <w:rFonts w:ascii="Aptos" w:hAnsi="Aptos"/>
                <w:b w:val="0"/>
                <w:sz w:val="14"/>
              </w:rPr>
              <w:t>managed resources</w:t>
            </w:r>
          </w:p>
        </w:tc>
        <w:tc>
          <w:tcPr>
            <w:tcW w:type="dxa" w:w="1872"/>
            <w:vAlign w:val="top"/>
            <w:tcMar>
              <w:top w:w="80" w:type="dxa"/>
              <w:start w:w="80" w:type="dxa"/>
              <w:bottom w:w="80" w:type="dxa"/>
              <w:end w:w="80" w:type="dxa"/>
            </w:tcMar>
            <w:shd w:fill="F8F9FA"/>
          </w:tcPr>
          <w:p>
            <w:pPr>
              <w:spacing w:after="0"/>
            </w:pPr>
            <w:r/>
            <w:r>
              <w:rPr>
                <w:rFonts w:ascii="Aptos" w:hAnsi="Aptos"/>
                <w:b w:val="0"/>
                <w:sz w:val="14"/>
              </w:rPr>
              <w:t>team-sales-data</w:t>
            </w:r>
          </w:p>
        </w:tc>
        <w:tc>
          <w:tcPr>
            <w:tcW w:type="dxa" w:w="3456"/>
            <w:vAlign w:val="top"/>
            <w:tcMar>
              <w:top w:w="80" w:type="dxa"/>
              <w:start w:w="80" w:type="dxa"/>
              <w:bottom w:w="80" w:type="dxa"/>
              <w:end w:w="80" w:type="dxa"/>
            </w:tcMar>
            <w:shd w:fill="F8F9FA"/>
          </w:tcPr>
          <w:p>
            <w:pPr>
              <w:spacing w:after="0"/>
            </w:pPr>
            <w:r/>
            <w:r>
              <w:rPr>
                <w:rFonts w:ascii="Aptos" w:hAnsi="Aptos"/>
                <w:b w:val="0"/>
                <w:sz w:val="14"/>
              </w:rPr>
              <w:t>group directory</w:t>
            </w:r>
          </w:p>
        </w:tc>
      </w:tr>
      <w:tr>
        <w:tc>
          <w:tcPr>
            <w:tcW w:type="dxa" w:w="1440"/>
            <w:vAlign w:val="top"/>
            <w:tcMar>
              <w:top w:w="80" w:type="dxa"/>
              <w:start w:w="80" w:type="dxa"/>
              <w:bottom w:w="80" w:type="dxa"/>
              <w:end w:w="80" w:type="dxa"/>
            </w:tcMar>
          </w:tcPr>
          <w:p>
            <w:pPr>
              <w:spacing w:after="0"/>
            </w:pPr>
            <w:r/>
            <w:r>
              <w:rPr>
                <w:rFonts w:ascii="Aptos" w:hAnsi="Aptos"/>
                <w:b w:val="0"/>
                <w:sz w:val="14"/>
              </w:rPr>
              <w:t>service_tier</w:t>
            </w:r>
          </w:p>
        </w:tc>
        <w:tc>
          <w:tcPr>
            <w:tcW w:type="dxa" w:w="1440"/>
            <w:vAlign w:val="top"/>
            <w:tcMar>
              <w:top w:w="80" w:type="dxa"/>
              <w:start w:w="80" w:type="dxa"/>
              <w:bottom w:w="80" w:type="dxa"/>
              <w:end w:w="80" w:type="dxa"/>
            </w:tcMar>
          </w:tcPr>
          <w:p>
            <w:pPr>
              <w:spacing w:after="0"/>
            </w:pPr>
            <w:r/>
            <w:r>
              <w:rPr>
                <w:rFonts w:ascii="Aptos" w:hAnsi="Aptos"/>
                <w:b w:val="0"/>
                <w:sz w:val="14"/>
              </w:rPr>
              <w:t>label/tag</w:t>
            </w:r>
          </w:p>
        </w:tc>
        <w:tc>
          <w:tcPr>
            <w:tcW w:type="dxa" w:w="1440"/>
            <w:vAlign w:val="top"/>
            <w:tcMar>
              <w:top w:w="80" w:type="dxa"/>
              <w:start w:w="80" w:type="dxa"/>
              <w:bottom w:w="80" w:type="dxa"/>
              <w:end w:w="80" w:type="dxa"/>
            </w:tcMar>
          </w:tcPr>
          <w:p>
            <w:pPr>
              <w:spacing w:after="0"/>
            </w:pPr>
            <w:r/>
            <w:r>
              <w:rPr>
                <w:rFonts w:ascii="Aptos" w:hAnsi="Aptos"/>
                <w:b w:val="0"/>
                <w:sz w:val="14"/>
              </w:rPr>
              <w:t>production</w:t>
            </w:r>
          </w:p>
        </w:tc>
        <w:tc>
          <w:tcPr>
            <w:tcW w:type="dxa" w:w="1872"/>
            <w:vAlign w:val="top"/>
            <w:tcMar>
              <w:top w:w="80" w:type="dxa"/>
              <w:start w:w="80" w:type="dxa"/>
              <w:bottom w:w="80" w:type="dxa"/>
              <w:end w:w="80" w:type="dxa"/>
            </w:tcMar>
          </w:tcPr>
          <w:p>
            <w:pPr>
              <w:spacing w:after="0"/>
            </w:pPr>
            <w:r/>
            <w:r>
              <w:rPr>
                <w:rFonts w:ascii="Aptos" w:hAnsi="Aptos"/>
                <w:b w:val="0"/>
                <w:sz w:val="14"/>
              </w:rPr>
              <w:t>tier-1</w:t>
            </w:r>
          </w:p>
        </w:tc>
        <w:tc>
          <w:tcPr>
            <w:tcW w:type="dxa" w:w="3456"/>
            <w:vAlign w:val="top"/>
            <w:tcMar>
              <w:top w:w="80" w:type="dxa"/>
              <w:start w:w="80" w:type="dxa"/>
              <w:bottom w:w="80" w:type="dxa"/>
              <w:end w:w="80" w:type="dxa"/>
            </w:tcMar>
          </w:tcPr>
          <w:p>
            <w:pPr>
              <w:spacing w:after="0"/>
            </w:pPr>
            <w:r/>
            <w:r>
              <w:rPr>
                <w:rFonts w:ascii="Aptos" w:hAnsi="Aptos"/>
                <w:b w:val="0"/>
                <w:sz w:val="14"/>
              </w:rPr>
              <w:t>SRE catalog</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data_class</w:t>
            </w:r>
          </w:p>
        </w:tc>
        <w:tc>
          <w:tcPr>
            <w:tcW w:type="dxa" w:w="1440"/>
            <w:vAlign w:val="top"/>
            <w:tcMar>
              <w:top w:w="80" w:type="dxa"/>
              <w:start w:w="80" w:type="dxa"/>
              <w:bottom w:w="80" w:type="dxa"/>
              <w:end w:w="80" w:type="dxa"/>
            </w:tcMar>
            <w:shd w:fill="F8F9FA"/>
          </w:tcPr>
          <w:p>
            <w:pPr>
              <w:spacing w:after="0"/>
            </w:pPr>
            <w:r/>
            <w:r>
              <w:rPr>
                <w:rFonts w:ascii="Aptos" w:hAnsi="Aptos"/>
                <w:b w:val="0"/>
                <w:sz w:val="14"/>
              </w:rPr>
              <w:t>tag</w:t>
            </w:r>
          </w:p>
        </w:tc>
        <w:tc>
          <w:tcPr>
            <w:tcW w:type="dxa" w:w="1440"/>
            <w:vAlign w:val="top"/>
            <w:tcMar>
              <w:top w:w="80" w:type="dxa"/>
              <w:start w:w="80" w:type="dxa"/>
              <w:bottom w:w="80" w:type="dxa"/>
              <w:end w:w="80" w:type="dxa"/>
            </w:tcMar>
            <w:shd w:fill="F8F9FA"/>
          </w:tcPr>
          <w:p>
            <w:pPr>
              <w:spacing w:after="0"/>
            </w:pPr>
            <w:r/>
            <w:r>
              <w:rPr>
                <w:rFonts w:ascii="Aptos" w:hAnsi="Aptos"/>
                <w:b w:val="0"/>
                <w:sz w:val="14"/>
              </w:rPr>
              <w:t>data resources</w:t>
            </w:r>
          </w:p>
        </w:tc>
        <w:tc>
          <w:tcPr>
            <w:tcW w:type="dxa" w:w="1872"/>
            <w:vAlign w:val="top"/>
            <w:tcMar>
              <w:top w:w="80" w:type="dxa"/>
              <w:start w:w="80" w:type="dxa"/>
              <w:bottom w:w="80" w:type="dxa"/>
              <w:end w:w="80" w:type="dxa"/>
            </w:tcMar>
            <w:shd w:fill="F8F9FA"/>
          </w:tcPr>
          <w:p>
            <w:pPr>
              <w:spacing w:after="0"/>
            </w:pPr>
            <w:r/>
            <w:r>
              <w:rPr>
                <w:rFonts w:ascii="Aptos" w:hAnsi="Aptos"/>
                <w:b w:val="0"/>
                <w:sz w:val="14"/>
              </w:rPr>
              <w:t>restricted</w:t>
            </w:r>
          </w:p>
        </w:tc>
        <w:tc>
          <w:tcPr>
            <w:tcW w:type="dxa" w:w="3456"/>
            <w:vAlign w:val="top"/>
            <w:tcMar>
              <w:top w:w="80" w:type="dxa"/>
              <w:start w:w="80" w:type="dxa"/>
              <w:bottom w:w="80" w:type="dxa"/>
              <w:end w:w="80" w:type="dxa"/>
            </w:tcMar>
            <w:shd w:fill="F8F9FA"/>
          </w:tcPr>
          <w:p>
            <w:pPr>
              <w:spacing w:after="0"/>
            </w:pPr>
            <w:r/>
            <w:r>
              <w:rPr>
                <w:rFonts w:ascii="Aptos" w:hAnsi="Aptos"/>
                <w:b w:val="0"/>
                <w:sz w:val="14"/>
              </w:rPr>
              <w:t>classification policy</w:t>
            </w:r>
          </w:p>
        </w:tc>
      </w:tr>
      <w:tr>
        <w:tc>
          <w:tcPr>
            <w:tcW w:type="dxa" w:w="1440"/>
            <w:vAlign w:val="top"/>
            <w:tcMar>
              <w:top w:w="80" w:type="dxa"/>
              <w:start w:w="80" w:type="dxa"/>
              <w:bottom w:w="80" w:type="dxa"/>
              <w:end w:w="80" w:type="dxa"/>
            </w:tcMar>
          </w:tcPr>
          <w:p>
            <w:pPr>
              <w:spacing w:after="0"/>
            </w:pPr>
            <w:r/>
            <w:r>
              <w:rPr>
                <w:rFonts w:ascii="Aptos" w:hAnsi="Aptos"/>
                <w:b w:val="0"/>
                <w:sz w:val="14"/>
              </w:rPr>
              <w:t>workload</w:t>
            </w:r>
          </w:p>
        </w:tc>
        <w:tc>
          <w:tcPr>
            <w:tcW w:type="dxa" w:w="1440"/>
            <w:vAlign w:val="top"/>
            <w:tcMar>
              <w:top w:w="80" w:type="dxa"/>
              <w:start w:w="80" w:type="dxa"/>
              <w:bottom w:w="80" w:type="dxa"/>
              <w:end w:w="80" w:type="dxa"/>
            </w:tcMar>
          </w:tcPr>
          <w:p>
            <w:pPr>
              <w:spacing w:after="0"/>
            </w:pPr>
            <w:r/>
            <w:r>
              <w:rPr>
                <w:rFonts w:ascii="Aptos" w:hAnsi="Aptos"/>
                <w:b w:val="0"/>
                <w:sz w:val="14"/>
              </w:rPr>
              <w:t>job/resource label</w:t>
            </w:r>
          </w:p>
        </w:tc>
        <w:tc>
          <w:tcPr>
            <w:tcW w:type="dxa" w:w="1440"/>
            <w:vAlign w:val="top"/>
            <w:tcMar>
              <w:top w:w="80" w:type="dxa"/>
              <w:start w:w="80" w:type="dxa"/>
              <w:bottom w:w="80" w:type="dxa"/>
              <w:end w:w="80" w:type="dxa"/>
            </w:tcMar>
          </w:tcPr>
          <w:p>
            <w:pPr>
              <w:spacing w:after="0"/>
            </w:pPr>
            <w:r/>
            <w:r>
              <w:rPr>
                <w:rFonts w:ascii="Aptos" w:hAnsi="Aptos"/>
                <w:b w:val="0"/>
                <w:sz w:val="14"/>
              </w:rPr>
              <w:t>compute jobs</w:t>
            </w:r>
          </w:p>
        </w:tc>
        <w:tc>
          <w:tcPr>
            <w:tcW w:type="dxa" w:w="1872"/>
            <w:vAlign w:val="top"/>
            <w:tcMar>
              <w:top w:w="80" w:type="dxa"/>
              <w:start w:w="80" w:type="dxa"/>
              <w:bottom w:w="80" w:type="dxa"/>
              <w:end w:w="80" w:type="dxa"/>
            </w:tcMar>
          </w:tcPr>
          <w:p>
            <w:pPr>
              <w:spacing w:after="0"/>
            </w:pPr>
            <w:r/>
            <w:r>
              <w:rPr>
                <w:rFonts w:ascii="Aptos" w:hAnsi="Aptos"/>
                <w:b w:val="0"/>
                <w:sz w:val="14"/>
              </w:rPr>
              <w:t>prod-elt</w:t>
            </w:r>
          </w:p>
        </w:tc>
        <w:tc>
          <w:tcPr>
            <w:tcW w:type="dxa" w:w="3456"/>
            <w:vAlign w:val="top"/>
            <w:tcMar>
              <w:top w:w="80" w:type="dxa"/>
              <w:start w:w="80" w:type="dxa"/>
              <w:bottom w:w="80" w:type="dxa"/>
              <w:end w:w="80" w:type="dxa"/>
            </w:tcMar>
          </w:tcPr>
          <w:p>
            <w:pPr>
              <w:spacing w:after="0"/>
            </w:pPr>
            <w:r/>
            <w:r>
              <w:rPr>
                <w:rFonts w:ascii="Aptos" w:hAnsi="Aptos"/>
                <w:b w:val="0"/>
                <w:sz w:val="14"/>
              </w:rPr>
              <w:t>approved workload taxonomy</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finops_model</w:t>
            </w:r>
          </w:p>
        </w:tc>
        <w:tc>
          <w:tcPr>
            <w:tcW w:type="dxa" w:w="1440"/>
            <w:vAlign w:val="top"/>
            <w:tcMar>
              <w:top w:w="80" w:type="dxa"/>
              <w:start w:w="80" w:type="dxa"/>
              <w:bottom w:w="80" w:type="dxa"/>
              <w:end w:w="80" w:type="dxa"/>
            </w:tcMar>
            <w:shd w:fill="F8F9FA"/>
          </w:tcPr>
          <w:p>
            <w:pPr>
              <w:spacing w:after="0"/>
            </w:pPr>
            <w:r/>
            <w:r>
              <w:rPr>
                <w:rFonts w:ascii="Aptos" w:hAnsi="Aptos"/>
                <w:b w:val="0"/>
                <w:sz w:val="14"/>
              </w:rPr>
              <w:t>label/map</w:t>
            </w:r>
          </w:p>
        </w:tc>
        <w:tc>
          <w:tcPr>
            <w:tcW w:type="dxa" w:w="1440"/>
            <w:vAlign w:val="top"/>
            <w:tcMar>
              <w:top w:w="80" w:type="dxa"/>
              <w:start w:w="80" w:type="dxa"/>
              <w:bottom w:w="80" w:type="dxa"/>
              <w:end w:w="80" w:type="dxa"/>
            </w:tcMar>
            <w:shd w:fill="F8F9FA"/>
          </w:tcPr>
          <w:p>
            <w:pPr>
              <w:spacing w:after="0"/>
            </w:pPr>
            <w:r/>
            <w:r>
              <w:rPr>
                <w:rFonts w:ascii="Aptos" w:hAnsi="Aptos"/>
                <w:b w:val="0"/>
                <w:sz w:val="14"/>
              </w:rPr>
              <w:t>shared services</w:t>
            </w:r>
          </w:p>
        </w:tc>
        <w:tc>
          <w:tcPr>
            <w:tcW w:type="dxa" w:w="1872"/>
            <w:vAlign w:val="top"/>
            <w:tcMar>
              <w:top w:w="80" w:type="dxa"/>
              <w:start w:w="80" w:type="dxa"/>
              <w:bottom w:w="80" w:type="dxa"/>
              <w:end w:w="80" w:type="dxa"/>
            </w:tcMar>
            <w:shd w:fill="F8F9FA"/>
          </w:tcPr>
          <w:p>
            <w:pPr>
              <w:spacing w:after="0"/>
            </w:pPr>
            <w:r/>
            <w:r>
              <w:rPr>
                <w:rFonts w:ascii="Aptos" w:hAnsi="Aptos"/>
                <w:b w:val="0"/>
                <w:sz w:val="14"/>
              </w:rPr>
              <w:t>shared-usage</w:t>
            </w:r>
          </w:p>
        </w:tc>
        <w:tc>
          <w:tcPr>
            <w:tcW w:type="dxa" w:w="3456"/>
            <w:vAlign w:val="top"/>
            <w:tcMar>
              <w:top w:w="80" w:type="dxa"/>
              <w:start w:w="80" w:type="dxa"/>
              <w:bottom w:w="80" w:type="dxa"/>
              <w:end w:w="80" w:type="dxa"/>
            </w:tcMar>
            <w:shd w:fill="F8F9FA"/>
          </w:tcPr>
          <w:p>
            <w:pPr>
              <w:spacing w:after="0"/>
            </w:pPr>
            <w:r/>
            <w:r>
              <w:rPr>
                <w:rFonts w:ascii="Aptos" w:hAnsi="Aptos"/>
                <w:b w:val="0"/>
                <w:sz w:val="14"/>
              </w:rPr>
              <w:t>allocation policy</w:t>
            </w:r>
          </w:p>
        </w:tc>
      </w:tr>
    </w:tbl>
    <w:p>
      <w:pPr>
        <w:pStyle w:val="Heading2"/>
      </w:pPr>
      <w:r>
        <w:t>7.1 Enforcement</w:t>
      </w:r>
    </w:p>
    <w:p>
      <w:pPr>
        <w:pStyle w:val="ListBullet"/>
      </w:pPr>
      <w:r>
        <w:t>Project factory requires business unit, cost center, domain, environment, owner and billing account metadata before project creation.</w:t>
      </w:r>
    </w:p>
    <w:p>
      <w:pPr>
        <w:pStyle w:val="ListBullet"/>
      </w:pPr>
      <w:r>
        <w:t>CI/CD validates Terraform labels and resource tags against approved enumerations and authoritative registries.</w:t>
      </w:r>
    </w:p>
    <w:p>
      <w:pPr>
        <w:pStyle w:val="ListBullet"/>
      </w:pPr>
      <w:r>
        <w:t>A daily control compares active billable projects to the project registry and opens remediation for missing or stale mappings.</w:t>
      </w:r>
    </w:p>
    <w:p>
      <w:pPr>
        <w:pStyle w:val="ListBullet"/>
      </w:pPr>
      <w:r>
        <w:t>Job-level labels are standardized for BigQuery, Dataflow, Dataproc and AI workload attribution where supported.</w:t>
      </w:r>
    </w:p>
    <w:p>
      <w:pPr>
        <w:pStyle w:val="ListBullet"/>
      </w:pPr>
      <w:r>
        <w:t>Allocation rules are versioned with effective dates so historical statements remain reproducible.</w:t>
      </w:r>
    </w:p>
    <w:p>
      <w:pPr>
        <w:pStyle w:val="Heading1"/>
      </w:pPr>
      <w:r>
        <w:t>8. FinOps Data Architecture and Billing Exports</w:t>
      </w:r>
    </w:p>
    <w:p>
      <w:r>
        <w:t>Cloud Billing data exported to BigQuery is the enterprise analytical foundation. Current Google Cloud documentation describes FOCUS usage cost export, standard usage cost export, detailed resource-level export, pricing export and CUD metadata export. Product status and regional availability must be revalidated before deployment.</w:t>
      </w:r>
    </w:p>
    <w:p>
      <w:pPr>
        <w:jc w:val="center"/>
      </w:pPr>
      <w:r>
        <w:drawing>
          <wp:inline xmlns:a="http://schemas.openxmlformats.org/drawingml/2006/main" xmlns:pic="http://schemas.openxmlformats.org/drawingml/2006/picture">
            <wp:extent cx="6126480" cy="437606"/>
            <wp:docPr id="3" name="Picture 3" descr="Image: image3.png"/>
            <wp:cNvGraphicFramePr>
              <a:graphicFrameLocks noChangeAspect="1"/>
            </wp:cNvGraphicFramePr>
            <a:graphic>
              <a:graphicData uri="http://schemas.openxmlformats.org/drawingml/2006/picture">
                <pic:pic>
                  <pic:nvPicPr>
                    <pic:cNvPr id="0" name="billing_allocation_flow.png"/>
                    <pic:cNvPicPr/>
                  </pic:nvPicPr>
                  <pic:blipFill>
                    <a:blip r:embed="rId13"/>
                    <a:stretch>
                      <a:fillRect/>
                    </a:stretch>
                  </pic:blipFill>
                  <pic:spPr>
                    <a:xfrm>
                      <a:off x="0" y="0"/>
                      <a:ext cx="6126480" cy="437606"/>
                    </a:xfrm>
                    <a:prstGeom prst="rect"/>
                  </pic:spPr>
                </pic:pic>
              </a:graphicData>
            </a:graphic>
          </wp:inline>
        </w:drawing>
      </w:r>
    </w:p>
    <w:p>
      <w:pPr>
        <w:pStyle w:val="Small"/>
        <w:jc w:val="center"/>
      </w:pPr>
      <w:r>
        <w:rPr>
          <w:i/>
        </w:rPr>
        <w:t>Figure 3 - Billing export normalization, allocation and chargeback flow</w:t>
      </w:r>
    </w:p>
    <w:p>
      <w:pPr>
        <w:pStyle w:val="Heading2"/>
      </w:pPr>
      <w:r>
        <w:t>8.1 Data layers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vAlign w:val="top"/>
            <w:tcMar>
              <w:top w:w="80" w:type="dxa"/>
              <w:start w:w="80" w:type="dxa"/>
              <w:bottom w:w="80" w:type="dxa"/>
              <w:end w:w="80" w:type="dxa"/>
            </w:tcMar>
            <w:shd w:fill="1A73E8"/>
          </w:tcPr>
          <w:p>
            <w:pPr>
              <w:spacing w:after="0"/>
            </w:pPr>
            <w:r/>
            <w:r>
              <w:rPr>
                <w:rFonts w:ascii="Aptos" w:hAnsi="Aptos"/>
                <w:b/>
                <w:color w:val="FFFFFF"/>
                <w:sz w:val="15"/>
              </w:rPr>
              <w:t>Layer</w:t>
            </w:r>
          </w:p>
        </w:tc>
        <w:tc>
          <w:tcPr>
            <w:tcW w:type="dxa" w:w="3312"/>
            <w:vAlign w:val="top"/>
            <w:tcMar>
              <w:top w:w="80" w:type="dxa"/>
              <w:start w:w="80" w:type="dxa"/>
              <w:bottom w:w="80" w:type="dxa"/>
              <w:end w:w="80" w:type="dxa"/>
            </w:tcMar>
            <w:shd w:fill="1A73E8"/>
          </w:tcPr>
          <w:p>
            <w:pPr>
              <w:spacing w:after="0"/>
            </w:pPr>
            <w:r/>
            <w:r>
              <w:rPr>
                <w:rFonts w:ascii="Aptos" w:hAnsi="Aptos"/>
                <w:b/>
                <w:color w:val="FFFFFF"/>
                <w:sz w:val="15"/>
              </w:rPr>
              <w:t>Content</w:t>
            </w:r>
          </w:p>
        </w:tc>
        <w:tc>
          <w:tcPr>
            <w:tcW w:type="dxa" w:w="3168"/>
            <w:vAlign w:val="top"/>
            <w:tcMar>
              <w:top w:w="80" w:type="dxa"/>
              <w:start w:w="80" w:type="dxa"/>
              <w:bottom w:w="80" w:type="dxa"/>
              <w:end w:w="80" w:type="dxa"/>
            </w:tcMar>
            <w:shd w:fill="1A73E8"/>
          </w:tcPr>
          <w:p>
            <w:pPr>
              <w:spacing w:after="0"/>
            </w:pPr>
            <w:r/>
            <w:r>
              <w:rPr>
                <w:rFonts w:ascii="Aptos" w:hAnsi="Aptos"/>
                <w:b/>
                <w:color w:val="FFFFFF"/>
                <w:sz w:val="15"/>
              </w:rPr>
              <w:t>Controls</w:t>
            </w:r>
          </w:p>
        </w:tc>
        <w:tc>
          <w:tcPr>
            <w:tcW w:type="dxa" w:w="2016"/>
            <w:vAlign w:val="top"/>
            <w:tcMar>
              <w:top w:w="80" w:type="dxa"/>
              <w:start w:w="80" w:type="dxa"/>
              <w:bottom w:w="80" w:type="dxa"/>
              <w:end w:w="80" w:type="dxa"/>
            </w:tcMar>
            <w:shd w:fill="1A73E8"/>
          </w:tcPr>
          <w:p>
            <w:pPr>
              <w:spacing w:after="0"/>
            </w:pPr>
            <w:r/>
            <w:r>
              <w:rPr>
                <w:rFonts w:ascii="Aptos" w:hAnsi="Aptos"/>
                <w:b/>
                <w:color w:val="FFFFFF"/>
                <w:sz w:val="15"/>
              </w:rPr>
              <w:t>Retention approach</w:t>
            </w:r>
          </w:p>
        </w:tc>
      </w:tr>
      <w:tr>
        <w:tc>
          <w:tcPr>
            <w:tcW w:type="dxa" w:w="1584"/>
            <w:vAlign w:val="top"/>
            <w:tcMar>
              <w:top w:w="80" w:type="dxa"/>
              <w:start w:w="80" w:type="dxa"/>
              <w:bottom w:w="80" w:type="dxa"/>
              <w:end w:w="80" w:type="dxa"/>
            </w:tcMar>
          </w:tcPr>
          <w:p>
            <w:pPr>
              <w:spacing w:after="0"/>
            </w:pPr>
            <w:r/>
            <w:r>
              <w:rPr>
                <w:rFonts w:ascii="Aptos" w:hAnsi="Aptos"/>
                <w:b w:val="0"/>
                <w:sz w:val="15"/>
              </w:rPr>
              <w:t>Raw immutable</w:t>
            </w:r>
          </w:p>
        </w:tc>
        <w:tc>
          <w:tcPr>
            <w:tcW w:type="dxa" w:w="3312"/>
            <w:vAlign w:val="top"/>
            <w:tcMar>
              <w:top w:w="80" w:type="dxa"/>
              <w:start w:w="80" w:type="dxa"/>
              <w:bottom w:w="80" w:type="dxa"/>
              <w:end w:w="80" w:type="dxa"/>
            </w:tcMar>
          </w:tcPr>
          <w:p>
            <w:pPr>
              <w:spacing w:after="0"/>
            </w:pPr>
            <w:r/>
            <w:r>
              <w:rPr>
                <w:rFonts w:ascii="Aptos" w:hAnsi="Aptos"/>
                <w:b w:val="0"/>
                <w:sz w:val="15"/>
              </w:rPr>
              <w:t>provider-managed or exported billing tables</w:t>
            </w:r>
          </w:p>
        </w:tc>
        <w:tc>
          <w:tcPr>
            <w:tcW w:type="dxa" w:w="3168"/>
            <w:vAlign w:val="top"/>
            <w:tcMar>
              <w:top w:w="80" w:type="dxa"/>
              <w:start w:w="80" w:type="dxa"/>
              <w:bottom w:w="80" w:type="dxa"/>
              <w:end w:w="80" w:type="dxa"/>
            </w:tcMar>
          </w:tcPr>
          <w:p>
            <w:pPr>
              <w:spacing w:after="0"/>
            </w:pPr>
            <w:r/>
            <w:r>
              <w:rPr>
                <w:rFonts w:ascii="Aptos" w:hAnsi="Aptos"/>
                <w:b w:val="0"/>
                <w:sz w:val="15"/>
              </w:rPr>
              <w:t>restricted write path, schema monitoring, freshness watermark</w:t>
            </w:r>
          </w:p>
        </w:tc>
        <w:tc>
          <w:tcPr>
            <w:tcW w:type="dxa" w:w="2016"/>
            <w:vAlign w:val="top"/>
            <w:tcMar>
              <w:top w:w="80" w:type="dxa"/>
              <w:start w:w="80" w:type="dxa"/>
              <w:bottom w:w="80" w:type="dxa"/>
              <w:end w:w="80" w:type="dxa"/>
            </w:tcMar>
          </w:tcPr>
          <w:p>
            <w:pPr>
              <w:spacing w:after="0"/>
            </w:pPr>
            <w:r/>
            <w:r>
              <w:rPr>
                <w:rFonts w:ascii="Aptos" w:hAnsi="Aptos"/>
                <w:b w:val="0"/>
                <w:sz w:val="15"/>
              </w:rPr>
              <w:t>finance/audit policy</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Normalized</w:t>
            </w:r>
          </w:p>
        </w:tc>
        <w:tc>
          <w:tcPr>
            <w:tcW w:type="dxa" w:w="3312"/>
            <w:vAlign w:val="top"/>
            <w:tcMar>
              <w:top w:w="80" w:type="dxa"/>
              <w:start w:w="80" w:type="dxa"/>
              <w:bottom w:w="80" w:type="dxa"/>
              <w:end w:w="80" w:type="dxa"/>
            </w:tcMar>
            <w:shd w:fill="F8F9FA"/>
          </w:tcPr>
          <w:p>
            <w:pPr>
              <w:spacing w:after="0"/>
            </w:pPr>
            <w:r/>
            <w:r>
              <w:rPr>
                <w:rFonts w:ascii="Aptos" w:hAnsi="Aptos"/>
                <w:b w:val="0"/>
                <w:sz w:val="15"/>
              </w:rPr>
              <w:t>stable enterprise schema for cost, usage, credits and dimensions</w:t>
            </w:r>
          </w:p>
        </w:tc>
        <w:tc>
          <w:tcPr>
            <w:tcW w:type="dxa" w:w="3168"/>
            <w:vAlign w:val="top"/>
            <w:tcMar>
              <w:top w:w="80" w:type="dxa"/>
              <w:start w:w="80" w:type="dxa"/>
              <w:bottom w:w="80" w:type="dxa"/>
              <w:end w:w="80" w:type="dxa"/>
            </w:tcMar>
            <w:shd w:fill="F8F9FA"/>
          </w:tcPr>
          <w:p>
            <w:pPr>
              <w:spacing w:after="0"/>
            </w:pPr>
            <w:r/>
            <w:r>
              <w:rPr>
                <w:rFonts w:ascii="Aptos" w:hAnsi="Aptos"/>
                <w:b w:val="0"/>
                <w:sz w:val="15"/>
              </w:rPr>
              <w:t>views or tables shield consumers from schema additions</w:t>
            </w:r>
          </w:p>
        </w:tc>
        <w:tc>
          <w:tcPr>
            <w:tcW w:type="dxa" w:w="2016"/>
            <w:vAlign w:val="top"/>
            <w:tcMar>
              <w:top w:w="80" w:type="dxa"/>
              <w:start w:w="80" w:type="dxa"/>
              <w:bottom w:w="80" w:type="dxa"/>
              <w:end w:w="80" w:type="dxa"/>
            </w:tcMar>
            <w:shd w:fill="F8F9FA"/>
          </w:tcPr>
          <w:p>
            <w:pPr>
              <w:spacing w:after="0"/>
            </w:pPr>
            <w:r/>
            <w:r>
              <w:rPr>
                <w:rFonts w:ascii="Aptos" w:hAnsi="Aptos"/>
                <w:b w:val="0"/>
                <w:sz w:val="15"/>
              </w:rPr>
              <w:t>rebuildable from raw</w:t>
            </w:r>
          </w:p>
        </w:tc>
      </w:tr>
      <w:tr>
        <w:tc>
          <w:tcPr>
            <w:tcW w:type="dxa" w:w="1584"/>
            <w:vAlign w:val="top"/>
            <w:tcMar>
              <w:top w:w="80" w:type="dxa"/>
              <w:start w:w="80" w:type="dxa"/>
              <w:bottom w:w="80" w:type="dxa"/>
              <w:end w:w="80" w:type="dxa"/>
            </w:tcMar>
          </w:tcPr>
          <w:p>
            <w:pPr>
              <w:spacing w:after="0"/>
            </w:pPr>
            <w:r/>
            <w:r>
              <w:rPr>
                <w:rFonts w:ascii="Aptos" w:hAnsi="Aptos"/>
                <w:b w:val="0"/>
                <w:sz w:val="15"/>
              </w:rPr>
              <w:t>Reference</w:t>
            </w:r>
          </w:p>
        </w:tc>
        <w:tc>
          <w:tcPr>
            <w:tcW w:type="dxa" w:w="3312"/>
            <w:vAlign w:val="top"/>
            <w:tcMar>
              <w:top w:w="80" w:type="dxa"/>
              <w:start w:w="80" w:type="dxa"/>
              <w:bottom w:w="80" w:type="dxa"/>
              <w:end w:w="80" w:type="dxa"/>
            </w:tcMar>
          </w:tcPr>
          <w:p>
            <w:pPr>
              <w:spacing w:after="0"/>
            </w:pPr>
            <w:r/>
            <w:r>
              <w:rPr>
                <w:rFonts w:ascii="Aptos" w:hAnsi="Aptos"/>
                <w:b w:val="0"/>
                <w:sz w:val="15"/>
              </w:rPr>
              <w:t>project, product, owner, cost center, allocation and rate metadata</w:t>
            </w:r>
          </w:p>
        </w:tc>
        <w:tc>
          <w:tcPr>
            <w:tcW w:type="dxa" w:w="3168"/>
            <w:vAlign w:val="top"/>
            <w:tcMar>
              <w:top w:w="80" w:type="dxa"/>
              <w:start w:w="80" w:type="dxa"/>
              <w:bottom w:w="80" w:type="dxa"/>
              <w:end w:w="80" w:type="dxa"/>
            </w:tcMar>
          </w:tcPr>
          <w:p>
            <w:pPr>
              <w:spacing w:after="0"/>
            </w:pPr>
            <w:r/>
            <w:r>
              <w:rPr>
                <w:rFonts w:ascii="Aptos" w:hAnsi="Aptos"/>
                <w:b w:val="0"/>
                <w:sz w:val="15"/>
              </w:rPr>
              <w:t>effective dating, approvals, data quality</w:t>
            </w:r>
          </w:p>
        </w:tc>
        <w:tc>
          <w:tcPr>
            <w:tcW w:type="dxa" w:w="2016"/>
            <w:vAlign w:val="top"/>
            <w:tcMar>
              <w:top w:w="80" w:type="dxa"/>
              <w:start w:w="80" w:type="dxa"/>
              <w:bottom w:w="80" w:type="dxa"/>
              <w:end w:w="80" w:type="dxa"/>
            </w:tcMar>
          </w:tcPr>
          <w:p>
            <w:pPr>
              <w:spacing w:after="0"/>
            </w:pPr>
            <w:r/>
            <w:r>
              <w:rPr>
                <w:rFonts w:ascii="Aptos" w:hAnsi="Aptos"/>
                <w:b w:val="0"/>
                <w:sz w:val="15"/>
              </w:rPr>
              <w:t>retain history</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Allocated ledger</w:t>
            </w:r>
          </w:p>
        </w:tc>
        <w:tc>
          <w:tcPr>
            <w:tcW w:type="dxa" w:w="3312"/>
            <w:vAlign w:val="top"/>
            <w:tcMar>
              <w:top w:w="80" w:type="dxa"/>
              <w:start w:w="80" w:type="dxa"/>
              <w:bottom w:w="80" w:type="dxa"/>
              <w:end w:w="80" w:type="dxa"/>
            </w:tcMar>
            <w:shd w:fill="F8F9FA"/>
          </w:tcPr>
          <w:p>
            <w:pPr>
              <w:spacing w:after="0"/>
            </w:pPr>
            <w:r/>
            <w:r>
              <w:rPr>
                <w:rFonts w:ascii="Aptos" w:hAnsi="Aptos"/>
                <w:b w:val="0"/>
                <w:sz w:val="15"/>
              </w:rPr>
              <w:t>direct and shared costs with rule version</w:t>
            </w:r>
          </w:p>
        </w:tc>
        <w:tc>
          <w:tcPr>
            <w:tcW w:type="dxa" w:w="3168"/>
            <w:vAlign w:val="top"/>
            <w:tcMar>
              <w:top w:w="80" w:type="dxa"/>
              <w:start w:w="80" w:type="dxa"/>
              <w:bottom w:w="80" w:type="dxa"/>
              <w:end w:w="80" w:type="dxa"/>
            </w:tcMar>
            <w:shd w:fill="F8F9FA"/>
          </w:tcPr>
          <w:p>
            <w:pPr>
              <w:spacing w:after="0"/>
            </w:pPr>
            <w:r/>
            <w:r>
              <w:rPr>
                <w:rFonts w:ascii="Aptos" w:hAnsi="Aptos"/>
                <w:b w:val="0"/>
                <w:sz w:val="15"/>
              </w:rPr>
              <w:t>reconciliation and deterministic rerun</w:t>
            </w:r>
          </w:p>
        </w:tc>
        <w:tc>
          <w:tcPr>
            <w:tcW w:type="dxa" w:w="2016"/>
            <w:vAlign w:val="top"/>
            <w:tcMar>
              <w:top w:w="80" w:type="dxa"/>
              <w:start w:w="80" w:type="dxa"/>
              <w:bottom w:w="80" w:type="dxa"/>
              <w:end w:w="80" w:type="dxa"/>
            </w:tcMar>
            <w:shd w:fill="F8F9FA"/>
          </w:tcPr>
          <w:p>
            <w:pPr>
              <w:spacing w:after="0"/>
            </w:pPr>
            <w:r/>
            <w:r>
              <w:rPr>
                <w:rFonts w:ascii="Aptos" w:hAnsi="Aptos"/>
                <w:b w:val="0"/>
                <w:sz w:val="15"/>
              </w:rPr>
              <w:t>financial evidence retention</w:t>
            </w:r>
          </w:p>
        </w:tc>
      </w:tr>
      <w:tr>
        <w:tc>
          <w:tcPr>
            <w:tcW w:type="dxa" w:w="1584"/>
            <w:vAlign w:val="top"/>
            <w:tcMar>
              <w:top w:w="80" w:type="dxa"/>
              <w:start w:w="80" w:type="dxa"/>
              <w:bottom w:w="80" w:type="dxa"/>
              <w:end w:w="80" w:type="dxa"/>
            </w:tcMar>
          </w:tcPr>
          <w:p>
            <w:pPr>
              <w:spacing w:after="0"/>
            </w:pPr>
            <w:r/>
            <w:r>
              <w:rPr>
                <w:rFonts w:ascii="Aptos" w:hAnsi="Aptos"/>
                <w:b w:val="0"/>
                <w:sz w:val="15"/>
              </w:rPr>
              <w:t>Mart</w:t>
            </w:r>
          </w:p>
        </w:tc>
        <w:tc>
          <w:tcPr>
            <w:tcW w:type="dxa" w:w="3312"/>
            <w:vAlign w:val="top"/>
            <w:tcMar>
              <w:top w:w="80" w:type="dxa"/>
              <w:start w:w="80" w:type="dxa"/>
              <w:bottom w:w="80" w:type="dxa"/>
              <w:end w:w="80" w:type="dxa"/>
            </w:tcMar>
          </w:tcPr>
          <w:p>
            <w:pPr>
              <w:spacing w:after="0"/>
            </w:pPr>
            <w:r/>
            <w:r>
              <w:rPr>
                <w:rFonts w:ascii="Aptos" w:hAnsi="Aptos"/>
                <w:b w:val="0"/>
                <w:sz w:val="15"/>
              </w:rPr>
              <w:t>budgets, forecasts, anomalies, KPIs and unit economics</w:t>
            </w:r>
          </w:p>
        </w:tc>
        <w:tc>
          <w:tcPr>
            <w:tcW w:type="dxa" w:w="3168"/>
            <w:vAlign w:val="top"/>
            <w:tcMar>
              <w:top w:w="80" w:type="dxa"/>
              <w:start w:w="80" w:type="dxa"/>
              <w:bottom w:w="80" w:type="dxa"/>
              <w:end w:w="80" w:type="dxa"/>
            </w:tcMar>
          </w:tcPr>
          <w:p>
            <w:pPr>
              <w:spacing w:after="0"/>
            </w:pPr>
            <w:r/>
            <w:r>
              <w:rPr>
                <w:rFonts w:ascii="Aptos" w:hAnsi="Aptos"/>
                <w:b w:val="0"/>
                <w:sz w:val="15"/>
              </w:rPr>
              <w:t>consumer-specific authorized views</w:t>
            </w:r>
          </w:p>
        </w:tc>
        <w:tc>
          <w:tcPr>
            <w:tcW w:type="dxa" w:w="2016"/>
            <w:vAlign w:val="top"/>
            <w:tcMar>
              <w:top w:w="80" w:type="dxa"/>
              <w:start w:w="80" w:type="dxa"/>
              <w:bottom w:w="80" w:type="dxa"/>
              <w:end w:w="80" w:type="dxa"/>
            </w:tcMar>
          </w:tcPr>
          <w:p>
            <w:pPr>
              <w:spacing w:after="0"/>
            </w:pPr>
            <w:r/>
            <w:r>
              <w:rPr>
                <w:rFonts w:ascii="Aptos" w:hAnsi="Aptos"/>
                <w:b w:val="0"/>
                <w:sz w:val="15"/>
              </w:rPr>
              <w:t>business reporting policy</w:t>
            </w:r>
          </w:p>
        </w:tc>
      </w:tr>
    </w:tbl>
    <w:p>
      <w:pPr>
        <w:pStyle w:val="Heading2"/>
      </w:pPr>
      <w:r>
        <w:t>8.2 Data-quality controls</w:t>
      </w:r>
    </w:p>
    <w:p>
      <w:pPr>
        <w:pStyle w:val="ListBullet"/>
      </w:pPr>
      <w:r>
        <w:t>Export freshness is measured and displayed on every dashboard; daily numbers are explicitly provisional until invoice reconciliation.</w:t>
      </w:r>
    </w:p>
    <w:p>
      <w:pPr>
        <w:pStyle w:val="ListBullet"/>
      </w:pPr>
      <w:r>
        <w:t>Net cost, credits, adjustments and currency treatment are documented and reconciled at billing-account and invoice-month levels.</w:t>
      </w:r>
    </w:p>
    <w:p>
      <w:pPr>
        <w:pStyle w:val="ListBullet"/>
      </w:pPr>
      <w:r>
        <w:t>Views use explicit field selection and are tested when export schemas add fields.</w:t>
      </w:r>
    </w:p>
    <w:p>
      <w:pPr>
        <w:pStyle w:val="ListBullet"/>
      </w:pPr>
      <w:r>
        <w:t>Allocation totals must equal the normalized cost ledger within an approved rounding tolerance.</w:t>
      </w:r>
    </w:p>
    <w:p>
      <w:pPr>
        <w:pStyle w:val="ListBullet"/>
      </w:pPr>
      <w:r>
        <w:t>Late-reported usage triggers a restatement process rather than overwriting prior financial statements without traceability.</w:t>
      </w:r>
    </w:p>
    <w:p>
      <w:pPr>
        <w:pStyle w:val="ListBullet"/>
      </w:pPr>
      <w:r>
        <w:t>Sensitive billing data is not exposed through broad analytics access; consumers receive authorized product-level views.</w:t>
      </w:r>
    </w:p>
    <w:p>
      <w:pPr>
        <w:pStyle w:val="Heading1"/>
      </w:pPr>
      <w:r>
        <w:t>9. Showback and Chargeback</w:t>
      </w:r>
    </w:p>
    <w:p>
      <w:r>
        <w:t>Showback reports economic consumption without financial posting. Chargeback posts approved amounts to finance systems. The architecture introduces showback first, validates trust and only then activates chargeback for selected pools.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Stage</w:t>
            </w:r>
          </w:p>
        </w:tc>
        <w:tc>
          <w:tcPr>
            <w:tcW w:type="dxa" w:w="3312"/>
            <w:vAlign w:val="top"/>
            <w:tcMar>
              <w:top w:w="80" w:type="dxa"/>
              <w:start w:w="80" w:type="dxa"/>
              <w:bottom w:w="80" w:type="dxa"/>
              <w:end w:w="80" w:type="dxa"/>
            </w:tcMar>
            <w:shd w:fill="1A73E8"/>
          </w:tcPr>
          <w:p>
            <w:pPr>
              <w:spacing w:after="0"/>
            </w:pPr>
            <w:r/>
            <w:r>
              <w:rPr>
                <w:rFonts w:ascii="Aptos" w:hAnsi="Aptos"/>
                <w:b/>
                <w:color w:val="FFFFFF"/>
                <w:sz w:val="15"/>
              </w:rPr>
              <w:t>Entry criteria</w:t>
            </w:r>
          </w:p>
        </w:tc>
        <w:tc>
          <w:tcPr>
            <w:tcW w:type="dxa" w:w="3024"/>
            <w:vAlign w:val="top"/>
            <w:tcMar>
              <w:top w:w="80" w:type="dxa"/>
              <w:start w:w="80" w:type="dxa"/>
              <w:bottom w:w="80" w:type="dxa"/>
              <w:end w:w="80" w:type="dxa"/>
            </w:tcMar>
            <w:shd w:fill="1A73E8"/>
          </w:tcPr>
          <w:p>
            <w:pPr>
              <w:spacing w:after="0"/>
            </w:pPr>
            <w:r/>
            <w:r>
              <w:rPr>
                <w:rFonts w:ascii="Aptos" w:hAnsi="Aptos"/>
                <w:b/>
                <w:color w:val="FFFFFF"/>
                <w:sz w:val="15"/>
              </w:rPr>
              <w:t>Output</w:t>
            </w:r>
          </w:p>
        </w:tc>
        <w:tc>
          <w:tcPr>
            <w:tcW w:type="dxa" w:w="2304"/>
            <w:vAlign w:val="top"/>
            <w:tcMar>
              <w:top w:w="80" w:type="dxa"/>
              <w:start w:w="80" w:type="dxa"/>
              <w:bottom w:w="80" w:type="dxa"/>
              <w:end w:w="80" w:type="dxa"/>
            </w:tcMar>
            <w:shd w:fill="1A73E8"/>
          </w:tcPr>
          <w:p>
            <w:pPr>
              <w:spacing w:after="0"/>
            </w:pPr>
            <w:r/>
            <w:r>
              <w:rPr>
                <w:rFonts w:ascii="Aptos" w:hAnsi="Aptos"/>
                <w:b/>
                <w:color w:val="FFFFFF"/>
                <w:sz w:val="15"/>
              </w:rPr>
              <w:t>Exit criteria</w:t>
            </w:r>
          </w:p>
        </w:tc>
      </w:tr>
      <w:tr>
        <w:tc>
          <w:tcPr>
            <w:tcW w:type="dxa" w:w="1728"/>
            <w:vAlign w:val="top"/>
            <w:tcMar>
              <w:top w:w="80" w:type="dxa"/>
              <w:start w:w="80" w:type="dxa"/>
              <w:bottom w:w="80" w:type="dxa"/>
              <w:end w:w="80" w:type="dxa"/>
            </w:tcMar>
          </w:tcPr>
          <w:p>
            <w:pPr>
              <w:spacing w:after="0"/>
            </w:pPr>
            <w:r/>
            <w:r>
              <w:rPr>
                <w:rFonts w:ascii="Aptos" w:hAnsi="Aptos"/>
                <w:b w:val="0"/>
                <w:sz w:val="15"/>
              </w:rPr>
              <w:t>Shadow reporting</w:t>
            </w:r>
          </w:p>
        </w:tc>
        <w:tc>
          <w:tcPr>
            <w:tcW w:type="dxa" w:w="3312"/>
            <w:vAlign w:val="top"/>
            <w:tcMar>
              <w:top w:w="80" w:type="dxa"/>
              <w:start w:w="80" w:type="dxa"/>
              <w:bottom w:w="80" w:type="dxa"/>
              <w:end w:w="80" w:type="dxa"/>
            </w:tcMar>
          </w:tcPr>
          <w:p>
            <w:pPr>
              <w:spacing w:after="0"/>
            </w:pPr>
            <w:r/>
            <w:r>
              <w:rPr>
                <w:rFonts w:ascii="Aptos" w:hAnsi="Aptos"/>
                <w:b w:val="0"/>
                <w:sz w:val="15"/>
              </w:rPr>
              <w:t>billing exports and basic mapping available</w:t>
            </w:r>
          </w:p>
        </w:tc>
        <w:tc>
          <w:tcPr>
            <w:tcW w:type="dxa" w:w="3024"/>
            <w:vAlign w:val="top"/>
            <w:tcMar>
              <w:top w:w="80" w:type="dxa"/>
              <w:start w:w="80" w:type="dxa"/>
              <w:bottom w:w="80" w:type="dxa"/>
              <w:end w:w="80" w:type="dxa"/>
            </w:tcMar>
          </w:tcPr>
          <w:p>
            <w:pPr>
              <w:spacing w:after="0"/>
            </w:pPr>
            <w:r/>
            <w:r>
              <w:rPr>
                <w:rFonts w:ascii="Aptos" w:hAnsi="Aptos"/>
                <w:b w:val="0"/>
                <w:sz w:val="15"/>
              </w:rPr>
              <w:t>internal FinOps comparison</w:t>
            </w:r>
          </w:p>
        </w:tc>
        <w:tc>
          <w:tcPr>
            <w:tcW w:type="dxa" w:w="2304"/>
            <w:vAlign w:val="top"/>
            <w:tcMar>
              <w:top w:w="80" w:type="dxa"/>
              <w:start w:w="80" w:type="dxa"/>
              <w:bottom w:w="80" w:type="dxa"/>
              <w:end w:w="80" w:type="dxa"/>
            </w:tcMar>
          </w:tcPr>
          <w:p>
            <w:pPr>
              <w:spacing w:after="0"/>
            </w:pPr>
            <w:r/>
            <w:r>
              <w:rPr>
                <w:rFonts w:ascii="Aptos" w:hAnsi="Aptos"/>
                <w:b w:val="0"/>
                <w:sz w:val="15"/>
              </w:rPr>
              <w:t>daily reconciliation stable</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Showback</w:t>
            </w:r>
          </w:p>
        </w:tc>
        <w:tc>
          <w:tcPr>
            <w:tcW w:type="dxa" w:w="3312"/>
            <w:vAlign w:val="top"/>
            <w:tcMar>
              <w:top w:w="80" w:type="dxa"/>
              <w:start w:w="80" w:type="dxa"/>
              <w:bottom w:w="80" w:type="dxa"/>
              <w:end w:w="80" w:type="dxa"/>
            </w:tcMar>
            <w:shd w:fill="F8F9FA"/>
          </w:tcPr>
          <w:p>
            <w:pPr>
              <w:spacing w:after="0"/>
            </w:pPr>
            <w:r/>
            <w:r>
              <w:rPr>
                <w:rFonts w:ascii="Aptos" w:hAnsi="Aptos"/>
                <w:b w:val="0"/>
                <w:sz w:val="15"/>
              </w:rPr>
              <w:t>allocation coverage and owner mapping meet threshold</w:t>
            </w:r>
          </w:p>
        </w:tc>
        <w:tc>
          <w:tcPr>
            <w:tcW w:type="dxa" w:w="3024"/>
            <w:vAlign w:val="top"/>
            <w:tcMar>
              <w:top w:w="80" w:type="dxa"/>
              <w:start w:w="80" w:type="dxa"/>
              <w:bottom w:w="80" w:type="dxa"/>
              <w:end w:w="80" w:type="dxa"/>
            </w:tcMar>
            <w:shd w:fill="F8F9FA"/>
          </w:tcPr>
          <w:p>
            <w:pPr>
              <w:spacing w:after="0"/>
            </w:pPr>
            <w:r/>
            <w:r>
              <w:rPr>
                <w:rFonts w:ascii="Aptos" w:hAnsi="Aptos"/>
                <w:b w:val="0"/>
                <w:sz w:val="15"/>
              </w:rPr>
              <w:t>monthly owner statement</w:t>
            </w:r>
          </w:p>
        </w:tc>
        <w:tc>
          <w:tcPr>
            <w:tcW w:type="dxa" w:w="2304"/>
            <w:vAlign w:val="top"/>
            <w:tcMar>
              <w:top w:w="80" w:type="dxa"/>
              <w:start w:w="80" w:type="dxa"/>
              <w:bottom w:w="80" w:type="dxa"/>
              <w:end w:w="80" w:type="dxa"/>
            </w:tcMar>
            <w:shd w:fill="F8F9FA"/>
          </w:tcPr>
          <w:p>
            <w:pPr>
              <w:spacing w:after="0"/>
            </w:pPr>
            <w:r/>
            <w:r>
              <w:rPr>
                <w:rFonts w:ascii="Aptos" w:hAnsi="Aptos"/>
                <w:b w:val="0"/>
                <w:sz w:val="15"/>
              </w:rPr>
              <w:t>two cycles with low dispute rate</w:t>
            </w:r>
          </w:p>
        </w:tc>
      </w:tr>
      <w:tr>
        <w:tc>
          <w:tcPr>
            <w:tcW w:type="dxa" w:w="1728"/>
            <w:vAlign w:val="top"/>
            <w:tcMar>
              <w:top w:w="80" w:type="dxa"/>
              <w:start w:w="80" w:type="dxa"/>
              <w:bottom w:w="80" w:type="dxa"/>
              <w:end w:w="80" w:type="dxa"/>
            </w:tcMar>
          </w:tcPr>
          <w:p>
            <w:pPr>
              <w:spacing w:after="0"/>
            </w:pPr>
            <w:r/>
            <w:r>
              <w:rPr>
                <w:rFonts w:ascii="Aptos" w:hAnsi="Aptos"/>
                <w:b w:val="0"/>
                <w:sz w:val="15"/>
              </w:rPr>
              <w:t>Selective chargeback</w:t>
            </w:r>
          </w:p>
        </w:tc>
        <w:tc>
          <w:tcPr>
            <w:tcW w:type="dxa" w:w="3312"/>
            <w:vAlign w:val="top"/>
            <w:tcMar>
              <w:top w:w="80" w:type="dxa"/>
              <w:start w:w="80" w:type="dxa"/>
              <w:bottom w:w="80" w:type="dxa"/>
              <w:end w:w="80" w:type="dxa"/>
            </w:tcMar>
          </w:tcPr>
          <w:p>
            <w:pPr>
              <w:spacing w:after="0"/>
            </w:pPr>
            <w:r/>
            <w:r>
              <w:rPr>
                <w:rFonts w:ascii="Aptos" w:hAnsi="Aptos"/>
                <w:b w:val="0"/>
                <w:sz w:val="15"/>
              </w:rPr>
              <w:t>approved pools and finance mapping</w:t>
            </w:r>
          </w:p>
        </w:tc>
        <w:tc>
          <w:tcPr>
            <w:tcW w:type="dxa" w:w="3024"/>
            <w:vAlign w:val="top"/>
            <w:tcMar>
              <w:top w:w="80" w:type="dxa"/>
              <w:start w:w="80" w:type="dxa"/>
              <w:bottom w:w="80" w:type="dxa"/>
              <w:end w:w="80" w:type="dxa"/>
            </w:tcMar>
          </w:tcPr>
          <w:p>
            <w:pPr>
              <w:spacing w:after="0"/>
            </w:pPr>
            <w:r/>
            <w:r>
              <w:rPr>
                <w:rFonts w:ascii="Aptos" w:hAnsi="Aptos"/>
                <w:b w:val="0"/>
                <w:sz w:val="15"/>
              </w:rPr>
              <w:t>journal-ready export</w:t>
            </w:r>
          </w:p>
        </w:tc>
        <w:tc>
          <w:tcPr>
            <w:tcW w:type="dxa" w:w="2304"/>
            <w:vAlign w:val="top"/>
            <w:tcMar>
              <w:top w:w="80" w:type="dxa"/>
              <w:start w:w="80" w:type="dxa"/>
              <w:bottom w:w="80" w:type="dxa"/>
              <w:end w:w="80" w:type="dxa"/>
            </w:tcMar>
          </w:tcPr>
          <w:p>
            <w:pPr>
              <w:spacing w:after="0"/>
            </w:pPr>
            <w:r/>
            <w:r>
              <w:rPr>
                <w:rFonts w:ascii="Aptos" w:hAnsi="Aptos"/>
                <w:b w:val="0"/>
                <w:sz w:val="15"/>
              </w:rPr>
              <w:t>reconciliation and dispute SLA met</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Mature chargeback</w:t>
            </w:r>
          </w:p>
        </w:tc>
        <w:tc>
          <w:tcPr>
            <w:tcW w:type="dxa" w:w="3312"/>
            <w:vAlign w:val="top"/>
            <w:tcMar>
              <w:top w:w="80" w:type="dxa"/>
              <w:start w:w="80" w:type="dxa"/>
              <w:bottom w:w="80" w:type="dxa"/>
              <w:end w:w="80" w:type="dxa"/>
            </w:tcMar>
            <w:shd w:fill="F8F9FA"/>
          </w:tcPr>
          <w:p>
            <w:pPr>
              <w:spacing w:after="0"/>
            </w:pPr>
            <w:r/>
            <w:r>
              <w:rPr>
                <w:rFonts w:ascii="Aptos" w:hAnsi="Aptos"/>
                <w:b w:val="0"/>
                <w:sz w:val="15"/>
              </w:rPr>
              <w:t>unit economics and shared drivers stable</w:t>
            </w:r>
          </w:p>
        </w:tc>
        <w:tc>
          <w:tcPr>
            <w:tcW w:type="dxa" w:w="3024"/>
            <w:vAlign w:val="top"/>
            <w:tcMar>
              <w:top w:w="80" w:type="dxa"/>
              <w:start w:w="80" w:type="dxa"/>
              <w:bottom w:w="80" w:type="dxa"/>
              <w:end w:w="80" w:type="dxa"/>
            </w:tcMar>
            <w:shd w:fill="F8F9FA"/>
          </w:tcPr>
          <w:p>
            <w:pPr>
              <w:spacing w:after="0"/>
            </w:pPr>
            <w:r/>
            <w:r>
              <w:rPr>
                <w:rFonts w:ascii="Aptos" w:hAnsi="Aptos"/>
                <w:b w:val="0"/>
                <w:sz w:val="15"/>
              </w:rPr>
              <w:t>broad product-level posting</w:t>
            </w:r>
          </w:p>
        </w:tc>
        <w:tc>
          <w:tcPr>
            <w:tcW w:type="dxa" w:w="2304"/>
            <w:vAlign w:val="top"/>
            <w:tcMar>
              <w:top w:w="80" w:type="dxa"/>
              <w:start w:w="80" w:type="dxa"/>
              <w:bottom w:w="80" w:type="dxa"/>
              <w:end w:w="80" w:type="dxa"/>
            </w:tcMar>
            <w:shd w:fill="F8F9FA"/>
          </w:tcPr>
          <w:p>
            <w:pPr>
              <w:spacing w:after="0"/>
            </w:pPr>
            <w:r/>
            <w:r>
              <w:rPr>
                <w:rFonts w:ascii="Aptos" w:hAnsi="Aptos"/>
                <w:b w:val="0"/>
                <w:sz w:val="15"/>
              </w:rPr>
              <w:t>quarterly governance and audit evidence</w:t>
            </w:r>
          </w:p>
        </w:tc>
      </w:tr>
    </w:tbl>
    <w:p>
      <w:pPr>
        <w:pStyle w:val="Heading2"/>
      </w:pPr>
      <w:r>
        <w:t>9.1 Allocation hierarchy</w:t>
      </w:r>
    </w:p>
    <w:p>
      <w:pPr>
        <w:pStyle w:val="ListBullet"/>
      </w:pPr>
      <w:r>
        <w:t>Direct resource or job attribution is preferred.</w:t>
      </w:r>
    </w:p>
    <w:p>
      <w:pPr>
        <w:pStyle w:val="ListBullet"/>
      </w:pPr>
      <w:r>
        <w:t>Project-to-product mapping is the second choice when projects are dedicated.</w:t>
      </w:r>
    </w:p>
    <w:p>
      <w:pPr>
        <w:pStyle w:val="ListBullet"/>
      </w:pPr>
      <w:r>
        <w:t>Measured service usage such as slot-ms, bytes processed, worker-hours, events or tokens is the third choice.</w:t>
      </w:r>
    </w:p>
    <w:p>
      <w:pPr>
        <w:pStyle w:val="ListBullet"/>
      </w:pPr>
      <w:r>
        <w:t>An approved causal business driver is used for genuinely shared costs.</w:t>
      </w:r>
    </w:p>
    <w:p>
      <w:pPr>
        <w:pStyle w:val="ListBullet"/>
      </w:pPr>
      <w:r>
        <w:t>Equal allocation or headcount is a last-resort temporary driver and must be explicitly disclosed.</w:t>
      </w:r>
    </w:p>
    <w:p>
      <w:pPr>
        <w:pStyle w:val="ListBullet"/>
      </w:pPr>
      <w:r>
        <w:t>Unallocated cost is retained as an explicit line item and remediation metric.</w:t>
      </w:r>
    </w:p>
    <w:p>
      <w:r>
        <w:t>Shared allocation formula: allocated shared cost for product i = shared cost pool x product driver value / sum of eligible driver values. Driver version, eligibility set and calculation timestamp are stored with the result.</w:t>
      </w:r>
    </w:p>
    <w:p>
      <w:pPr>
        <w:pStyle w:val="Heading1"/>
      </w:pPr>
      <w:r>
        <w:t>10. Budget Management and Alerts</w:t>
      </w:r>
    </w:p>
    <w:p>
      <w:r>
        <w:t>Budgets are governance thresholds and communication mechanisms; they are not hard service limits. Every production product receives a monthly budget and rolling quarterly forecast. Shared platforms additionally receive capacity and commitment guardrails.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Budget level</w:t>
            </w:r>
          </w:p>
        </w:tc>
        <w:tc>
          <w:tcPr>
            <w:tcW w:type="dxa" w:w="2160"/>
            <w:vAlign w:val="top"/>
            <w:tcMar>
              <w:top w:w="80" w:type="dxa"/>
              <w:start w:w="80" w:type="dxa"/>
              <w:bottom w:w="80" w:type="dxa"/>
              <w:end w:w="80" w:type="dxa"/>
            </w:tcMar>
            <w:shd w:fill="1A73E8"/>
          </w:tcPr>
          <w:p>
            <w:pPr>
              <w:spacing w:after="0"/>
            </w:pPr>
            <w:r/>
            <w:r>
              <w:rPr>
                <w:rFonts w:ascii="Aptos" w:hAnsi="Aptos"/>
                <w:b/>
                <w:color w:val="FFFFFF"/>
                <w:sz w:val="15"/>
              </w:rPr>
              <w:t>Owner</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Threshold pattern</w:t>
            </w:r>
          </w:p>
        </w:tc>
        <w:tc>
          <w:tcPr>
            <w:tcW w:type="dxa" w:w="3744"/>
            <w:vAlign w:val="top"/>
            <w:tcMar>
              <w:top w:w="80" w:type="dxa"/>
              <w:start w:w="80" w:type="dxa"/>
              <w:bottom w:w="80" w:type="dxa"/>
              <w:end w:w="80" w:type="dxa"/>
            </w:tcMar>
            <w:shd w:fill="1A73E8"/>
          </w:tcPr>
          <w:p>
            <w:pPr>
              <w:spacing w:after="0"/>
            </w:pPr>
            <w:r/>
            <w:r>
              <w:rPr>
                <w:rFonts w:ascii="Aptos" w:hAnsi="Aptos"/>
                <w:b/>
                <w:color w:val="FFFFFF"/>
                <w:sz w:val="15"/>
              </w:rPr>
              <w:t>Response</w:t>
            </w:r>
          </w:p>
        </w:tc>
      </w:tr>
      <w:tr>
        <w:tc>
          <w:tcPr>
            <w:tcW w:type="dxa" w:w="1728"/>
            <w:vAlign w:val="top"/>
            <w:tcMar>
              <w:top w:w="80" w:type="dxa"/>
              <w:start w:w="80" w:type="dxa"/>
              <w:bottom w:w="80" w:type="dxa"/>
              <w:end w:w="80" w:type="dxa"/>
            </w:tcMar>
          </w:tcPr>
          <w:p>
            <w:pPr>
              <w:spacing w:after="0"/>
            </w:pPr>
            <w:r/>
            <w:r>
              <w:rPr>
                <w:rFonts w:ascii="Aptos" w:hAnsi="Aptos"/>
                <w:b w:val="0"/>
                <w:sz w:val="15"/>
              </w:rPr>
              <w:t>Billing account</w:t>
            </w:r>
          </w:p>
        </w:tc>
        <w:tc>
          <w:tcPr>
            <w:tcW w:type="dxa" w:w="2160"/>
            <w:vAlign w:val="top"/>
            <w:tcMar>
              <w:top w:w="80" w:type="dxa"/>
              <w:start w:w="80" w:type="dxa"/>
              <w:bottom w:w="80" w:type="dxa"/>
              <w:end w:w="80" w:type="dxa"/>
            </w:tcMar>
          </w:tcPr>
          <w:p>
            <w:pPr>
              <w:spacing w:after="0"/>
            </w:pPr>
            <w:r/>
            <w:r>
              <w:rPr>
                <w:rFonts w:ascii="Aptos" w:hAnsi="Aptos"/>
                <w:b w:val="0"/>
                <w:sz w:val="15"/>
              </w:rPr>
              <w:t>Enterprise FinOps</w:t>
            </w:r>
          </w:p>
        </w:tc>
        <w:tc>
          <w:tcPr>
            <w:tcW w:type="dxa" w:w="2880"/>
            <w:vAlign w:val="top"/>
            <w:tcMar>
              <w:top w:w="80" w:type="dxa"/>
              <w:start w:w="80" w:type="dxa"/>
              <w:bottom w:w="80" w:type="dxa"/>
              <w:end w:w="80" w:type="dxa"/>
            </w:tcMar>
          </w:tcPr>
          <w:p>
            <w:pPr>
              <w:spacing w:after="0"/>
            </w:pPr>
            <w:r/>
            <w:r>
              <w:rPr>
                <w:rFonts w:ascii="Aptos" w:hAnsi="Aptos"/>
                <w:b w:val="0"/>
                <w:sz w:val="15"/>
              </w:rPr>
              <w:t>50/80/100/forecast exceedance</w:t>
            </w:r>
          </w:p>
        </w:tc>
        <w:tc>
          <w:tcPr>
            <w:tcW w:type="dxa" w:w="3744"/>
            <w:vAlign w:val="top"/>
            <w:tcMar>
              <w:top w:w="80" w:type="dxa"/>
              <w:start w:w="80" w:type="dxa"/>
              <w:bottom w:w="80" w:type="dxa"/>
              <w:end w:w="80" w:type="dxa"/>
            </w:tcMar>
          </w:tcPr>
          <w:p>
            <w:pPr>
              <w:spacing w:after="0"/>
            </w:pPr>
            <w:r/>
            <w:r>
              <w:rPr>
                <w:rFonts w:ascii="Aptos" w:hAnsi="Aptos"/>
                <w:b w:val="0"/>
                <w:sz w:val="15"/>
              </w:rPr>
              <w:t>portfolio review and executive visibility</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Platform product</w:t>
            </w:r>
          </w:p>
        </w:tc>
        <w:tc>
          <w:tcPr>
            <w:tcW w:type="dxa" w:w="2160"/>
            <w:vAlign w:val="top"/>
            <w:tcMar>
              <w:top w:w="80" w:type="dxa"/>
              <w:start w:w="80" w:type="dxa"/>
              <w:bottom w:w="80" w:type="dxa"/>
              <w:end w:w="80" w:type="dxa"/>
            </w:tcMar>
            <w:shd w:fill="F8F9FA"/>
          </w:tcPr>
          <w:p>
            <w:pPr>
              <w:spacing w:after="0"/>
            </w:pPr>
            <w:r/>
            <w:r>
              <w:rPr>
                <w:rFonts w:ascii="Aptos" w:hAnsi="Aptos"/>
                <w:b w:val="0"/>
                <w:sz w:val="15"/>
              </w:rPr>
              <w:t>Platform owner</w:t>
            </w:r>
          </w:p>
        </w:tc>
        <w:tc>
          <w:tcPr>
            <w:tcW w:type="dxa" w:w="2880"/>
            <w:vAlign w:val="top"/>
            <w:tcMar>
              <w:top w:w="80" w:type="dxa"/>
              <w:start w:w="80" w:type="dxa"/>
              <w:bottom w:w="80" w:type="dxa"/>
              <w:end w:w="80" w:type="dxa"/>
            </w:tcMar>
            <w:shd w:fill="F8F9FA"/>
          </w:tcPr>
          <w:p>
            <w:pPr>
              <w:spacing w:after="0"/>
            </w:pPr>
            <w:r/>
            <w:r>
              <w:rPr>
                <w:rFonts w:ascii="Aptos" w:hAnsi="Aptos"/>
                <w:b w:val="0"/>
                <w:sz w:val="15"/>
              </w:rPr>
              <w:t>50/80/100/120 percent</w:t>
            </w:r>
          </w:p>
        </w:tc>
        <w:tc>
          <w:tcPr>
            <w:tcW w:type="dxa" w:w="3744"/>
            <w:vAlign w:val="top"/>
            <w:tcMar>
              <w:top w:w="80" w:type="dxa"/>
              <w:start w:w="80" w:type="dxa"/>
              <w:bottom w:w="80" w:type="dxa"/>
              <w:end w:w="80" w:type="dxa"/>
            </w:tcMar>
            <w:shd w:fill="F8F9FA"/>
          </w:tcPr>
          <w:p>
            <w:pPr>
              <w:spacing w:after="0"/>
            </w:pPr>
            <w:r/>
            <w:r>
              <w:rPr>
                <w:rFonts w:ascii="Aptos" w:hAnsi="Aptos"/>
                <w:b w:val="0"/>
                <w:sz w:val="15"/>
              </w:rPr>
              <w:t>owner acknowledgement and mitigation plan</w:t>
            </w:r>
          </w:p>
        </w:tc>
      </w:tr>
      <w:tr>
        <w:tc>
          <w:tcPr>
            <w:tcW w:type="dxa" w:w="1728"/>
            <w:vAlign w:val="top"/>
            <w:tcMar>
              <w:top w:w="80" w:type="dxa"/>
              <w:start w:w="80" w:type="dxa"/>
              <w:bottom w:w="80" w:type="dxa"/>
              <w:end w:w="80" w:type="dxa"/>
            </w:tcMar>
          </w:tcPr>
          <w:p>
            <w:pPr>
              <w:spacing w:after="0"/>
            </w:pPr>
            <w:r/>
            <w:r>
              <w:rPr>
                <w:rFonts w:ascii="Aptos" w:hAnsi="Aptos"/>
                <w:b w:val="0"/>
                <w:sz w:val="15"/>
              </w:rPr>
              <w:t>Domain</w:t>
            </w:r>
          </w:p>
        </w:tc>
        <w:tc>
          <w:tcPr>
            <w:tcW w:type="dxa" w:w="2160"/>
            <w:vAlign w:val="top"/>
            <w:tcMar>
              <w:top w:w="80" w:type="dxa"/>
              <w:start w:w="80" w:type="dxa"/>
              <w:bottom w:w="80" w:type="dxa"/>
              <w:end w:w="80" w:type="dxa"/>
            </w:tcMar>
          </w:tcPr>
          <w:p>
            <w:pPr>
              <w:spacing w:after="0"/>
            </w:pPr>
            <w:r/>
            <w:r>
              <w:rPr>
                <w:rFonts w:ascii="Aptos" w:hAnsi="Aptos"/>
                <w:b w:val="0"/>
                <w:sz w:val="15"/>
              </w:rPr>
              <w:t>Domain owner</w:t>
            </w:r>
          </w:p>
        </w:tc>
        <w:tc>
          <w:tcPr>
            <w:tcW w:type="dxa" w:w="2880"/>
            <w:vAlign w:val="top"/>
            <w:tcMar>
              <w:top w:w="80" w:type="dxa"/>
              <w:start w:w="80" w:type="dxa"/>
              <w:bottom w:w="80" w:type="dxa"/>
              <w:end w:w="80" w:type="dxa"/>
            </w:tcMar>
          </w:tcPr>
          <w:p>
            <w:pPr>
              <w:spacing w:after="0"/>
            </w:pPr>
            <w:r/>
            <w:r>
              <w:rPr>
                <w:rFonts w:ascii="Aptos" w:hAnsi="Aptos"/>
                <w:b w:val="0"/>
                <w:sz w:val="15"/>
              </w:rPr>
              <w:t>forecast and actual thresholds</w:t>
            </w:r>
          </w:p>
        </w:tc>
        <w:tc>
          <w:tcPr>
            <w:tcW w:type="dxa" w:w="3744"/>
            <w:vAlign w:val="top"/>
            <w:tcMar>
              <w:top w:w="80" w:type="dxa"/>
              <w:start w:w="80" w:type="dxa"/>
              <w:bottom w:w="80" w:type="dxa"/>
              <w:end w:w="80" w:type="dxa"/>
            </w:tcMar>
          </w:tcPr>
          <w:p>
            <w:pPr>
              <w:spacing w:after="0"/>
            </w:pPr>
            <w:r/>
            <w:r>
              <w:rPr>
                <w:rFonts w:ascii="Aptos" w:hAnsi="Aptos"/>
                <w:b w:val="0"/>
                <w:sz w:val="15"/>
              </w:rPr>
              <w:t>demand review and optimization backlog</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Data/AI product</w:t>
            </w:r>
          </w:p>
        </w:tc>
        <w:tc>
          <w:tcPr>
            <w:tcW w:type="dxa" w:w="2160"/>
            <w:vAlign w:val="top"/>
            <w:tcMar>
              <w:top w:w="80" w:type="dxa"/>
              <w:start w:w="80" w:type="dxa"/>
              <w:bottom w:w="80" w:type="dxa"/>
              <w:end w:w="80" w:type="dxa"/>
            </w:tcMar>
            <w:shd w:fill="F8F9FA"/>
          </w:tcPr>
          <w:p>
            <w:pPr>
              <w:spacing w:after="0"/>
            </w:pPr>
            <w:r/>
            <w:r>
              <w:rPr>
                <w:rFonts w:ascii="Aptos" w:hAnsi="Aptos"/>
                <w:b w:val="0"/>
                <w:sz w:val="15"/>
              </w:rPr>
              <w:t>Product owner</w:t>
            </w:r>
          </w:p>
        </w:tc>
        <w:tc>
          <w:tcPr>
            <w:tcW w:type="dxa" w:w="2880"/>
            <w:vAlign w:val="top"/>
            <w:tcMar>
              <w:top w:w="80" w:type="dxa"/>
              <w:start w:w="80" w:type="dxa"/>
              <w:bottom w:w="80" w:type="dxa"/>
              <w:end w:w="80" w:type="dxa"/>
            </w:tcMar>
            <w:shd w:fill="F8F9FA"/>
          </w:tcPr>
          <w:p>
            <w:pPr>
              <w:spacing w:after="0"/>
            </w:pPr>
            <w:r/>
            <w:r>
              <w:rPr>
                <w:rFonts w:ascii="Aptos" w:hAnsi="Aptos"/>
                <w:b w:val="0"/>
                <w:sz w:val="15"/>
              </w:rPr>
              <w:t>cost and unit-cost thresholds</w:t>
            </w:r>
          </w:p>
        </w:tc>
        <w:tc>
          <w:tcPr>
            <w:tcW w:type="dxa" w:w="3744"/>
            <w:vAlign w:val="top"/>
            <w:tcMar>
              <w:top w:w="80" w:type="dxa"/>
              <w:start w:w="80" w:type="dxa"/>
              <w:bottom w:w="80" w:type="dxa"/>
              <w:end w:w="80" w:type="dxa"/>
            </w:tcMar>
            <w:shd w:fill="F8F9FA"/>
          </w:tcPr>
          <w:p>
            <w:pPr>
              <w:spacing w:after="0"/>
            </w:pPr>
            <w:r/>
            <w:r>
              <w:rPr>
                <w:rFonts w:ascii="Aptos" w:hAnsi="Aptos"/>
                <w:b w:val="0"/>
                <w:sz w:val="15"/>
              </w:rPr>
              <w:t>quality-adjusted action</w:t>
            </w:r>
          </w:p>
        </w:tc>
      </w:tr>
      <w:tr>
        <w:tc>
          <w:tcPr>
            <w:tcW w:type="dxa" w:w="1728"/>
            <w:vAlign w:val="top"/>
            <w:tcMar>
              <w:top w:w="80" w:type="dxa"/>
              <w:start w:w="80" w:type="dxa"/>
              <w:bottom w:w="80" w:type="dxa"/>
              <w:end w:w="80" w:type="dxa"/>
            </w:tcMar>
          </w:tcPr>
          <w:p>
            <w:pPr>
              <w:spacing w:after="0"/>
            </w:pPr>
            <w:r/>
            <w:r>
              <w:rPr>
                <w:rFonts w:ascii="Aptos" w:hAnsi="Aptos"/>
                <w:b w:val="0"/>
                <w:sz w:val="15"/>
              </w:rPr>
              <w:t>Sandbox/nonproduction</w:t>
            </w:r>
          </w:p>
        </w:tc>
        <w:tc>
          <w:tcPr>
            <w:tcW w:type="dxa" w:w="2160"/>
            <w:vAlign w:val="top"/>
            <w:tcMar>
              <w:top w:w="80" w:type="dxa"/>
              <w:start w:w="80" w:type="dxa"/>
              <w:bottom w:w="80" w:type="dxa"/>
              <w:end w:w="80" w:type="dxa"/>
            </w:tcMar>
          </w:tcPr>
          <w:p>
            <w:pPr>
              <w:spacing w:after="0"/>
            </w:pPr>
            <w:r/>
            <w:r>
              <w:rPr>
                <w:rFonts w:ascii="Aptos" w:hAnsi="Aptos"/>
                <w:b w:val="0"/>
                <w:sz w:val="15"/>
              </w:rPr>
              <w:t>Engineering manager</w:t>
            </w:r>
          </w:p>
        </w:tc>
        <w:tc>
          <w:tcPr>
            <w:tcW w:type="dxa" w:w="2880"/>
            <w:vAlign w:val="top"/>
            <w:tcMar>
              <w:top w:w="80" w:type="dxa"/>
              <w:start w:w="80" w:type="dxa"/>
              <w:bottom w:w="80" w:type="dxa"/>
              <w:end w:w="80" w:type="dxa"/>
            </w:tcMar>
          </w:tcPr>
          <w:p>
            <w:pPr>
              <w:spacing w:after="0"/>
            </w:pPr>
            <w:r/>
            <w:r>
              <w:rPr>
                <w:rFonts w:ascii="Aptos" w:hAnsi="Aptos"/>
                <w:b w:val="0"/>
                <w:sz w:val="15"/>
              </w:rPr>
              <w:t>lower absolute and rapid-growth thresholds</w:t>
            </w:r>
          </w:p>
        </w:tc>
        <w:tc>
          <w:tcPr>
            <w:tcW w:type="dxa" w:w="3744"/>
            <w:vAlign w:val="top"/>
            <w:tcMar>
              <w:top w:w="80" w:type="dxa"/>
              <w:start w:w="80" w:type="dxa"/>
              <w:bottom w:w="80" w:type="dxa"/>
              <w:end w:w="80" w:type="dxa"/>
            </w:tcMar>
          </w:tcPr>
          <w:p>
            <w:pPr>
              <w:spacing w:after="0"/>
            </w:pPr>
            <w:r/>
            <w:r>
              <w:rPr>
                <w:rFonts w:ascii="Aptos" w:hAnsi="Aptos"/>
                <w:b w:val="0"/>
                <w:sz w:val="15"/>
              </w:rPr>
              <w:t>time-bound cleanup or exception</w:t>
            </w:r>
          </w:p>
        </w:tc>
      </w:tr>
    </w:tbl>
    <w:p>
      <w:pPr>
        <w:pStyle w:val="Heading2"/>
      </w:pPr>
      <w:r>
        <w:t>10.1 Programmatic notification pattern</w:t>
      </w:r>
    </w:p>
    <w:p>
      <w:pPr>
        <w:pStyle w:val="ListBullet"/>
      </w:pPr>
      <w:r>
        <w:t>Budget and anomaly events are published to a controlled Pub/Sub topic.</w:t>
      </w:r>
    </w:p>
    <w:p>
      <w:pPr>
        <w:pStyle w:val="ListBullet"/>
      </w:pPr>
      <w:r>
        <w:t>A Cloud Run or function-based handler validates schema, deduplicates events and creates or updates a FinOps ticket.</w:t>
      </w:r>
    </w:p>
    <w:p>
      <w:pPr>
        <w:pStyle w:val="ListBullet"/>
      </w:pPr>
      <w:r>
        <w:t>Routing uses billing account, project, domain, product, owner and service tier.</w:t>
      </w:r>
    </w:p>
    <w:p>
      <w:pPr>
        <w:pStyle w:val="ListBullet"/>
      </w:pPr>
      <w:r>
        <w:t>Automated actions are non-destructive by default: notify, throttle a sandbox queue, pause a noncritical schedule or require approval.</w:t>
      </w:r>
    </w:p>
    <w:p>
      <w:pPr>
        <w:pStyle w:val="ListBullet"/>
      </w:pPr>
      <w:r>
        <w:t>Production shutdown, capacity reduction or retention deletion requires service-owner and SRE approval.</w:t>
      </w:r>
    </w:p>
    <w:p>
      <w:pPr>
        <w:pStyle w:val="Heading1"/>
      </w:pPr>
      <w:r>
        <w:t>11. Forecasting and Cost Anomaly Detection</w:t>
      </w:r>
    </w:p>
    <w:p>
      <w:r>
        <w:t>Forecasting combines provider cost history with workload demand drivers, planned releases, migrations, seasonality and commercial events. Forecasts are generated at billing account, platform, domain and product levels. Statistical models do not replace owner commentary for known changes.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vAlign w:val="top"/>
            <w:tcMar>
              <w:top w:w="80" w:type="dxa"/>
              <w:start w:w="80" w:type="dxa"/>
              <w:bottom w:w="80" w:type="dxa"/>
              <w:end w:w="80" w:type="dxa"/>
            </w:tcMar>
            <w:shd w:fill="1A73E8"/>
          </w:tcPr>
          <w:p>
            <w:pPr>
              <w:spacing w:after="0"/>
            </w:pPr>
            <w:r/>
            <w:r>
              <w:rPr>
                <w:rFonts w:ascii="Aptos" w:hAnsi="Aptos"/>
                <w:b/>
                <w:color w:val="FFFFFF"/>
                <w:sz w:val="15"/>
              </w:rPr>
              <w:t>Method</w:t>
            </w:r>
          </w:p>
        </w:tc>
        <w:tc>
          <w:tcPr>
            <w:tcW w:type="dxa" w:w="2448"/>
            <w:vAlign w:val="top"/>
            <w:tcMar>
              <w:top w:w="80" w:type="dxa"/>
              <w:start w:w="80" w:type="dxa"/>
              <w:bottom w:w="80" w:type="dxa"/>
              <w:end w:w="80" w:type="dxa"/>
            </w:tcMar>
            <w:shd w:fill="1A73E8"/>
          </w:tcPr>
          <w:p>
            <w:pPr>
              <w:spacing w:after="0"/>
            </w:pPr>
            <w:r/>
            <w:r>
              <w:rPr>
                <w:rFonts w:ascii="Aptos" w:hAnsi="Aptos"/>
                <w:b/>
                <w:color w:val="FFFFFF"/>
                <w:sz w:val="15"/>
              </w:rPr>
              <w:t>Use</w:t>
            </w:r>
          </w:p>
        </w:tc>
        <w:tc>
          <w:tcPr>
            <w:tcW w:type="dxa" w:w="3456"/>
            <w:vAlign w:val="top"/>
            <w:tcMar>
              <w:top w:w="80" w:type="dxa"/>
              <w:start w:w="80" w:type="dxa"/>
              <w:bottom w:w="80" w:type="dxa"/>
              <w:end w:w="80" w:type="dxa"/>
            </w:tcMar>
            <w:shd w:fill="1A73E8"/>
          </w:tcPr>
          <w:p>
            <w:pPr>
              <w:spacing w:after="0"/>
            </w:pPr>
            <w:r/>
            <w:r>
              <w:rPr>
                <w:rFonts w:ascii="Aptos" w:hAnsi="Aptos"/>
                <w:b/>
                <w:color w:val="FFFFFF"/>
                <w:sz w:val="15"/>
              </w:rPr>
              <w:t>Minimum inputs</w:t>
            </w:r>
          </w:p>
        </w:tc>
        <w:tc>
          <w:tcPr>
            <w:tcW w:type="dxa" w:w="2592"/>
            <w:vAlign w:val="top"/>
            <w:tcMar>
              <w:top w:w="80" w:type="dxa"/>
              <w:start w:w="80" w:type="dxa"/>
              <w:bottom w:w="80" w:type="dxa"/>
              <w:end w:w="80" w:type="dxa"/>
            </w:tcMar>
            <w:shd w:fill="1A73E8"/>
          </w:tcPr>
          <w:p>
            <w:pPr>
              <w:spacing w:after="0"/>
            </w:pPr>
            <w:r/>
            <w:r>
              <w:rPr>
                <w:rFonts w:ascii="Aptos" w:hAnsi="Aptos"/>
                <w:b/>
                <w:color w:val="FFFFFF"/>
                <w:sz w:val="15"/>
              </w:rPr>
              <w:t>Limitation</w:t>
            </w:r>
          </w:p>
        </w:tc>
      </w:tr>
      <w:tr>
        <w:tc>
          <w:tcPr>
            <w:tcW w:type="dxa" w:w="1584"/>
            <w:vAlign w:val="top"/>
            <w:tcMar>
              <w:top w:w="80" w:type="dxa"/>
              <w:start w:w="80" w:type="dxa"/>
              <w:bottom w:w="80" w:type="dxa"/>
              <w:end w:w="80" w:type="dxa"/>
            </w:tcMar>
          </w:tcPr>
          <w:p>
            <w:pPr>
              <w:spacing w:after="0"/>
            </w:pPr>
            <w:r/>
            <w:r>
              <w:rPr>
                <w:rFonts w:ascii="Aptos" w:hAnsi="Aptos"/>
                <w:b w:val="0"/>
                <w:sz w:val="15"/>
              </w:rPr>
              <w:t>Run-rate</w:t>
            </w:r>
          </w:p>
        </w:tc>
        <w:tc>
          <w:tcPr>
            <w:tcW w:type="dxa" w:w="2448"/>
            <w:vAlign w:val="top"/>
            <w:tcMar>
              <w:top w:w="80" w:type="dxa"/>
              <w:start w:w="80" w:type="dxa"/>
              <w:bottom w:w="80" w:type="dxa"/>
              <w:end w:w="80" w:type="dxa"/>
            </w:tcMar>
          </w:tcPr>
          <w:p>
            <w:pPr>
              <w:spacing w:after="0"/>
            </w:pPr>
            <w:r/>
            <w:r>
              <w:rPr>
                <w:rFonts w:ascii="Aptos" w:hAnsi="Aptos"/>
                <w:b w:val="0"/>
                <w:sz w:val="15"/>
              </w:rPr>
              <w:t>stable short-term spend</w:t>
            </w:r>
          </w:p>
        </w:tc>
        <w:tc>
          <w:tcPr>
            <w:tcW w:type="dxa" w:w="3456"/>
            <w:vAlign w:val="top"/>
            <w:tcMar>
              <w:top w:w="80" w:type="dxa"/>
              <w:start w:w="80" w:type="dxa"/>
              <w:bottom w:w="80" w:type="dxa"/>
              <w:end w:w="80" w:type="dxa"/>
            </w:tcMar>
          </w:tcPr>
          <w:p>
            <w:pPr>
              <w:spacing w:after="0"/>
            </w:pPr>
            <w:r/>
            <w:r>
              <w:rPr>
                <w:rFonts w:ascii="Aptos" w:hAnsi="Aptos"/>
                <w:b w:val="0"/>
                <w:sz w:val="15"/>
              </w:rPr>
              <w:t>month-to-date cost and elapsed days</w:t>
            </w:r>
          </w:p>
        </w:tc>
        <w:tc>
          <w:tcPr>
            <w:tcW w:type="dxa" w:w="2592"/>
            <w:vAlign w:val="top"/>
            <w:tcMar>
              <w:top w:w="80" w:type="dxa"/>
              <w:start w:w="80" w:type="dxa"/>
              <w:bottom w:w="80" w:type="dxa"/>
              <w:end w:w="80" w:type="dxa"/>
            </w:tcMar>
          </w:tcPr>
          <w:p>
            <w:pPr>
              <w:spacing w:after="0"/>
            </w:pPr>
            <w:r/>
            <w:r>
              <w:rPr>
                <w:rFonts w:ascii="Aptos" w:hAnsi="Aptos"/>
                <w:b w:val="0"/>
                <w:sz w:val="15"/>
              </w:rPr>
              <w:t>weak for seasonality and launches</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Seasonal time series</w:t>
            </w:r>
          </w:p>
        </w:tc>
        <w:tc>
          <w:tcPr>
            <w:tcW w:type="dxa" w:w="2448"/>
            <w:vAlign w:val="top"/>
            <w:tcMar>
              <w:top w:w="80" w:type="dxa"/>
              <w:start w:w="80" w:type="dxa"/>
              <w:bottom w:w="80" w:type="dxa"/>
              <w:end w:w="80" w:type="dxa"/>
            </w:tcMar>
            <w:shd w:fill="F8F9FA"/>
          </w:tcPr>
          <w:p>
            <w:pPr>
              <w:spacing w:after="0"/>
            </w:pPr>
            <w:r/>
            <w:r>
              <w:rPr>
                <w:rFonts w:ascii="Aptos" w:hAnsi="Aptos"/>
                <w:b w:val="0"/>
                <w:sz w:val="15"/>
              </w:rPr>
              <w:t>recurring business patterns</w:t>
            </w:r>
          </w:p>
        </w:tc>
        <w:tc>
          <w:tcPr>
            <w:tcW w:type="dxa" w:w="3456"/>
            <w:vAlign w:val="top"/>
            <w:tcMar>
              <w:top w:w="80" w:type="dxa"/>
              <w:start w:w="80" w:type="dxa"/>
              <w:bottom w:w="80" w:type="dxa"/>
              <w:end w:w="80" w:type="dxa"/>
            </w:tcMar>
            <w:shd w:fill="F8F9FA"/>
          </w:tcPr>
          <w:p>
            <w:pPr>
              <w:spacing w:after="0"/>
            </w:pPr>
            <w:r/>
            <w:r>
              <w:rPr>
                <w:rFonts w:ascii="Aptos" w:hAnsi="Aptos"/>
                <w:b w:val="0"/>
                <w:sz w:val="15"/>
              </w:rPr>
              <w:t>12+ months where available</w:t>
            </w:r>
          </w:p>
        </w:tc>
        <w:tc>
          <w:tcPr>
            <w:tcW w:type="dxa" w:w="2592"/>
            <w:vAlign w:val="top"/>
            <w:tcMar>
              <w:top w:w="80" w:type="dxa"/>
              <w:start w:w="80" w:type="dxa"/>
              <w:bottom w:w="80" w:type="dxa"/>
              <w:end w:w="80" w:type="dxa"/>
            </w:tcMar>
            <w:shd w:fill="F8F9FA"/>
          </w:tcPr>
          <w:p>
            <w:pPr>
              <w:spacing w:after="0"/>
            </w:pPr>
            <w:r/>
            <w:r>
              <w:rPr>
                <w:rFonts w:ascii="Aptos" w:hAnsi="Aptos"/>
                <w:b w:val="0"/>
                <w:sz w:val="15"/>
              </w:rPr>
              <w:t>history may not reflect architecture change</w:t>
            </w:r>
          </w:p>
        </w:tc>
      </w:tr>
      <w:tr>
        <w:tc>
          <w:tcPr>
            <w:tcW w:type="dxa" w:w="1584"/>
            <w:vAlign w:val="top"/>
            <w:tcMar>
              <w:top w:w="80" w:type="dxa"/>
              <w:start w:w="80" w:type="dxa"/>
              <w:bottom w:w="80" w:type="dxa"/>
              <w:end w:w="80" w:type="dxa"/>
            </w:tcMar>
          </w:tcPr>
          <w:p>
            <w:pPr>
              <w:spacing w:after="0"/>
            </w:pPr>
            <w:r/>
            <w:r>
              <w:rPr>
                <w:rFonts w:ascii="Aptos" w:hAnsi="Aptos"/>
                <w:b w:val="0"/>
                <w:sz w:val="15"/>
              </w:rPr>
              <w:t>Driver-based</w:t>
            </w:r>
          </w:p>
        </w:tc>
        <w:tc>
          <w:tcPr>
            <w:tcW w:type="dxa" w:w="2448"/>
            <w:vAlign w:val="top"/>
            <w:tcMar>
              <w:top w:w="80" w:type="dxa"/>
              <w:start w:w="80" w:type="dxa"/>
              <w:bottom w:w="80" w:type="dxa"/>
              <w:end w:w="80" w:type="dxa"/>
            </w:tcMar>
          </w:tcPr>
          <w:p>
            <w:pPr>
              <w:spacing w:after="0"/>
            </w:pPr>
            <w:r/>
            <w:r>
              <w:rPr>
                <w:rFonts w:ascii="Aptos" w:hAnsi="Aptos"/>
                <w:b w:val="0"/>
                <w:sz w:val="15"/>
              </w:rPr>
              <w:t>data growth, events, queries, users or tokens</w:t>
            </w:r>
          </w:p>
        </w:tc>
        <w:tc>
          <w:tcPr>
            <w:tcW w:type="dxa" w:w="3456"/>
            <w:vAlign w:val="top"/>
            <w:tcMar>
              <w:top w:w="80" w:type="dxa"/>
              <w:start w:w="80" w:type="dxa"/>
              <w:bottom w:w="80" w:type="dxa"/>
              <w:end w:w="80" w:type="dxa"/>
            </w:tcMar>
          </w:tcPr>
          <w:p>
            <w:pPr>
              <w:spacing w:after="0"/>
            </w:pPr>
            <w:r/>
            <w:r>
              <w:rPr>
                <w:rFonts w:ascii="Aptos" w:hAnsi="Aptos"/>
                <w:b w:val="0"/>
                <w:sz w:val="15"/>
              </w:rPr>
              <w:t>volume forecast and efficiency assumptions</w:t>
            </w:r>
          </w:p>
        </w:tc>
        <w:tc>
          <w:tcPr>
            <w:tcW w:type="dxa" w:w="2592"/>
            <w:vAlign w:val="top"/>
            <w:tcMar>
              <w:top w:w="80" w:type="dxa"/>
              <w:start w:w="80" w:type="dxa"/>
              <w:bottom w:w="80" w:type="dxa"/>
              <w:end w:w="80" w:type="dxa"/>
            </w:tcMar>
          </w:tcPr>
          <w:p>
            <w:pPr>
              <w:spacing w:after="0"/>
            </w:pPr>
            <w:r/>
            <w:r>
              <w:rPr>
                <w:rFonts w:ascii="Aptos" w:hAnsi="Aptos"/>
                <w:b w:val="0"/>
                <w:sz w:val="15"/>
              </w:rPr>
              <w:t>depends on driver quality</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Scenario</w:t>
            </w:r>
          </w:p>
        </w:tc>
        <w:tc>
          <w:tcPr>
            <w:tcW w:type="dxa" w:w="2448"/>
            <w:vAlign w:val="top"/>
            <w:tcMar>
              <w:top w:w="80" w:type="dxa"/>
              <w:start w:w="80" w:type="dxa"/>
              <w:bottom w:w="80" w:type="dxa"/>
              <w:end w:w="80" w:type="dxa"/>
            </w:tcMar>
            <w:shd w:fill="F8F9FA"/>
          </w:tcPr>
          <w:p>
            <w:pPr>
              <w:spacing w:after="0"/>
            </w:pPr>
            <w:r/>
            <w:r>
              <w:rPr>
                <w:rFonts w:ascii="Aptos" w:hAnsi="Aptos"/>
                <w:b w:val="0"/>
                <w:sz w:val="15"/>
              </w:rPr>
              <w:t>edition, commitment, migration or model choice</w:t>
            </w:r>
          </w:p>
        </w:tc>
        <w:tc>
          <w:tcPr>
            <w:tcW w:type="dxa" w:w="3456"/>
            <w:vAlign w:val="top"/>
            <w:tcMar>
              <w:top w:w="80" w:type="dxa"/>
              <w:start w:w="80" w:type="dxa"/>
              <w:bottom w:w="80" w:type="dxa"/>
              <w:end w:w="80" w:type="dxa"/>
            </w:tcMar>
            <w:shd w:fill="F8F9FA"/>
          </w:tcPr>
          <w:p>
            <w:pPr>
              <w:spacing w:after="0"/>
            </w:pPr>
            <w:r/>
            <w:r>
              <w:rPr>
                <w:rFonts w:ascii="Aptos" w:hAnsi="Aptos"/>
                <w:b w:val="0"/>
                <w:sz w:val="15"/>
              </w:rPr>
              <w:t>current usage and multiple configurations</w:t>
            </w:r>
          </w:p>
        </w:tc>
        <w:tc>
          <w:tcPr>
            <w:tcW w:type="dxa" w:w="2592"/>
            <w:vAlign w:val="top"/>
            <w:tcMar>
              <w:top w:w="80" w:type="dxa"/>
              <w:start w:w="80" w:type="dxa"/>
              <w:bottom w:w="80" w:type="dxa"/>
              <w:end w:w="80" w:type="dxa"/>
            </w:tcMar>
            <w:shd w:fill="F8F9FA"/>
          </w:tcPr>
          <w:p>
            <w:pPr>
              <w:spacing w:after="0"/>
            </w:pPr>
            <w:r/>
            <w:r>
              <w:rPr>
                <w:rFonts w:ascii="Aptos" w:hAnsi="Aptos"/>
                <w:b w:val="0"/>
                <w:sz w:val="15"/>
              </w:rPr>
              <w:t>requires current pricing/contract inputs</w:t>
            </w:r>
          </w:p>
        </w:tc>
      </w:tr>
      <w:tr>
        <w:tc>
          <w:tcPr>
            <w:tcW w:type="dxa" w:w="1584"/>
            <w:vAlign w:val="top"/>
            <w:tcMar>
              <w:top w:w="80" w:type="dxa"/>
              <w:start w:w="80" w:type="dxa"/>
              <w:bottom w:w="80" w:type="dxa"/>
              <w:end w:w="80" w:type="dxa"/>
            </w:tcMar>
          </w:tcPr>
          <w:p>
            <w:pPr>
              <w:spacing w:after="0"/>
            </w:pPr>
            <w:r/>
            <w:r>
              <w:rPr>
                <w:rFonts w:ascii="Aptos" w:hAnsi="Aptos"/>
                <w:b w:val="0"/>
                <w:sz w:val="15"/>
              </w:rPr>
              <w:t>Owner-adjusted composite</w:t>
            </w:r>
          </w:p>
        </w:tc>
        <w:tc>
          <w:tcPr>
            <w:tcW w:type="dxa" w:w="2448"/>
            <w:vAlign w:val="top"/>
            <w:tcMar>
              <w:top w:w="80" w:type="dxa"/>
              <w:start w:w="80" w:type="dxa"/>
              <w:bottom w:w="80" w:type="dxa"/>
              <w:end w:w="80" w:type="dxa"/>
            </w:tcMar>
          </w:tcPr>
          <w:p>
            <w:pPr>
              <w:spacing w:after="0"/>
            </w:pPr>
            <w:r/>
            <w:r>
              <w:rPr>
                <w:rFonts w:ascii="Aptos" w:hAnsi="Aptos"/>
                <w:b w:val="0"/>
                <w:sz w:val="15"/>
              </w:rPr>
              <w:t>formal monthly forecast</w:t>
            </w:r>
          </w:p>
        </w:tc>
        <w:tc>
          <w:tcPr>
            <w:tcW w:type="dxa" w:w="3456"/>
            <w:vAlign w:val="top"/>
            <w:tcMar>
              <w:top w:w="80" w:type="dxa"/>
              <w:start w:w="80" w:type="dxa"/>
              <w:bottom w:w="80" w:type="dxa"/>
              <w:end w:w="80" w:type="dxa"/>
            </w:tcMar>
          </w:tcPr>
          <w:p>
            <w:pPr>
              <w:spacing w:after="0"/>
            </w:pPr>
            <w:r/>
            <w:r>
              <w:rPr>
                <w:rFonts w:ascii="Aptos" w:hAnsi="Aptos"/>
                <w:b w:val="0"/>
                <w:sz w:val="15"/>
              </w:rPr>
              <w:t>statistical baseline plus known changes</w:t>
            </w:r>
          </w:p>
        </w:tc>
        <w:tc>
          <w:tcPr>
            <w:tcW w:type="dxa" w:w="2592"/>
            <w:vAlign w:val="top"/>
            <w:tcMar>
              <w:top w:w="80" w:type="dxa"/>
              <w:start w:w="80" w:type="dxa"/>
              <w:bottom w:w="80" w:type="dxa"/>
              <w:end w:w="80" w:type="dxa"/>
            </w:tcMar>
          </w:tcPr>
          <w:p>
            <w:pPr>
              <w:spacing w:after="0"/>
            </w:pPr>
            <w:r/>
            <w:r>
              <w:rPr>
                <w:rFonts w:ascii="Aptos" w:hAnsi="Aptos"/>
                <w:b w:val="0"/>
                <w:sz w:val="15"/>
              </w:rPr>
              <w:t>requires disciplined owner review</w:t>
            </w:r>
          </w:p>
        </w:tc>
      </w:tr>
    </w:tbl>
    <w:p>
      <w:pPr>
        <w:pStyle w:val="Heading2"/>
      </w:pPr>
      <w:r>
        <w:t>11.1 Anomaly response</w:t>
      </w:r>
    </w:p>
    <w:p>
      <w:pPr>
        <w:pStyle w:val="ListBullet"/>
      </w:pPr>
      <w:r>
        <w:t>Cost anomaly detection identifies spend that deviates from historical expectations; billing data latency means detection is not an instantaneous quota system.</w:t>
      </w:r>
    </w:p>
    <w:p>
      <w:pPr>
        <w:pStyle w:val="ListBullet"/>
      </w:pPr>
      <w:r>
        <w:t>Triage first checks planned change, pricing/credit timing, export delay, region/SKU mix and true usage growth.</w:t>
      </w:r>
    </w:p>
    <w:p>
      <w:pPr>
        <w:pStyle w:val="ListBullet"/>
      </w:pPr>
      <w:r>
        <w:t>Confirmed anomalies are assigned severity based on financial magnitude, growth rate, service tier and security/operational context.</w:t>
      </w:r>
    </w:p>
    <w:p>
      <w:pPr>
        <w:pStyle w:val="ListBullet"/>
      </w:pPr>
      <w:r>
        <w:t>Every anomaly closes with one of: expected change, data issue, commercial issue, configuration defect, abuse/security issue, capacity event or unresolved with follow-up.</w:t>
      </w:r>
    </w:p>
    <w:p>
      <w:pPr>
        <w:pStyle w:val="ListBullet"/>
      </w:pPr>
      <w:r>
        <w:t>Repeat anomalies generate a preventive control, test or architecture change.</w:t>
      </w:r>
    </w:p>
    <w:p>
      <w:pPr>
        <w:pStyle w:val="Heading1"/>
      </w:pPr>
      <w:r>
        <w:t>12. Unit Economics</w:t>
      </w:r>
    </w:p>
    <w:p>
      <w:r>
        <w:t>Unit economics translate cloud consumption into business and product outcomes. A denominator is accepted only if it is measurable, resistant to manipulation, tied to value and accompanied by a quality or success condition.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Product type</w:t>
            </w:r>
          </w:p>
        </w:tc>
        <w:tc>
          <w:tcPr>
            <w:tcW w:type="dxa" w:w="2304"/>
            <w:vAlign w:val="top"/>
            <w:tcMar>
              <w:top w:w="80" w:type="dxa"/>
              <w:start w:w="80" w:type="dxa"/>
              <w:bottom w:w="80" w:type="dxa"/>
              <w:end w:w="80" w:type="dxa"/>
            </w:tcMar>
            <w:shd w:fill="1A73E8"/>
          </w:tcPr>
          <w:p>
            <w:pPr>
              <w:spacing w:after="0"/>
            </w:pPr>
            <w:r/>
            <w:r>
              <w:rPr>
                <w:rFonts w:ascii="Aptos" w:hAnsi="Aptos"/>
                <w:b/>
                <w:color w:val="FFFFFF"/>
                <w:sz w:val="15"/>
              </w:rPr>
              <w:t>Recommended unit</w:t>
            </w:r>
          </w:p>
        </w:tc>
        <w:tc>
          <w:tcPr>
            <w:tcW w:type="dxa" w:w="3168"/>
            <w:vAlign w:val="top"/>
            <w:tcMar>
              <w:top w:w="80" w:type="dxa"/>
              <w:start w:w="80" w:type="dxa"/>
              <w:bottom w:w="80" w:type="dxa"/>
              <w:end w:w="80" w:type="dxa"/>
            </w:tcMar>
            <w:shd w:fill="1A73E8"/>
          </w:tcPr>
          <w:p>
            <w:pPr>
              <w:spacing w:after="0"/>
            </w:pPr>
            <w:r/>
            <w:r>
              <w:rPr>
                <w:rFonts w:ascii="Aptos" w:hAnsi="Aptos"/>
                <w:b/>
                <w:color w:val="FFFFFF"/>
                <w:sz w:val="15"/>
              </w:rPr>
              <w:t>Quality gate</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Example cost expression</w:t>
            </w:r>
          </w:p>
        </w:tc>
      </w:tr>
      <w:tr>
        <w:tc>
          <w:tcPr>
            <w:tcW w:type="dxa" w:w="1728"/>
            <w:vAlign w:val="top"/>
            <w:tcMar>
              <w:top w:w="80" w:type="dxa"/>
              <w:start w:w="80" w:type="dxa"/>
              <w:bottom w:w="80" w:type="dxa"/>
              <w:end w:w="80" w:type="dxa"/>
            </w:tcMar>
          </w:tcPr>
          <w:p>
            <w:pPr>
              <w:spacing w:after="0"/>
            </w:pPr>
            <w:r/>
            <w:r>
              <w:rPr>
                <w:rFonts w:ascii="Aptos" w:hAnsi="Aptos"/>
                <w:b w:val="0"/>
                <w:sz w:val="15"/>
              </w:rPr>
              <w:t>Batch data product</w:t>
            </w:r>
          </w:p>
        </w:tc>
        <w:tc>
          <w:tcPr>
            <w:tcW w:type="dxa" w:w="2304"/>
            <w:vAlign w:val="top"/>
            <w:tcMar>
              <w:top w:w="80" w:type="dxa"/>
              <w:start w:w="80" w:type="dxa"/>
              <w:bottom w:w="80" w:type="dxa"/>
              <w:end w:w="80" w:type="dxa"/>
            </w:tcMar>
          </w:tcPr>
          <w:p>
            <w:pPr>
              <w:spacing w:after="0"/>
            </w:pPr>
            <w:r/>
            <w:r>
              <w:rPr>
                <w:rFonts w:ascii="Aptos" w:hAnsi="Aptos"/>
                <w:b w:val="0"/>
                <w:sz w:val="15"/>
              </w:rPr>
              <w:t>successful governed refresh</w:t>
            </w:r>
          </w:p>
        </w:tc>
        <w:tc>
          <w:tcPr>
            <w:tcW w:type="dxa" w:w="3168"/>
            <w:vAlign w:val="top"/>
            <w:tcMar>
              <w:top w:w="80" w:type="dxa"/>
              <w:start w:w="80" w:type="dxa"/>
              <w:bottom w:w="80" w:type="dxa"/>
              <w:end w:w="80" w:type="dxa"/>
            </w:tcMar>
          </w:tcPr>
          <w:p>
            <w:pPr>
              <w:spacing w:after="0"/>
            </w:pPr>
            <w:r/>
            <w:r>
              <w:rPr>
                <w:rFonts w:ascii="Aptos" w:hAnsi="Aptos"/>
                <w:b w:val="0"/>
                <w:sz w:val="15"/>
              </w:rPr>
              <w:t>freshness and quality SLO passed</w:t>
            </w:r>
          </w:p>
        </w:tc>
        <w:tc>
          <w:tcPr>
            <w:tcW w:type="dxa" w:w="2880"/>
            <w:vAlign w:val="top"/>
            <w:tcMar>
              <w:top w:w="80" w:type="dxa"/>
              <w:start w:w="80" w:type="dxa"/>
              <w:bottom w:w="80" w:type="dxa"/>
              <w:end w:w="80" w:type="dxa"/>
            </w:tcMar>
          </w:tcPr>
          <w:p>
            <w:pPr>
              <w:spacing w:after="0"/>
            </w:pPr>
            <w:r/>
            <w:r>
              <w:rPr>
                <w:rFonts w:ascii="Aptos" w:hAnsi="Aptos"/>
                <w:b w:val="0"/>
                <w:sz w:val="15"/>
              </w:rPr>
              <w:t>allocated cost / successful refreshes</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Streaming product</w:t>
            </w:r>
          </w:p>
        </w:tc>
        <w:tc>
          <w:tcPr>
            <w:tcW w:type="dxa" w:w="2304"/>
            <w:vAlign w:val="top"/>
            <w:tcMar>
              <w:top w:w="80" w:type="dxa"/>
              <w:start w:w="80" w:type="dxa"/>
              <w:bottom w:w="80" w:type="dxa"/>
              <w:end w:w="80" w:type="dxa"/>
            </w:tcMar>
            <w:shd w:fill="F8F9FA"/>
          </w:tcPr>
          <w:p>
            <w:pPr>
              <w:spacing w:after="0"/>
            </w:pPr>
            <w:r/>
            <w:r>
              <w:rPr>
                <w:rFonts w:ascii="Aptos" w:hAnsi="Aptos"/>
                <w:b w:val="0"/>
                <w:sz w:val="15"/>
              </w:rPr>
              <w:t>million accepted events</w:t>
            </w:r>
          </w:p>
        </w:tc>
        <w:tc>
          <w:tcPr>
            <w:tcW w:type="dxa" w:w="3168"/>
            <w:vAlign w:val="top"/>
            <w:tcMar>
              <w:top w:w="80" w:type="dxa"/>
              <w:start w:w="80" w:type="dxa"/>
              <w:bottom w:w="80" w:type="dxa"/>
              <w:end w:w="80" w:type="dxa"/>
            </w:tcMar>
            <w:shd w:fill="F8F9FA"/>
          </w:tcPr>
          <w:p>
            <w:pPr>
              <w:spacing w:after="0"/>
            </w:pPr>
            <w:r/>
            <w:r>
              <w:rPr>
                <w:rFonts w:ascii="Aptos" w:hAnsi="Aptos"/>
                <w:b w:val="0"/>
                <w:sz w:val="15"/>
              </w:rPr>
              <w:t>latency and data-quality SLO</w:t>
            </w:r>
          </w:p>
        </w:tc>
        <w:tc>
          <w:tcPr>
            <w:tcW w:type="dxa" w:w="2880"/>
            <w:vAlign w:val="top"/>
            <w:tcMar>
              <w:top w:w="80" w:type="dxa"/>
              <w:start w:w="80" w:type="dxa"/>
              <w:bottom w:w="80" w:type="dxa"/>
              <w:end w:w="80" w:type="dxa"/>
            </w:tcMar>
            <w:shd w:fill="F8F9FA"/>
          </w:tcPr>
          <w:p>
            <w:pPr>
              <w:spacing w:after="0"/>
            </w:pPr>
            <w:r/>
            <w:r>
              <w:rPr>
                <w:rFonts w:ascii="Aptos" w:hAnsi="Aptos"/>
                <w:b w:val="0"/>
                <w:sz w:val="15"/>
              </w:rPr>
              <w:t>allocated cost / accepted million events</w:t>
            </w:r>
          </w:p>
        </w:tc>
      </w:tr>
      <w:tr>
        <w:tc>
          <w:tcPr>
            <w:tcW w:type="dxa" w:w="1728"/>
            <w:vAlign w:val="top"/>
            <w:tcMar>
              <w:top w:w="80" w:type="dxa"/>
              <w:start w:w="80" w:type="dxa"/>
              <w:bottom w:w="80" w:type="dxa"/>
              <w:end w:w="80" w:type="dxa"/>
            </w:tcMar>
          </w:tcPr>
          <w:p>
            <w:pPr>
              <w:spacing w:after="0"/>
            </w:pPr>
            <w:r/>
            <w:r>
              <w:rPr>
                <w:rFonts w:ascii="Aptos" w:hAnsi="Aptos"/>
                <w:b w:val="0"/>
                <w:sz w:val="15"/>
              </w:rPr>
              <w:t>Analytics product</w:t>
            </w:r>
          </w:p>
        </w:tc>
        <w:tc>
          <w:tcPr>
            <w:tcW w:type="dxa" w:w="2304"/>
            <w:vAlign w:val="top"/>
            <w:tcMar>
              <w:top w:w="80" w:type="dxa"/>
              <w:start w:w="80" w:type="dxa"/>
              <w:bottom w:w="80" w:type="dxa"/>
              <w:end w:w="80" w:type="dxa"/>
            </w:tcMar>
          </w:tcPr>
          <w:p>
            <w:pPr>
              <w:spacing w:after="0"/>
            </w:pPr>
            <w:r/>
            <w:r>
              <w:rPr>
                <w:rFonts w:ascii="Aptos" w:hAnsi="Aptos"/>
                <w:b w:val="0"/>
                <w:sz w:val="15"/>
              </w:rPr>
              <w:t>active governed consumer or successful dashboard view</w:t>
            </w:r>
          </w:p>
        </w:tc>
        <w:tc>
          <w:tcPr>
            <w:tcW w:type="dxa" w:w="3168"/>
            <w:vAlign w:val="top"/>
            <w:tcMar>
              <w:top w:w="80" w:type="dxa"/>
              <w:start w:w="80" w:type="dxa"/>
              <w:bottom w:w="80" w:type="dxa"/>
              <w:end w:w="80" w:type="dxa"/>
            </w:tcMar>
          </w:tcPr>
          <w:p>
            <w:pPr>
              <w:spacing w:after="0"/>
            </w:pPr>
            <w:r/>
            <w:r>
              <w:rPr>
                <w:rFonts w:ascii="Aptos" w:hAnsi="Aptos"/>
                <w:b w:val="0"/>
                <w:sz w:val="15"/>
              </w:rPr>
              <w:t>content certification and availability</w:t>
            </w:r>
          </w:p>
        </w:tc>
        <w:tc>
          <w:tcPr>
            <w:tcW w:type="dxa" w:w="2880"/>
            <w:vAlign w:val="top"/>
            <w:tcMar>
              <w:top w:w="80" w:type="dxa"/>
              <w:start w:w="80" w:type="dxa"/>
              <w:bottom w:w="80" w:type="dxa"/>
              <w:end w:w="80" w:type="dxa"/>
            </w:tcMar>
          </w:tcPr>
          <w:p>
            <w:pPr>
              <w:spacing w:after="0"/>
            </w:pPr>
            <w:r/>
            <w:r>
              <w:rPr>
                <w:rFonts w:ascii="Aptos" w:hAnsi="Aptos"/>
                <w:b w:val="0"/>
                <w:sz w:val="15"/>
              </w:rPr>
              <w:t>allocated cost / active consumer</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ML prediction</w:t>
            </w:r>
          </w:p>
        </w:tc>
        <w:tc>
          <w:tcPr>
            <w:tcW w:type="dxa" w:w="2304"/>
            <w:vAlign w:val="top"/>
            <w:tcMar>
              <w:top w:w="80" w:type="dxa"/>
              <w:start w:w="80" w:type="dxa"/>
              <w:bottom w:w="80" w:type="dxa"/>
              <w:end w:w="80" w:type="dxa"/>
            </w:tcMar>
            <w:shd w:fill="F8F9FA"/>
          </w:tcPr>
          <w:p>
            <w:pPr>
              <w:spacing w:after="0"/>
            </w:pPr>
            <w:r/>
            <w:r>
              <w:rPr>
                <w:rFonts w:ascii="Aptos" w:hAnsi="Aptos"/>
                <w:b w:val="0"/>
                <w:sz w:val="15"/>
              </w:rPr>
              <w:t>accepted prediction or decision</w:t>
            </w:r>
          </w:p>
        </w:tc>
        <w:tc>
          <w:tcPr>
            <w:tcW w:type="dxa" w:w="3168"/>
            <w:vAlign w:val="top"/>
            <w:tcMar>
              <w:top w:w="80" w:type="dxa"/>
              <w:start w:w="80" w:type="dxa"/>
              <w:bottom w:w="80" w:type="dxa"/>
              <w:end w:w="80" w:type="dxa"/>
            </w:tcMar>
            <w:shd w:fill="F8F9FA"/>
          </w:tcPr>
          <w:p>
            <w:pPr>
              <w:spacing w:after="0"/>
            </w:pPr>
            <w:r/>
            <w:r>
              <w:rPr>
                <w:rFonts w:ascii="Aptos" w:hAnsi="Aptos"/>
                <w:b w:val="0"/>
                <w:sz w:val="15"/>
              </w:rPr>
              <w:t>accuracy/drift and outcome acceptance</w:t>
            </w:r>
          </w:p>
        </w:tc>
        <w:tc>
          <w:tcPr>
            <w:tcW w:type="dxa" w:w="2880"/>
            <w:vAlign w:val="top"/>
            <w:tcMar>
              <w:top w:w="80" w:type="dxa"/>
              <w:start w:w="80" w:type="dxa"/>
              <w:bottom w:w="80" w:type="dxa"/>
              <w:end w:w="80" w:type="dxa"/>
            </w:tcMar>
            <w:shd w:fill="F8F9FA"/>
          </w:tcPr>
          <w:p>
            <w:pPr>
              <w:spacing w:after="0"/>
            </w:pPr>
            <w:r/>
            <w:r>
              <w:rPr>
                <w:rFonts w:ascii="Aptos" w:hAnsi="Aptos"/>
                <w:b w:val="0"/>
                <w:sz w:val="15"/>
              </w:rPr>
              <w:t>allocated cost / accepted predictions</w:t>
            </w:r>
          </w:p>
        </w:tc>
      </w:tr>
      <w:tr>
        <w:tc>
          <w:tcPr>
            <w:tcW w:type="dxa" w:w="1728"/>
            <w:vAlign w:val="top"/>
            <w:tcMar>
              <w:top w:w="80" w:type="dxa"/>
              <w:start w:w="80" w:type="dxa"/>
              <w:bottom w:w="80" w:type="dxa"/>
              <w:end w:w="80" w:type="dxa"/>
            </w:tcMar>
          </w:tcPr>
          <w:p>
            <w:pPr>
              <w:spacing w:after="0"/>
            </w:pPr>
            <w:r/>
            <w:r>
              <w:rPr>
                <w:rFonts w:ascii="Aptos" w:hAnsi="Aptos"/>
                <w:b w:val="0"/>
                <w:sz w:val="15"/>
              </w:rPr>
              <w:t>GenAI/RAG</w:t>
            </w:r>
          </w:p>
        </w:tc>
        <w:tc>
          <w:tcPr>
            <w:tcW w:type="dxa" w:w="2304"/>
            <w:vAlign w:val="top"/>
            <w:tcMar>
              <w:top w:w="80" w:type="dxa"/>
              <w:start w:w="80" w:type="dxa"/>
              <w:bottom w:w="80" w:type="dxa"/>
              <w:end w:w="80" w:type="dxa"/>
            </w:tcMar>
          </w:tcPr>
          <w:p>
            <w:pPr>
              <w:spacing w:after="0"/>
            </w:pPr>
            <w:r/>
            <w:r>
              <w:rPr>
                <w:rFonts w:ascii="Aptos" w:hAnsi="Aptos"/>
                <w:b w:val="0"/>
                <w:sz w:val="15"/>
              </w:rPr>
              <w:t>successful user task</w:t>
            </w:r>
          </w:p>
        </w:tc>
        <w:tc>
          <w:tcPr>
            <w:tcW w:type="dxa" w:w="3168"/>
            <w:vAlign w:val="top"/>
            <w:tcMar>
              <w:top w:w="80" w:type="dxa"/>
              <w:start w:w="80" w:type="dxa"/>
              <w:bottom w:w="80" w:type="dxa"/>
              <w:end w:w="80" w:type="dxa"/>
            </w:tcMar>
          </w:tcPr>
          <w:p>
            <w:pPr>
              <w:spacing w:after="0"/>
            </w:pPr>
            <w:r/>
            <w:r>
              <w:rPr>
                <w:rFonts w:ascii="Aptos" w:hAnsi="Aptos"/>
                <w:b w:val="0"/>
                <w:sz w:val="15"/>
              </w:rPr>
              <w:t>grounding, safety and user/automated acceptance</w:t>
            </w:r>
          </w:p>
        </w:tc>
        <w:tc>
          <w:tcPr>
            <w:tcW w:type="dxa" w:w="2880"/>
            <w:vAlign w:val="top"/>
            <w:tcMar>
              <w:top w:w="80" w:type="dxa"/>
              <w:start w:w="80" w:type="dxa"/>
              <w:bottom w:w="80" w:type="dxa"/>
              <w:end w:w="80" w:type="dxa"/>
            </w:tcMar>
          </w:tcPr>
          <w:p>
            <w:pPr>
              <w:spacing w:after="0"/>
            </w:pPr>
            <w:r/>
            <w:r>
              <w:rPr>
                <w:rFonts w:ascii="Aptos" w:hAnsi="Aptos"/>
                <w:b w:val="0"/>
                <w:sz w:val="15"/>
              </w:rPr>
              <w:t>allocated cost / accepted tasks</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Platform service</w:t>
            </w:r>
          </w:p>
        </w:tc>
        <w:tc>
          <w:tcPr>
            <w:tcW w:type="dxa" w:w="2304"/>
            <w:vAlign w:val="top"/>
            <w:tcMar>
              <w:top w:w="80" w:type="dxa"/>
              <w:start w:w="80" w:type="dxa"/>
              <w:bottom w:w="80" w:type="dxa"/>
              <w:end w:w="80" w:type="dxa"/>
            </w:tcMar>
            <w:shd w:fill="F8F9FA"/>
          </w:tcPr>
          <w:p>
            <w:pPr>
              <w:spacing w:after="0"/>
            </w:pPr>
            <w:r/>
            <w:r>
              <w:rPr>
                <w:rFonts w:ascii="Aptos" w:hAnsi="Aptos"/>
                <w:b w:val="0"/>
                <w:sz w:val="15"/>
              </w:rPr>
              <w:t>onboarded active product</w:t>
            </w:r>
          </w:p>
        </w:tc>
        <w:tc>
          <w:tcPr>
            <w:tcW w:type="dxa" w:w="3168"/>
            <w:vAlign w:val="top"/>
            <w:tcMar>
              <w:top w:w="80" w:type="dxa"/>
              <w:start w:w="80" w:type="dxa"/>
              <w:bottom w:w="80" w:type="dxa"/>
              <w:end w:w="80" w:type="dxa"/>
            </w:tcMar>
            <w:shd w:fill="F8F9FA"/>
          </w:tcPr>
          <w:p>
            <w:pPr>
              <w:spacing w:after="0"/>
            </w:pPr>
            <w:r/>
            <w:r>
              <w:rPr>
                <w:rFonts w:ascii="Aptos" w:hAnsi="Aptos"/>
                <w:b w:val="0"/>
                <w:sz w:val="15"/>
              </w:rPr>
              <w:t>service SLO and support status</w:t>
            </w:r>
          </w:p>
        </w:tc>
        <w:tc>
          <w:tcPr>
            <w:tcW w:type="dxa" w:w="2880"/>
            <w:vAlign w:val="top"/>
            <w:tcMar>
              <w:top w:w="80" w:type="dxa"/>
              <w:start w:w="80" w:type="dxa"/>
              <w:bottom w:w="80" w:type="dxa"/>
              <w:end w:w="80" w:type="dxa"/>
            </w:tcMar>
            <w:shd w:fill="F8F9FA"/>
          </w:tcPr>
          <w:p>
            <w:pPr>
              <w:spacing w:after="0"/>
            </w:pPr>
            <w:r/>
            <w:r>
              <w:rPr>
                <w:rFonts w:ascii="Aptos" w:hAnsi="Aptos"/>
                <w:b w:val="0"/>
                <w:sz w:val="15"/>
              </w:rPr>
              <w:t>shared platform cost / active products</w:t>
            </w:r>
          </w:p>
        </w:tc>
      </w:tr>
    </w:tbl>
    <w:p>
      <w:r>
        <w:t>Quality-adjusted unit cost prevents false savings. For example, reducing RAG retrieval depth may lower token cost but increase unsupported answers; the unit is therefore an accepted task that passes grounding and safety criteria, not merely a request.</w:t>
      </w:r>
    </w:p>
    <w:p>
      <w:pPr>
        <w:pStyle w:val="Heading1"/>
      </w:pPr>
      <w:r>
        <w:t>13. BigQuery Cost Model</w:t>
      </w:r>
    </w:p>
    <w:p>
      <w:r>
        <w:t>BigQuery economics are modeled separately for compute, storage, data transfer and optional supporting capabilities. The current enterprise rate and selected edition are inputs, not embedded constants.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Component</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Measurable inputs</w:t>
            </w:r>
          </w:p>
        </w:tc>
        <w:tc>
          <w:tcPr>
            <w:tcW w:type="dxa" w:w="3312"/>
            <w:vAlign w:val="top"/>
            <w:tcMar>
              <w:top w:w="80" w:type="dxa"/>
              <w:start w:w="80" w:type="dxa"/>
              <w:bottom w:w="80" w:type="dxa"/>
              <w:end w:w="80" w:type="dxa"/>
            </w:tcMar>
            <w:shd w:fill="1A73E8"/>
          </w:tcPr>
          <w:p>
            <w:pPr>
              <w:spacing w:after="0"/>
            </w:pPr>
            <w:r/>
            <w:r>
              <w:rPr>
                <w:rFonts w:ascii="Aptos" w:hAnsi="Aptos"/>
                <w:b/>
                <w:color w:val="FFFFFF"/>
                <w:sz w:val="15"/>
              </w:rPr>
              <w:t>Model expression</w:t>
            </w:r>
          </w:p>
        </w:tc>
        <w:tc>
          <w:tcPr>
            <w:tcW w:type="dxa" w:w="2304"/>
            <w:vAlign w:val="top"/>
            <w:tcMar>
              <w:top w:w="80" w:type="dxa"/>
              <w:start w:w="80" w:type="dxa"/>
              <w:bottom w:w="80" w:type="dxa"/>
              <w:end w:w="80" w:type="dxa"/>
            </w:tcMar>
            <w:shd w:fill="1A73E8"/>
          </w:tcPr>
          <w:p>
            <w:pPr>
              <w:spacing w:after="0"/>
            </w:pPr>
            <w:r/>
            <w:r>
              <w:rPr>
                <w:rFonts w:ascii="Aptos" w:hAnsi="Aptos"/>
                <w:b/>
                <w:color w:val="FFFFFF"/>
                <w:sz w:val="15"/>
              </w:rPr>
              <w:t>Telemetry</w:t>
            </w:r>
          </w:p>
        </w:tc>
      </w:tr>
      <w:tr>
        <w:tc>
          <w:tcPr>
            <w:tcW w:type="dxa" w:w="1728"/>
            <w:vAlign w:val="top"/>
            <w:tcMar>
              <w:top w:w="80" w:type="dxa"/>
              <w:start w:w="80" w:type="dxa"/>
              <w:bottom w:w="80" w:type="dxa"/>
              <w:end w:w="80" w:type="dxa"/>
            </w:tcMar>
          </w:tcPr>
          <w:p>
            <w:pPr>
              <w:spacing w:after="0"/>
            </w:pPr>
            <w:r/>
            <w:r>
              <w:rPr>
                <w:rFonts w:ascii="Aptos" w:hAnsi="Aptos"/>
                <w:b w:val="0"/>
                <w:sz w:val="15"/>
              </w:rPr>
              <w:t>On-demand query compute</w:t>
            </w:r>
          </w:p>
        </w:tc>
        <w:tc>
          <w:tcPr>
            <w:tcW w:type="dxa" w:w="2880"/>
            <w:vAlign w:val="top"/>
            <w:tcMar>
              <w:top w:w="80" w:type="dxa"/>
              <w:start w:w="80" w:type="dxa"/>
              <w:bottom w:w="80" w:type="dxa"/>
              <w:end w:w="80" w:type="dxa"/>
            </w:tcMar>
          </w:tcPr>
          <w:p>
            <w:pPr>
              <w:spacing w:after="0"/>
            </w:pPr>
            <w:r/>
            <w:r>
              <w:rPr>
                <w:rFonts w:ascii="Aptos" w:hAnsi="Aptos"/>
                <w:b w:val="0"/>
                <w:sz w:val="15"/>
              </w:rPr>
              <w:t>bytes billed by job, product and day</w:t>
            </w:r>
          </w:p>
        </w:tc>
        <w:tc>
          <w:tcPr>
            <w:tcW w:type="dxa" w:w="3312"/>
            <w:vAlign w:val="top"/>
            <w:tcMar>
              <w:top w:w="80" w:type="dxa"/>
              <w:start w:w="80" w:type="dxa"/>
              <w:bottom w:w="80" w:type="dxa"/>
              <w:end w:w="80" w:type="dxa"/>
            </w:tcMar>
          </w:tcPr>
          <w:p>
            <w:pPr>
              <w:spacing w:after="0"/>
            </w:pPr>
            <w:r/>
            <w:r>
              <w:rPr>
                <w:rFonts w:ascii="Aptos" w:hAnsi="Aptos"/>
                <w:b w:val="0"/>
                <w:sz w:val="15"/>
              </w:rPr>
              <w:t>bytes billed x current effective rate</w:t>
            </w:r>
          </w:p>
        </w:tc>
        <w:tc>
          <w:tcPr>
            <w:tcW w:type="dxa" w:w="2304"/>
            <w:vAlign w:val="top"/>
            <w:tcMar>
              <w:top w:w="80" w:type="dxa"/>
              <w:start w:w="80" w:type="dxa"/>
              <w:bottom w:w="80" w:type="dxa"/>
              <w:end w:w="80" w:type="dxa"/>
            </w:tcMar>
          </w:tcPr>
          <w:p>
            <w:pPr>
              <w:spacing w:after="0"/>
            </w:pPr>
            <w:r/>
            <w:r>
              <w:rPr>
                <w:rFonts w:ascii="Aptos" w:hAnsi="Aptos"/>
                <w:b w:val="0"/>
                <w:sz w:val="15"/>
              </w:rPr>
              <w:t>INFORMATION_SCHEMA jobs and billing export</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Capacity compute</w:t>
            </w:r>
          </w:p>
        </w:tc>
        <w:tc>
          <w:tcPr>
            <w:tcW w:type="dxa" w:w="2880"/>
            <w:vAlign w:val="top"/>
            <w:tcMar>
              <w:top w:w="80" w:type="dxa"/>
              <w:start w:w="80" w:type="dxa"/>
              <w:bottom w:w="80" w:type="dxa"/>
              <w:end w:w="80" w:type="dxa"/>
            </w:tcMar>
            <w:shd w:fill="F8F9FA"/>
          </w:tcPr>
          <w:p>
            <w:pPr>
              <w:spacing w:after="0"/>
            </w:pPr>
            <w:r/>
            <w:r>
              <w:rPr>
                <w:rFonts w:ascii="Aptos" w:hAnsi="Aptos"/>
                <w:b w:val="0"/>
                <w:sz w:val="15"/>
              </w:rPr>
              <w:t>baseline slots, autoscaling slots, duration, edition</w:t>
            </w:r>
          </w:p>
        </w:tc>
        <w:tc>
          <w:tcPr>
            <w:tcW w:type="dxa" w:w="3312"/>
            <w:vAlign w:val="top"/>
            <w:tcMar>
              <w:top w:w="80" w:type="dxa"/>
              <w:start w:w="80" w:type="dxa"/>
              <w:bottom w:w="80" w:type="dxa"/>
              <w:end w:w="80" w:type="dxa"/>
            </w:tcMar>
            <w:shd w:fill="F8F9FA"/>
          </w:tcPr>
          <w:p>
            <w:pPr>
              <w:spacing w:after="0"/>
            </w:pPr>
            <w:r/>
            <w:r>
              <w:rPr>
                <w:rFonts w:ascii="Aptos" w:hAnsi="Aptos"/>
                <w:b w:val="0"/>
                <w:sz w:val="15"/>
              </w:rPr>
              <w:t>slot-hours by category x effective rate</w:t>
            </w:r>
          </w:p>
        </w:tc>
        <w:tc>
          <w:tcPr>
            <w:tcW w:type="dxa" w:w="2304"/>
            <w:vAlign w:val="top"/>
            <w:tcMar>
              <w:top w:w="80" w:type="dxa"/>
              <w:start w:w="80" w:type="dxa"/>
              <w:bottom w:w="80" w:type="dxa"/>
              <w:end w:w="80" w:type="dxa"/>
            </w:tcMar>
            <w:shd w:fill="F8F9FA"/>
          </w:tcPr>
          <w:p>
            <w:pPr>
              <w:spacing w:after="0"/>
            </w:pPr>
            <w:r/>
            <w:r>
              <w:rPr>
                <w:rFonts w:ascii="Aptos" w:hAnsi="Aptos"/>
                <w:b w:val="0"/>
                <w:sz w:val="15"/>
              </w:rPr>
              <w:t>reservation timeline and billing export</w:t>
            </w:r>
          </w:p>
        </w:tc>
      </w:tr>
      <w:tr>
        <w:tc>
          <w:tcPr>
            <w:tcW w:type="dxa" w:w="1728"/>
            <w:vAlign w:val="top"/>
            <w:tcMar>
              <w:top w:w="80" w:type="dxa"/>
              <w:start w:w="80" w:type="dxa"/>
              <w:bottom w:w="80" w:type="dxa"/>
              <w:end w:w="80" w:type="dxa"/>
            </w:tcMar>
          </w:tcPr>
          <w:p>
            <w:pPr>
              <w:spacing w:after="0"/>
            </w:pPr>
            <w:r/>
            <w:r>
              <w:rPr>
                <w:rFonts w:ascii="Aptos" w:hAnsi="Aptos"/>
                <w:b w:val="0"/>
                <w:sz w:val="15"/>
              </w:rPr>
              <w:t>Commitment benefit</w:t>
            </w:r>
          </w:p>
        </w:tc>
        <w:tc>
          <w:tcPr>
            <w:tcW w:type="dxa" w:w="2880"/>
            <w:vAlign w:val="top"/>
            <w:tcMar>
              <w:top w:w="80" w:type="dxa"/>
              <w:start w:w="80" w:type="dxa"/>
              <w:bottom w:w="80" w:type="dxa"/>
              <w:end w:w="80" w:type="dxa"/>
            </w:tcMar>
          </w:tcPr>
          <w:p>
            <w:pPr>
              <w:spacing w:after="0"/>
            </w:pPr>
            <w:r/>
            <w:r>
              <w:rPr>
                <w:rFonts w:ascii="Aptos" w:hAnsi="Aptos"/>
                <w:b w:val="0"/>
                <w:sz w:val="15"/>
              </w:rPr>
              <w:t>committed eligible usage, consumed usage, term and effective rate</w:t>
            </w:r>
          </w:p>
        </w:tc>
        <w:tc>
          <w:tcPr>
            <w:tcW w:type="dxa" w:w="3312"/>
            <w:vAlign w:val="top"/>
            <w:tcMar>
              <w:top w:w="80" w:type="dxa"/>
              <w:start w:w="80" w:type="dxa"/>
              <w:bottom w:w="80" w:type="dxa"/>
              <w:end w:w="80" w:type="dxa"/>
            </w:tcMar>
          </w:tcPr>
          <w:p>
            <w:pPr>
              <w:spacing w:after="0"/>
            </w:pPr>
            <w:r/>
            <w:r>
              <w:rPr>
                <w:rFonts w:ascii="Aptos" w:hAnsi="Aptos"/>
                <w:b w:val="0"/>
                <w:sz w:val="15"/>
              </w:rPr>
              <w:t>contracted cost versus flexible scenario</w:t>
            </w:r>
          </w:p>
        </w:tc>
        <w:tc>
          <w:tcPr>
            <w:tcW w:type="dxa" w:w="2304"/>
            <w:vAlign w:val="top"/>
            <w:tcMar>
              <w:top w:w="80" w:type="dxa"/>
              <w:start w:w="80" w:type="dxa"/>
              <w:bottom w:w="80" w:type="dxa"/>
              <w:end w:w="80" w:type="dxa"/>
            </w:tcMar>
          </w:tcPr>
          <w:p>
            <w:pPr>
              <w:spacing w:after="0"/>
            </w:pPr>
            <w:r/>
            <w:r>
              <w:rPr>
                <w:rFonts w:ascii="Aptos" w:hAnsi="Aptos"/>
                <w:b w:val="0"/>
                <w:sz w:val="15"/>
              </w:rPr>
              <w:t>CUD export and contract data</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Storage</w:t>
            </w:r>
          </w:p>
        </w:tc>
        <w:tc>
          <w:tcPr>
            <w:tcW w:type="dxa" w:w="2880"/>
            <w:vAlign w:val="top"/>
            <w:tcMar>
              <w:top w:w="80" w:type="dxa"/>
              <w:start w:w="80" w:type="dxa"/>
              <w:bottom w:w="80" w:type="dxa"/>
              <w:end w:w="80" w:type="dxa"/>
            </w:tcMar>
            <w:shd w:fill="F8F9FA"/>
          </w:tcPr>
          <w:p>
            <w:pPr>
              <w:spacing w:after="0"/>
            </w:pPr>
            <w:r/>
            <w:r>
              <w:rPr>
                <w:rFonts w:ascii="Aptos" w:hAnsi="Aptos"/>
                <w:b w:val="0"/>
                <w:sz w:val="15"/>
              </w:rPr>
              <w:t>logical/physical bytes, active/long-term state, replication</w:t>
            </w:r>
          </w:p>
        </w:tc>
        <w:tc>
          <w:tcPr>
            <w:tcW w:type="dxa" w:w="3312"/>
            <w:vAlign w:val="top"/>
            <w:tcMar>
              <w:top w:w="80" w:type="dxa"/>
              <w:start w:w="80" w:type="dxa"/>
              <w:bottom w:w="80" w:type="dxa"/>
              <w:end w:w="80" w:type="dxa"/>
            </w:tcMar>
            <w:shd w:fill="F8F9FA"/>
          </w:tcPr>
          <w:p>
            <w:pPr>
              <w:spacing w:after="0"/>
            </w:pPr>
            <w:r/>
            <w:r>
              <w:rPr>
                <w:rFonts w:ascii="Aptos" w:hAnsi="Aptos"/>
                <w:b w:val="0"/>
                <w:sz w:val="15"/>
              </w:rPr>
              <w:t>average bytes x current rate by category</w:t>
            </w:r>
          </w:p>
        </w:tc>
        <w:tc>
          <w:tcPr>
            <w:tcW w:type="dxa" w:w="2304"/>
            <w:vAlign w:val="top"/>
            <w:tcMar>
              <w:top w:w="80" w:type="dxa"/>
              <w:start w:w="80" w:type="dxa"/>
              <w:bottom w:w="80" w:type="dxa"/>
              <w:end w:w="80" w:type="dxa"/>
            </w:tcMar>
            <w:shd w:fill="F8F9FA"/>
          </w:tcPr>
          <w:p>
            <w:pPr>
              <w:spacing w:after="0"/>
            </w:pPr>
            <w:r/>
            <w:r>
              <w:rPr>
                <w:rFonts w:ascii="Aptos" w:hAnsi="Aptos"/>
                <w:b w:val="0"/>
                <w:sz w:val="15"/>
              </w:rPr>
              <w:t>table storage metadata and billing export</w:t>
            </w:r>
          </w:p>
        </w:tc>
      </w:tr>
      <w:tr>
        <w:tc>
          <w:tcPr>
            <w:tcW w:type="dxa" w:w="1728"/>
            <w:vAlign w:val="top"/>
            <w:tcMar>
              <w:top w:w="80" w:type="dxa"/>
              <w:start w:w="80" w:type="dxa"/>
              <w:bottom w:w="80" w:type="dxa"/>
              <w:end w:w="80" w:type="dxa"/>
            </w:tcMar>
          </w:tcPr>
          <w:p>
            <w:pPr>
              <w:spacing w:after="0"/>
            </w:pPr>
            <w:r/>
            <w:r>
              <w:rPr>
                <w:rFonts w:ascii="Aptos" w:hAnsi="Aptos"/>
                <w:b w:val="0"/>
                <w:sz w:val="15"/>
              </w:rPr>
              <w:t>Data transfer</w:t>
            </w:r>
          </w:p>
        </w:tc>
        <w:tc>
          <w:tcPr>
            <w:tcW w:type="dxa" w:w="2880"/>
            <w:vAlign w:val="top"/>
            <w:tcMar>
              <w:top w:w="80" w:type="dxa"/>
              <w:start w:w="80" w:type="dxa"/>
              <w:bottom w:w="80" w:type="dxa"/>
              <w:end w:w="80" w:type="dxa"/>
            </w:tcMar>
          </w:tcPr>
          <w:p>
            <w:pPr>
              <w:spacing w:after="0"/>
            </w:pPr>
            <w:r/>
            <w:r>
              <w:rPr>
                <w:rFonts w:ascii="Aptos" w:hAnsi="Aptos"/>
                <w:b w:val="0"/>
                <w:sz w:val="15"/>
              </w:rPr>
              <w:t>source/destination locations and bytes</w:t>
            </w:r>
          </w:p>
        </w:tc>
        <w:tc>
          <w:tcPr>
            <w:tcW w:type="dxa" w:w="3312"/>
            <w:vAlign w:val="top"/>
            <w:tcMar>
              <w:top w:w="80" w:type="dxa"/>
              <w:start w:w="80" w:type="dxa"/>
              <w:bottom w:w="80" w:type="dxa"/>
              <w:end w:w="80" w:type="dxa"/>
            </w:tcMar>
          </w:tcPr>
          <w:p>
            <w:pPr>
              <w:spacing w:after="0"/>
            </w:pPr>
            <w:r/>
            <w:r>
              <w:rPr>
                <w:rFonts w:ascii="Aptos" w:hAnsi="Aptos"/>
                <w:b w:val="0"/>
                <w:sz w:val="15"/>
              </w:rPr>
              <w:t>transfer bytes x current route/SKU rate</w:t>
            </w:r>
          </w:p>
        </w:tc>
        <w:tc>
          <w:tcPr>
            <w:tcW w:type="dxa" w:w="2304"/>
            <w:vAlign w:val="top"/>
            <w:tcMar>
              <w:top w:w="80" w:type="dxa"/>
              <w:start w:w="80" w:type="dxa"/>
              <w:bottom w:w="80" w:type="dxa"/>
              <w:end w:w="80" w:type="dxa"/>
            </w:tcMar>
          </w:tcPr>
          <w:p>
            <w:pPr>
              <w:spacing w:after="0"/>
            </w:pPr>
            <w:r/>
            <w:r>
              <w:rPr>
                <w:rFonts w:ascii="Aptos" w:hAnsi="Aptos"/>
                <w:b w:val="0"/>
                <w:sz w:val="15"/>
              </w:rPr>
              <w:t>billing export and topology</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BI Engine / auxiliary</w:t>
            </w:r>
          </w:p>
        </w:tc>
        <w:tc>
          <w:tcPr>
            <w:tcW w:type="dxa" w:w="2880"/>
            <w:vAlign w:val="top"/>
            <w:tcMar>
              <w:top w:w="80" w:type="dxa"/>
              <w:start w:w="80" w:type="dxa"/>
              <w:bottom w:w="80" w:type="dxa"/>
              <w:end w:w="80" w:type="dxa"/>
            </w:tcMar>
            <w:shd w:fill="F8F9FA"/>
          </w:tcPr>
          <w:p>
            <w:pPr>
              <w:spacing w:after="0"/>
            </w:pPr>
            <w:r/>
            <w:r>
              <w:rPr>
                <w:rFonts w:ascii="Aptos" w:hAnsi="Aptos"/>
                <w:b w:val="0"/>
                <w:sz w:val="15"/>
              </w:rPr>
              <w:t>reserved memory or usage variable</w:t>
            </w:r>
          </w:p>
        </w:tc>
        <w:tc>
          <w:tcPr>
            <w:tcW w:type="dxa" w:w="3312"/>
            <w:vAlign w:val="top"/>
            <w:tcMar>
              <w:top w:w="80" w:type="dxa"/>
              <w:start w:w="80" w:type="dxa"/>
              <w:bottom w:w="80" w:type="dxa"/>
              <w:end w:w="80" w:type="dxa"/>
            </w:tcMar>
            <w:shd w:fill="F8F9FA"/>
          </w:tcPr>
          <w:p>
            <w:pPr>
              <w:spacing w:after="0"/>
            </w:pPr>
            <w:r/>
            <w:r>
              <w:rPr>
                <w:rFonts w:ascii="Aptos" w:hAnsi="Aptos"/>
                <w:b w:val="0"/>
                <w:sz w:val="15"/>
              </w:rPr>
              <w:t>current product-specific rate x quantity</w:t>
            </w:r>
          </w:p>
        </w:tc>
        <w:tc>
          <w:tcPr>
            <w:tcW w:type="dxa" w:w="2304"/>
            <w:vAlign w:val="top"/>
            <w:tcMar>
              <w:top w:w="80" w:type="dxa"/>
              <w:start w:w="80" w:type="dxa"/>
              <w:bottom w:w="80" w:type="dxa"/>
              <w:end w:w="80" w:type="dxa"/>
            </w:tcMar>
            <w:shd w:fill="F8F9FA"/>
          </w:tcPr>
          <w:p>
            <w:pPr>
              <w:spacing w:after="0"/>
            </w:pPr>
            <w:r/>
            <w:r>
              <w:rPr>
                <w:rFonts w:ascii="Aptos" w:hAnsi="Aptos"/>
                <w:b w:val="0"/>
                <w:sz w:val="15"/>
              </w:rPr>
              <w:t>service telemetry and billing export</w:t>
            </w:r>
          </w:p>
        </w:tc>
      </w:tr>
    </w:tbl>
    <w:p>
      <w:pPr>
        <w:pStyle w:val="Heading2"/>
      </w:pPr>
      <w:r>
        <w:t>13.1 Model acceptance criteria</w:t>
      </w:r>
    </w:p>
    <w:p>
      <w:pPr>
        <w:pStyle w:val="ListBullet"/>
      </w:pPr>
      <w:r>
        <w:t>Inputs are sourced from telemetry or documented owner forecasts, not guessed.</w:t>
      </w:r>
    </w:p>
    <w:p>
      <w:pPr>
        <w:pStyle w:val="ListBullet"/>
      </w:pPr>
      <w:r>
        <w:t>Rates are loaded from current pricing export, calculator or contract data and carry an effective date.</w:t>
      </w:r>
    </w:p>
    <w:p>
      <w:pPr>
        <w:pStyle w:val="ListBullet"/>
      </w:pPr>
      <w:r>
        <w:t>Compute scenarios compare on-demand, flexible capacity and commitment options under the same workload and SLO assumptions.</w:t>
      </w:r>
    </w:p>
    <w:p>
      <w:pPr>
        <w:pStyle w:val="ListBullet"/>
      </w:pPr>
      <w:r>
        <w:t>Models include seasonality, peak concurrency, backfills, failure retries, regional requirements and growth.</w:t>
      </w:r>
    </w:p>
    <w:p>
      <w:pPr>
        <w:pStyle w:val="ListBullet"/>
      </w:pPr>
      <w:r>
        <w:t>Recommendations show break-even sensitivity rather than a single deterministic answer.</w:t>
      </w:r>
    </w:p>
    <w:p>
      <w:pPr>
        <w:pStyle w:val="Heading1"/>
      </w:pPr>
      <w:r>
        <w:t>14. BigQuery Editions, Reservations and Slot Governance</w:t>
      </w:r>
    </w:p>
    <w:p>
      <w:r>
        <w:t>BigQuery editions and reservations provide capacity-based workload management. Reservations can autoscale up to a configured maximum, and commitments are optional. The architecture isolates production BI, ELT and regulatory workloads while allowing controlled flexibility.</w:t>
      </w:r>
    </w:p>
    <w:p>
      <w:pPr>
        <w:jc w:val="center"/>
      </w:pPr>
      <w:r>
        <w:drawing>
          <wp:inline xmlns:a="http://schemas.openxmlformats.org/drawingml/2006/main" xmlns:pic="http://schemas.openxmlformats.org/drawingml/2006/picture">
            <wp:extent cx="6126480" cy="1820518"/>
            <wp:docPr id="4" name="Picture 4" descr="Image: image4.png"/>
            <wp:cNvGraphicFramePr>
              <a:graphicFrameLocks noChangeAspect="1"/>
            </wp:cNvGraphicFramePr>
            <a:graphic>
              <a:graphicData uri="http://schemas.openxmlformats.org/drawingml/2006/picture">
                <pic:pic>
                  <pic:nvPicPr>
                    <pic:cNvPr id="0" name="bigquery_capacity_governance.png"/>
                    <pic:cNvPicPr/>
                  </pic:nvPicPr>
                  <pic:blipFill>
                    <a:blip r:embed="rId14"/>
                    <a:stretch>
                      <a:fillRect/>
                    </a:stretch>
                  </pic:blipFill>
                  <pic:spPr>
                    <a:xfrm>
                      <a:off x="0" y="0"/>
                      <a:ext cx="6126480" cy="1820518"/>
                    </a:xfrm>
                    <a:prstGeom prst="rect"/>
                  </pic:spPr>
                </pic:pic>
              </a:graphicData>
            </a:graphic>
          </wp:inline>
        </w:drawing>
      </w:r>
    </w:p>
    <w:p>
      <w:pPr>
        <w:pStyle w:val="Small"/>
        <w:jc w:val="center"/>
      </w:pPr>
      <w:r>
        <w:rPr>
          <w:i/>
        </w:rPr>
        <w:t>Figure 4 - BigQuery reservation, autoscaling and commitment governance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vAlign w:val="top"/>
            <w:tcMar>
              <w:top w:w="80" w:type="dxa"/>
              <w:start w:w="80" w:type="dxa"/>
              <w:bottom w:w="80" w:type="dxa"/>
              <w:end w:w="80" w:type="dxa"/>
            </w:tcMar>
            <w:shd w:fill="1A73E8"/>
          </w:tcPr>
          <w:p>
            <w:pPr>
              <w:spacing w:after="0"/>
            </w:pPr>
            <w:r/>
            <w:r>
              <w:rPr>
                <w:rFonts w:ascii="Aptos" w:hAnsi="Aptos"/>
                <w:b/>
                <w:color w:val="FFFFFF"/>
                <w:sz w:val="15"/>
              </w:rPr>
              <w:t>Reservation</w:t>
            </w:r>
          </w:p>
        </w:tc>
        <w:tc>
          <w:tcPr>
            <w:tcW w:type="dxa" w:w="2592"/>
            <w:vAlign w:val="top"/>
            <w:tcMar>
              <w:top w:w="80" w:type="dxa"/>
              <w:start w:w="80" w:type="dxa"/>
              <w:bottom w:w="80" w:type="dxa"/>
              <w:end w:w="80" w:type="dxa"/>
            </w:tcMar>
            <w:shd w:fill="1A73E8"/>
          </w:tcPr>
          <w:p>
            <w:pPr>
              <w:spacing w:after="0"/>
            </w:pPr>
            <w:r/>
            <w:r>
              <w:rPr>
                <w:rFonts w:ascii="Aptos" w:hAnsi="Aptos"/>
                <w:b/>
                <w:color w:val="FFFFFF"/>
                <w:sz w:val="15"/>
              </w:rPr>
              <w:t>Primary workloads</w:t>
            </w:r>
          </w:p>
        </w:tc>
        <w:tc>
          <w:tcPr>
            <w:tcW w:type="dxa" w:w="3024"/>
            <w:vAlign w:val="top"/>
            <w:tcMar>
              <w:top w:w="80" w:type="dxa"/>
              <w:start w:w="80" w:type="dxa"/>
              <w:bottom w:w="80" w:type="dxa"/>
              <w:end w:w="80" w:type="dxa"/>
            </w:tcMar>
            <w:shd w:fill="1A73E8"/>
          </w:tcPr>
          <w:p>
            <w:pPr>
              <w:spacing w:after="0"/>
            </w:pPr>
            <w:r/>
            <w:r>
              <w:rPr>
                <w:rFonts w:ascii="Aptos" w:hAnsi="Aptos"/>
                <w:b/>
                <w:color w:val="FFFFFF"/>
                <w:sz w:val="15"/>
              </w:rPr>
              <w:t>Design intent</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FinOps control</w:t>
            </w:r>
          </w:p>
        </w:tc>
      </w:tr>
      <w:tr>
        <w:tc>
          <w:tcPr>
            <w:tcW w:type="dxa" w:w="1584"/>
            <w:vAlign w:val="top"/>
            <w:tcMar>
              <w:top w:w="80" w:type="dxa"/>
              <w:start w:w="80" w:type="dxa"/>
              <w:bottom w:w="80" w:type="dxa"/>
              <w:end w:w="80" w:type="dxa"/>
            </w:tcMar>
          </w:tcPr>
          <w:p>
            <w:pPr>
              <w:spacing w:after="0"/>
            </w:pPr>
            <w:r/>
            <w:r>
              <w:rPr>
                <w:rFonts w:ascii="Aptos" w:hAnsi="Aptos"/>
                <w:b w:val="0"/>
                <w:sz w:val="15"/>
              </w:rPr>
              <w:t>prod-regulatory</w:t>
            </w:r>
          </w:p>
        </w:tc>
        <w:tc>
          <w:tcPr>
            <w:tcW w:type="dxa" w:w="2592"/>
            <w:vAlign w:val="top"/>
            <w:tcMar>
              <w:top w:w="80" w:type="dxa"/>
              <w:start w:w="80" w:type="dxa"/>
              <w:bottom w:w="80" w:type="dxa"/>
              <w:end w:w="80" w:type="dxa"/>
            </w:tcMar>
          </w:tcPr>
          <w:p>
            <w:pPr>
              <w:spacing w:after="0"/>
            </w:pPr>
            <w:r/>
            <w:r>
              <w:rPr>
                <w:rFonts w:ascii="Aptos" w:hAnsi="Aptos"/>
                <w:b w:val="0"/>
                <w:sz w:val="15"/>
              </w:rPr>
              <w:t>regulated and deadline-bound reports</w:t>
            </w:r>
          </w:p>
        </w:tc>
        <w:tc>
          <w:tcPr>
            <w:tcW w:type="dxa" w:w="3024"/>
            <w:vAlign w:val="top"/>
            <w:tcMar>
              <w:top w:w="80" w:type="dxa"/>
              <w:start w:w="80" w:type="dxa"/>
              <w:bottom w:w="80" w:type="dxa"/>
              <w:end w:w="80" w:type="dxa"/>
            </w:tcMar>
          </w:tcPr>
          <w:p>
            <w:pPr>
              <w:spacing w:after="0"/>
            </w:pPr>
            <w:r/>
            <w:r>
              <w:rPr>
                <w:rFonts w:ascii="Aptos" w:hAnsi="Aptos"/>
                <w:b w:val="0"/>
                <w:sz w:val="15"/>
              </w:rPr>
              <w:t>protected capacity and controlled change</w:t>
            </w:r>
          </w:p>
        </w:tc>
        <w:tc>
          <w:tcPr>
            <w:tcW w:type="dxa" w:w="2880"/>
            <w:vAlign w:val="top"/>
            <w:tcMar>
              <w:top w:w="80" w:type="dxa"/>
              <w:start w:w="80" w:type="dxa"/>
              <w:bottom w:w="80" w:type="dxa"/>
              <w:end w:w="80" w:type="dxa"/>
            </w:tcMar>
          </w:tcPr>
          <w:p>
            <w:pPr>
              <w:spacing w:after="0"/>
            </w:pPr>
            <w:r/>
            <w:r>
              <w:rPr>
                <w:rFonts w:ascii="Aptos" w:hAnsi="Aptos"/>
                <w:b w:val="0"/>
                <w:sz w:val="15"/>
              </w:rPr>
              <w:t>baseline justified by SLO and deadline</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prod-bi</w:t>
            </w:r>
          </w:p>
        </w:tc>
        <w:tc>
          <w:tcPr>
            <w:tcW w:type="dxa" w:w="2592"/>
            <w:vAlign w:val="top"/>
            <w:tcMar>
              <w:top w:w="80" w:type="dxa"/>
              <w:start w:w="80" w:type="dxa"/>
              <w:bottom w:w="80" w:type="dxa"/>
              <w:end w:w="80" w:type="dxa"/>
            </w:tcMar>
            <w:shd w:fill="F8F9FA"/>
          </w:tcPr>
          <w:p>
            <w:pPr>
              <w:spacing w:after="0"/>
            </w:pPr>
            <w:r/>
            <w:r>
              <w:rPr>
                <w:rFonts w:ascii="Aptos" w:hAnsi="Aptos"/>
                <w:b w:val="0"/>
                <w:sz w:val="15"/>
              </w:rPr>
              <w:t>Looker and executive analytics</w:t>
            </w:r>
          </w:p>
        </w:tc>
        <w:tc>
          <w:tcPr>
            <w:tcW w:type="dxa" w:w="3024"/>
            <w:vAlign w:val="top"/>
            <w:tcMar>
              <w:top w:w="80" w:type="dxa"/>
              <w:start w:w="80" w:type="dxa"/>
              <w:bottom w:w="80" w:type="dxa"/>
              <w:end w:w="80" w:type="dxa"/>
            </w:tcMar>
            <w:shd w:fill="F8F9FA"/>
          </w:tcPr>
          <w:p>
            <w:pPr>
              <w:spacing w:after="0"/>
            </w:pPr>
            <w:r/>
            <w:r>
              <w:rPr>
                <w:rFonts w:ascii="Aptos" w:hAnsi="Aptos"/>
                <w:b w:val="0"/>
                <w:sz w:val="15"/>
              </w:rPr>
              <w:t>interactive concurrency isolation</w:t>
            </w:r>
          </w:p>
        </w:tc>
        <w:tc>
          <w:tcPr>
            <w:tcW w:type="dxa" w:w="2880"/>
            <w:vAlign w:val="top"/>
            <w:tcMar>
              <w:top w:w="80" w:type="dxa"/>
              <w:start w:w="80" w:type="dxa"/>
              <w:bottom w:w="80" w:type="dxa"/>
              <w:end w:w="80" w:type="dxa"/>
            </w:tcMar>
            <w:shd w:fill="F8F9FA"/>
          </w:tcPr>
          <w:p>
            <w:pPr>
              <w:spacing w:after="0"/>
            </w:pPr>
            <w:r/>
            <w:r>
              <w:rPr>
                <w:rFonts w:ascii="Aptos" w:hAnsi="Aptos"/>
                <w:b w:val="0"/>
                <w:sz w:val="15"/>
              </w:rPr>
              <w:t>business-hour profile, concurrency and cache metrics</w:t>
            </w:r>
          </w:p>
        </w:tc>
      </w:tr>
      <w:tr>
        <w:tc>
          <w:tcPr>
            <w:tcW w:type="dxa" w:w="1584"/>
            <w:vAlign w:val="top"/>
            <w:tcMar>
              <w:top w:w="80" w:type="dxa"/>
              <w:start w:w="80" w:type="dxa"/>
              <w:bottom w:w="80" w:type="dxa"/>
              <w:end w:w="80" w:type="dxa"/>
            </w:tcMar>
          </w:tcPr>
          <w:p>
            <w:pPr>
              <w:spacing w:after="0"/>
            </w:pPr>
            <w:r/>
            <w:r>
              <w:rPr>
                <w:rFonts w:ascii="Aptos" w:hAnsi="Aptos"/>
                <w:b w:val="0"/>
                <w:sz w:val="15"/>
              </w:rPr>
              <w:t>prod-elt</w:t>
            </w:r>
          </w:p>
        </w:tc>
        <w:tc>
          <w:tcPr>
            <w:tcW w:type="dxa" w:w="2592"/>
            <w:vAlign w:val="top"/>
            <w:tcMar>
              <w:top w:w="80" w:type="dxa"/>
              <w:start w:w="80" w:type="dxa"/>
              <w:bottom w:w="80" w:type="dxa"/>
              <w:end w:w="80" w:type="dxa"/>
            </w:tcMar>
          </w:tcPr>
          <w:p>
            <w:pPr>
              <w:spacing w:after="0"/>
            </w:pPr>
            <w:r/>
            <w:r>
              <w:rPr>
                <w:rFonts w:ascii="Aptos" w:hAnsi="Aptos"/>
                <w:b w:val="0"/>
                <w:sz w:val="15"/>
              </w:rPr>
              <w:t>Dataform and scheduled transformations</w:t>
            </w:r>
          </w:p>
        </w:tc>
        <w:tc>
          <w:tcPr>
            <w:tcW w:type="dxa" w:w="3024"/>
            <w:vAlign w:val="top"/>
            <w:tcMar>
              <w:top w:w="80" w:type="dxa"/>
              <w:start w:w="80" w:type="dxa"/>
              <w:bottom w:w="80" w:type="dxa"/>
              <w:end w:w="80" w:type="dxa"/>
            </w:tcMar>
          </w:tcPr>
          <w:p>
            <w:pPr>
              <w:spacing w:after="0"/>
            </w:pPr>
            <w:r/>
            <w:r>
              <w:rPr>
                <w:rFonts w:ascii="Aptos" w:hAnsi="Aptos"/>
                <w:b w:val="0"/>
                <w:sz w:val="15"/>
              </w:rPr>
              <w:t>batch isolation and predictable windows</w:t>
            </w:r>
          </w:p>
        </w:tc>
        <w:tc>
          <w:tcPr>
            <w:tcW w:type="dxa" w:w="2880"/>
            <w:vAlign w:val="top"/>
            <w:tcMar>
              <w:top w:w="80" w:type="dxa"/>
              <w:start w:w="80" w:type="dxa"/>
              <w:bottom w:w="80" w:type="dxa"/>
              <w:end w:w="80" w:type="dxa"/>
            </w:tcMar>
          </w:tcPr>
          <w:p>
            <w:pPr>
              <w:spacing w:after="0"/>
            </w:pPr>
            <w:r/>
            <w:r>
              <w:rPr>
                <w:rFonts w:ascii="Aptos" w:hAnsi="Aptos"/>
                <w:b w:val="0"/>
                <w:sz w:val="15"/>
              </w:rPr>
              <w:t>schedule smoothing and autoscale cap</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prod-stream</w:t>
            </w:r>
          </w:p>
        </w:tc>
        <w:tc>
          <w:tcPr>
            <w:tcW w:type="dxa" w:w="2592"/>
            <w:vAlign w:val="top"/>
            <w:tcMar>
              <w:top w:w="80" w:type="dxa"/>
              <w:start w:w="80" w:type="dxa"/>
              <w:bottom w:w="80" w:type="dxa"/>
              <w:end w:w="80" w:type="dxa"/>
            </w:tcMar>
            <w:shd w:fill="F8F9FA"/>
          </w:tcPr>
          <w:p>
            <w:pPr>
              <w:spacing w:after="0"/>
            </w:pPr>
            <w:r/>
            <w:r>
              <w:rPr>
                <w:rFonts w:ascii="Aptos" w:hAnsi="Aptos"/>
                <w:b w:val="0"/>
                <w:sz w:val="15"/>
              </w:rPr>
              <w:t>near-real-time transformations</w:t>
            </w:r>
          </w:p>
        </w:tc>
        <w:tc>
          <w:tcPr>
            <w:tcW w:type="dxa" w:w="3024"/>
            <w:vAlign w:val="top"/>
            <w:tcMar>
              <w:top w:w="80" w:type="dxa"/>
              <w:start w:w="80" w:type="dxa"/>
              <w:bottom w:w="80" w:type="dxa"/>
              <w:end w:w="80" w:type="dxa"/>
            </w:tcMar>
            <w:shd w:fill="F8F9FA"/>
          </w:tcPr>
          <w:p>
            <w:pPr>
              <w:spacing w:after="0"/>
            </w:pPr>
            <w:r/>
            <w:r>
              <w:rPr>
                <w:rFonts w:ascii="Aptos" w:hAnsi="Aptos"/>
                <w:b w:val="0"/>
                <w:sz w:val="15"/>
              </w:rPr>
              <w:t>latency protection</w:t>
            </w:r>
          </w:p>
        </w:tc>
        <w:tc>
          <w:tcPr>
            <w:tcW w:type="dxa" w:w="2880"/>
            <w:vAlign w:val="top"/>
            <w:tcMar>
              <w:top w:w="80" w:type="dxa"/>
              <w:start w:w="80" w:type="dxa"/>
              <w:bottom w:w="80" w:type="dxa"/>
              <w:end w:w="80" w:type="dxa"/>
            </w:tcMar>
            <w:shd w:fill="F8F9FA"/>
          </w:tcPr>
          <w:p>
            <w:pPr>
              <w:spacing w:after="0"/>
            </w:pPr>
            <w:r/>
            <w:r>
              <w:rPr>
                <w:rFonts w:ascii="Aptos" w:hAnsi="Aptos"/>
                <w:b w:val="0"/>
                <w:sz w:val="15"/>
              </w:rPr>
              <w:t>small baseline plus tested burst</w:t>
            </w:r>
          </w:p>
        </w:tc>
      </w:tr>
      <w:tr>
        <w:tc>
          <w:tcPr>
            <w:tcW w:type="dxa" w:w="1584"/>
            <w:vAlign w:val="top"/>
            <w:tcMar>
              <w:top w:w="80" w:type="dxa"/>
              <w:start w:w="80" w:type="dxa"/>
              <w:bottom w:w="80" w:type="dxa"/>
              <w:end w:w="80" w:type="dxa"/>
            </w:tcMar>
          </w:tcPr>
          <w:p>
            <w:pPr>
              <w:spacing w:after="0"/>
            </w:pPr>
            <w:r/>
            <w:r>
              <w:rPr>
                <w:rFonts w:ascii="Aptos" w:hAnsi="Aptos"/>
                <w:b w:val="0"/>
                <w:sz w:val="15"/>
              </w:rPr>
              <w:t>prod-ai</w:t>
            </w:r>
          </w:p>
        </w:tc>
        <w:tc>
          <w:tcPr>
            <w:tcW w:type="dxa" w:w="2592"/>
            <w:vAlign w:val="top"/>
            <w:tcMar>
              <w:top w:w="80" w:type="dxa"/>
              <w:start w:w="80" w:type="dxa"/>
              <w:bottom w:w="80" w:type="dxa"/>
              <w:end w:w="80" w:type="dxa"/>
            </w:tcMar>
          </w:tcPr>
          <w:p>
            <w:pPr>
              <w:spacing w:after="0"/>
            </w:pPr>
            <w:r/>
            <w:r>
              <w:rPr>
                <w:rFonts w:ascii="Aptos" w:hAnsi="Aptos"/>
                <w:b w:val="0"/>
                <w:sz w:val="15"/>
              </w:rPr>
              <w:t>BQML and AI functions</w:t>
            </w:r>
          </w:p>
        </w:tc>
        <w:tc>
          <w:tcPr>
            <w:tcW w:type="dxa" w:w="3024"/>
            <w:vAlign w:val="top"/>
            <w:tcMar>
              <w:top w:w="80" w:type="dxa"/>
              <w:start w:w="80" w:type="dxa"/>
              <w:bottom w:w="80" w:type="dxa"/>
              <w:end w:w="80" w:type="dxa"/>
            </w:tcMar>
          </w:tcPr>
          <w:p>
            <w:pPr>
              <w:spacing w:after="0"/>
            </w:pPr>
            <w:r/>
            <w:r>
              <w:rPr>
                <w:rFonts w:ascii="Aptos" w:hAnsi="Aptos"/>
                <w:b w:val="0"/>
                <w:sz w:val="15"/>
              </w:rPr>
              <w:t>bounded experimentation and production inference</w:t>
            </w:r>
          </w:p>
        </w:tc>
        <w:tc>
          <w:tcPr>
            <w:tcW w:type="dxa" w:w="2880"/>
            <w:vAlign w:val="top"/>
            <w:tcMar>
              <w:top w:w="80" w:type="dxa"/>
              <w:start w:w="80" w:type="dxa"/>
              <w:bottom w:w="80" w:type="dxa"/>
              <w:end w:w="80" w:type="dxa"/>
            </w:tcMar>
          </w:tcPr>
          <w:p>
            <w:pPr>
              <w:spacing w:after="0"/>
            </w:pPr>
            <w:r/>
            <w:r>
              <w:rPr>
                <w:rFonts w:ascii="Aptos" w:hAnsi="Aptos"/>
                <w:b w:val="0"/>
                <w:sz w:val="15"/>
              </w:rPr>
              <w:t>job labels, quotas, optimized mode where applicable</w:t>
            </w:r>
          </w:p>
        </w:tc>
      </w:tr>
      <w:tr>
        <w:tc>
          <w:tcPr>
            <w:tcW w:type="dxa" w:w="1584"/>
            <w:vAlign w:val="top"/>
            <w:tcMar>
              <w:top w:w="80" w:type="dxa"/>
              <w:start w:w="80" w:type="dxa"/>
              <w:bottom w:w="80" w:type="dxa"/>
              <w:end w:w="80" w:type="dxa"/>
            </w:tcMar>
            <w:shd w:fill="F8F9FA"/>
          </w:tcPr>
          <w:p>
            <w:pPr>
              <w:spacing w:after="0"/>
            </w:pPr>
            <w:r/>
            <w:r>
              <w:rPr>
                <w:rFonts w:ascii="Aptos" w:hAnsi="Aptos"/>
                <w:b w:val="0"/>
                <w:sz w:val="15"/>
              </w:rPr>
              <w:t>nonprod</w:t>
            </w:r>
          </w:p>
        </w:tc>
        <w:tc>
          <w:tcPr>
            <w:tcW w:type="dxa" w:w="2592"/>
            <w:vAlign w:val="top"/>
            <w:tcMar>
              <w:top w:w="80" w:type="dxa"/>
              <w:start w:w="80" w:type="dxa"/>
              <w:bottom w:w="80" w:type="dxa"/>
              <w:end w:w="80" w:type="dxa"/>
            </w:tcMar>
            <w:shd w:fill="F8F9FA"/>
          </w:tcPr>
          <w:p>
            <w:pPr>
              <w:spacing w:after="0"/>
            </w:pPr>
            <w:r/>
            <w:r>
              <w:rPr>
                <w:rFonts w:ascii="Aptos" w:hAnsi="Aptos"/>
                <w:b w:val="0"/>
                <w:sz w:val="15"/>
              </w:rPr>
              <w:t>development, test and sandbox</w:t>
            </w:r>
          </w:p>
        </w:tc>
        <w:tc>
          <w:tcPr>
            <w:tcW w:type="dxa" w:w="3024"/>
            <w:vAlign w:val="top"/>
            <w:tcMar>
              <w:top w:w="80" w:type="dxa"/>
              <w:start w:w="80" w:type="dxa"/>
              <w:bottom w:w="80" w:type="dxa"/>
              <w:end w:w="80" w:type="dxa"/>
            </w:tcMar>
            <w:shd w:fill="F8F9FA"/>
          </w:tcPr>
          <w:p>
            <w:pPr>
              <w:spacing w:after="0"/>
            </w:pPr>
            <w:r/>
            <w:r>
              <w:rPr>
                <w:rFonts w:ascii="Aptos" w:hAnsi="Aptos"/>
                <w:b w:val="0"/>
                <w:sz w:val="15"/>
              </w:rPr>
              <w:t>strict cost ceiling</w:t>
            </w:r>
          </w:p>
        </w:tc>
        <w:tc>
          <w:tcPr>
            <w:tcW w:type="dxa" w:w="2880"/>
            <w:vAlign w:val="top"/>
            <w:tcMar>
              <w:top w:w="80" w:type="dxa"/>
              <w:start w:w="80" w:type="dxa"/>
              <w:bottom w:w="80" w:type="dxa"/>
              <w:end w:w="80" w:type="dxa"/>
            </w:tcMar>
            <w:shd w:fill="F8F9FA"/>
          </w:tcPr>
          <w:p>
            <w:pPr>
              <w:spacing w:after="0"/>
            </w:pPr>
            <w:r/>
            <w:r>
              <w:rPr>
                <w:rFonts w:ascii="Aptos" w:hAnsi="Aptos"/>
                <w:b w:val="0"/>
                <w:sz w:val="15"/>
              </w:rPr>
              <w:t>low/zero baseline, time controls and quotas</w:t>
            </w:r>
          </w:p>
        </w:tc>
      </w:tr>
    </w:tbl>
    <w:p>
      <w:pPr>
        <w:pStyle w:val="Heading2"/>
      </w:pPr>
      <w:r>
        <w:t>14.1 Reservation decision process</w:t>
      </w:r>
    </w:p>
    <w:p>
      <w:pPr>
        <w:pStyle w:val="ListBullet"/>
      </w:pPr>
      <w:r>
        <w:t>Classify workload predictability, latency, concurrency, criticality and growth.</w:t>
      </w:r>
    </w:p>
    <w:p>
      <w:pPr>
        <w:pStyle w:val="ListBullet"/>
      </w:pPr>
      <w:r>
        <w:t>Run representative load tests and collect on-demand bytes, slot-ms, queueing and duration.</w:t>
      </w:r>
    </w:p>
    <w:p>
      <w:pPr>
        <w:pStyle w:val="ListBullet"/>
      </w:pPr>
      <w:r>
        <w:t>Create isolated reservation scenarios with baseline and maximum autoscaling slots.</w:t>
      </w:r>
    </w:p>
    <w:p>
      <w:pPr>
        <w:pStyle w:val="ListBullet"/>
      </w:pPr>
      <w:r>
        <w:t>Validate SLOs and cost across normal, peak, backfill and failure-retry conditions.</w:t>
      </w:r>
    </w:p>
    <w:p>
      <w:pPr>
        <w:pStyle w:val="ListBullet"/>
      </w:pPr>
      <w:r>
        <w:t>Use the slot recommender and historical telemetry as evidence, not as an automatic approval.</w:t>
      </w:r>
    </w:p>
    <w:p>
      <w:pPr>
        <w:pStyle w:val="ListBullet"/>
      </w:pPr>
      <w:r>
        <w:t>Purchase commitments only for the conservative sustained baseline; retain flexible capacity for uncertain growth.</w:t>
      </w:r>
    </w:p>
    <w:p>
      <w:pPr>
        <w:pStyle w:val="ListBullet"/>
      </w:pPr>
      <w:r>
        <w:t>Rebalance assignments monthly and revisit commitments quarterly.</w:t>
      </w:r>
    </w:p>
    <w:p>
      <w:pPr>
        <w:pStyle w:val="Heading2"/>
      </w:pPr>
      <w:r>
        <w:t>14.2 Query workload controls</w:t>
      </w:r>
    </w:p>
    <w:p>
      <w:pPr>
        <w:pStyle w:val="ListBullet"/>
      </w:pPr>
      <w:r>
        <w:t>Apply maximum bytes billed for ad hoc and sandbox workflows where appropriate.</w:t>
      </w:r>
    </w:p>
    <w:p>
      <w:pPr>
        <w:pStyle w:val="ListBullet"/>
      </w:pPr>
      <w:r>
        <w:t>Use job labels, reservations and separate projects to attribute and isolate workloads.</w:t>
      </w:r>
    </w:p>
    <w:p>
      <w:pPr>
        <w:pStyle w:val="ListBullet"/>
      </w:pPr>
      <w:r>
        <w:t>Control concurrency and scheduling rather than allowing all batch jobs to start simultaneously.</w:t>
      </w:r>
    </w:p>
    <w:p>
      <w:pPr>
        <w:pStyle w:val="ListBullet"/>
      </w:pPr>
      <w:r>
        <w:t>Use priority and reservation assignment to protect regulatory and executive workloads.</w:t>
      </w:r>
    </w:p>
    <w:p>
      <w:pPr>
        <w:pStyle w:val="ListBullet"/>
      </w:pPr>
      <w:r>
        <w:t>Prevent unrestricted cross-region queries and data copies through architecture and policy controls.</w:t>
      </w:r>
    </w:p>
    <w:p>
      <w:pPr>
        <w:pStyle w:val="Heading1"/>
      </w:pPr>
      <w:r>
        <w:t>15. BigQuery Query and Storage Optimization</w:t>
      </w:r>
    </w:p>
    <w:p>
      <w:pPr>
        <w:pStyle w:val="Heading2"/>
      </w:pPr>
      <w:r>
        <w:t>15.1 Query optimization</w:t>
      </w:r>
    </w:p>
    <w:p>
      <w:pPr>
        <w:pStyle w:val="ListBullet"/>
      </w:pPr>
      <w:r>
        <w:t>Select only required columns and use partition filters that BigQuery can prune.</w:t>
      </w:r>
    </w:p>
    <w:p>
      <w:pPr>
        <w:pStyle w:val="ListBullet"/>
      </w:pPr>
      <w:r>
        <w:t>Prefer partitioning on frequently filtered business or ingestion dates; avoid excessive tiny partitions.</w:t>
      </w:r>
    </w:p>
    <w:p>
      <w:pPr>
        <w:pStyle w:val="ListBullet"/>
      </w:pPr>
      <w:r>
        <w:t>Cluster on stable, selective columns used in filters and joins, and validate actual pruning benefits.</w:t>
      </w:r>
    </w:p>
    <w:p>
      <w:pPr>
        <w:pStyle w:val="ListBullet"/>
      </w:pPr>
      <w:r>
        <w:t>Pre-aggregate repeated expensive logic through governed tables, materialized views or incremental Dataform models when freshness allows.</w:t>
      </w:r>
    </w:p>
    <w:p>
      <w:pPr>
        <w:pStyle w:val="ListBullet"/>
      </w:pPr>
      <w:r>
        <w:t>Avoid repeated cross joins, unnecessary ORDER BY, uncontrolled SELECT * and repeated parsing of raw semi-structured fields.</w:t>
      </w:r>
    </w:p>
    <w:p>
      <w:pPr>
        <w:pStyle w:val="ListBullet"/>
      </w:pPr>
      <w:r>
        <w:t>Use approximate aggregations or sketches only where business accuracy requirements allow.</w:t>
      </w:r>
    </w:p>
    <w:p>
      <w:pPr>
        <w:pStyle w:val="ListBullet"/>
      </w:pPr>
      <w:r>
        <w:t>Capture resource warnings and top bytes/slot consumers in the engineering backlog.</w:t>
      </w:r>
    </w:p>
    <w:p>
      <w:pPr>
        <w:pStyle w:val="Heading2"/>
      </w:pPr>
      <w:r>
        <w:t>15.2 Materialized views and caching</w:t>
      </w:r>
    </w:p>
    <w:p>
      <w:r>
        <w:t>Materialized views are selected when repeated queries can use incremental maintenance and the freshness/SQL constraints fit. BI Engine and application caches are justified only when measured latency and concurrency benefits exceed reserved-capacity and invalidation overhead. Cache behavior is never treated as a substitute for an efficient semantic model.</w:t>
      </w:r>
    </w:p>
    <w:p>
      <w:pPr>
        <w:pStyle w:val="Heading2"/>
      </w:pPr>
      <w:r>
        <w:t>15.3 Storage optimization</w:t>
      </w:r>
    </w:p>
    <w:p>
      <w:pPr>
        <w:pStyle w:val="ListBullet"/>
      </w:pPr>
      <w:r>
        <w:t>Apply table and partition expiration to transient, staging and sandbox data.</w:t>
      </w:r>
    </w:p>
    <w:p>
      <w:pPr>
        <w:pStyle w:val="ListBullet"/>
      </w:pPr>
      <w:r>
        <w:t>Review time-travel, snapshots, clones and replication against recovery requirements.</w:t>
      </w:r>
    </w:p>
    <w:p>
      <w:pPr>
        <w:pStyle w:val="ListBullet"/>
      </w:pPr>
      <w:r>
        <w:t>Use appropriate data types and avoid unnecessary duplicate denormalized copies.</w:t>
      </w:r>
    </w:p>
    <w:p>
      <w:pPr>
        <w:pStyle w:val="ListBullet"/>
      </w:pPr>
      <w:r>
        <w:t>Separate hot curated tables from raw/replay retention so analytical storage is not forced to carry archive policy.</w:t>
      </w:r>
    </w:p>
    <w:p>
      <w:pPr>
        <w:pStyle w:val="ListBullet"/>
      </w:pPr>
      <w:r>
        <w:t>Monitor logical and physical storage metrics and validate which billing model applies to the workload and location.</w:t>
      </w:r>
    </w:p>
    <w:p>
      <w:pPr>
        <w:pStyle w:val="Heading1"/>
      </w:pPr>
      <w:r>
        <w:t>16. Cloud Storage Optimization</w:t>
      </w:r>
    </w:p>
    <w:p>
      <w:r>
        <w:t>Cloud Storage cost depends on location, storage class, average bytes, operations, retrieval, minimum storage durations, replication and network transfer. The design chooses the class from access and retention evidence, not only age.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5"/>
              </w:rPr>
              <w:t>Pattern</w:t>
            </w:r>
          </w:p>
        </w:tc>
        <w:tc>
          <w:tcPr>
            <w:tcW w:type="dxa" w:w="3168"/>
            <w:vAlign w:val="top"/>
            <w:tcMar>
              <w:top w:w="80" w:type="dxa"/>
              <w:start w:w="80" w:type="dxa"/>
              <w:bottom w:w="80" w:type="dxa"/>
              <w:end w:w="80" w:type="dxa"/>
            </w:tcMar>
            <w:shd w:fill="1A73E8"/>
          </w:tcPr>
          <w:p>
            <w:pPr>
              <w:spacing w:after="0"/>
            </w:pPr>
            <w:r/>
            <w:r>
              <w:rPr>
                <w:rFonts w:ascii="Aptos" w:hAnsi="Aptos"/>
                <w:b/>
                <w:color w:val="FFFFFF"/>
                <w:sz w:val="15"/>
              </w:rPr>
              <w:t>Default approach</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When to use Autoclass</w:t>
            </w:r>
          </w:p>
        </w:tc>
        <w:tc>
          <w:tcPr>
            <w:tcW w:type="dxa" w:w="2304"/>
            <w:vAlign w:val="top"/>
            <w:tcMar>
              <w:top w:w="80" w:type="dxa"/>
              <w:start w:w="80" w:type="dxa"/>
              <w:bottom w:w="80" w:type="dxa"/>
              <w:end w:w="80" w:type="dxa"/>
            </w:tcMar>
            <w:shd w:fill="1A73E8"/>
          </w:tcPr>
          <w:p>
            <w:pPr>
              <w:spacing w:after="0"/>
            </w:pPr>
            <w:r/>
            <w:r>
              <w:rPr>
                <w:rFonts w:ascii="Aptos" w:hAnsi="Aptos"/>
                <w:b/>
                <w:color w:val="FFFFFF"/>
                <w:sz w:val="15"/>
              </w:rPr>
              <w:t>Mandatory checks</w:t>
            </w:r>
          </w:p>
        </w:tc>
      </w:tr>
      <w:tr>
        <w:tc>
          <w:tcPr>
            <w:tcW w:type="dxa" w:w="1728"/>
            <w:vAlign w:val="top"/>
            <w:tcMar>
              <w:top w:w="80" w:type="dxa"/>
              <w:start w:w="80" w:type="dxa"/>
              <w:bottom w:w="80" w:type="dxa"/>
              <w:end w:w="80" w:type="dxa"/>
            </w:tcMar>
          </w:tcPr>
          <w:p>
            <w:pPr>
              <w:spacing w:after="0"/>
            </w:pPr>
            <w:r/>
            <w:r>
              <w:rPr>
                <w:rFonts w:ascii="Aptos" w:hAnsi="Aptos"/>
                <w:b w:val="0"/>
                <w:sz w:val="15"/>
              </w:rPr>
              <w:t>Raw landing</w:t>
            </w:r>
          </w:p>
        </w:tc>
        <w:tc>
          <w:tcPr>
            <w:tcW w:type="dxa" w:w="3168"/>
            <w:vAlign w:val="top"/>
            <w:tcMar>
              <w:top w:w="80" w:type="dxa"/>
              <w:start w:w="80" w:type="dxa"/>
              <w:bottom w:w="80" w:type="dxa"/>
              <w:end w:w="80" w:type="dxa"/>
            </w:tcMar>
          </w:tcPr>
          <w:p>
            <w:pPr>
              <w:spacing w:after="0"/>
            </w:pPr>
            <w:r/>
            <w:r>
              <w:rPr>
                <w:rFonts w:ascii="Aptos" w:hAnsi="Aptos"/>
                <w:b w:val="0"/>
                <w:sz w:val="15"/>
              </w:rPr>
              <w:t>Standard during active ingestion and replay window</w:t>
            </w:r>
          </w:p>
        </w:tc>
        <w:tc>
          <w:tcPr>
            <w:tcW w:type="dxa" w:w="2880"/>
            <w:vAlign w:val="top"/>
            <w:tcMar>
              <w:top w:w="80" w:type="dxa"/>
              <w:start w:w="80" w:type="dxa"/>
              <w:bottom w:w="80" w:type="dxa"/>
              <w:end w:w="80" w:type="dxa"/>
            </w:tcMar>
          </w:tcPr>
          <w:p>
            <w:pPr>
              <w:spacing w:after="0"/>
            </w:pPr>
            <w:r/>
            <w:r>
              <w:rPr>
                <w:rFonts w:ascii="Aptos" w:hAnsi="Aptos"/>
                <w:b w:val="0"/>
                <w:sz w:val="15"/>
              </w:rPr>
              <w:t>when access is unpredictable over long retention</w:t>
            </w:r>
          </w:p>
        </w:tc>
        <w:tc>
          <w:tcPr>
            <w:tcW w:type="dxa" w:w="2304"/>
            <w:vAlign w:val="top"/>
            <w:tcMar>
              <w:top w:w="80" w:type="dxa"/>
              <w:start w:w="80" w:type="dxa"/>
              <w:bottom w:w="80" w:type="dxa"/>
              <w:end w:w="80" w:type="dxa"/>
            </w:tcMar>
          </w:tcPr>
          <w:p>
            <w:pPr>
              <w:spacing w:after="0"/>
            </w:pPr>
            <w:r/>
            <w:r>
              <w:rPr>
                <w:rFonts w:ascii="Aptos" w:hAnsi="Aptos"/>
                <w:b w:val="0"/>
                <w:sz w:val="15"/>
              </w:rPr>
              <w:t>replay SLO, operations and retrieval economics</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Immutable archive</w:t>
            </w:r>
          </w:p>
        </w:tc>
        <w:tc>
          <w:tcPr>
            <w:tcW w:type="dxa" w:w="3168"/>
            <w:vAlign w:val="top"/>
            <w:tcMar>
              <w:top w:w="80" w:type="dxa"/>
              <w:start w:w="80" w:type="dxa"/>
              <w:bottom w:w="80" w:type="dxa"/>
              <w:end w:w="80" w:type="dxa"/>
            </w:tcMar>
            <w:shd w:fill="F8F9FA"/>
          </w:tcPr>
          <w:p>
            <w:pPr>
              <w:spacing w:after="0"/>
            </w:pPr>
            <w:r/>
            <w:r>
              <w:rPr>
                <w:rFonts w:ascii="Aptos" w:hAnsi="Aptos"/>
                <w:b w:val="0"/>
                <w:sz w:val="15"/>
              </w:rPr>
              <w:t>explicit lifecycle to colder classes</w:t>
            </w:r>
          </w:p>
        </w:tc>
        <w:tc>
          <w:tcPr>
            <w:tcW w:type="dxa" w:w="2880"/>
            <w:vAlign w:val="top"/>
            <w:tcMar>
              <w:top w:w="80" w:type="dxa"/>
              <w:start w:w="80" w:type="dxa"/>
              <w:bottom w:w="80" w:type="dxa"/>
              <w:end w:w="80" w:type="dxa"/>
            </w:tcMar>
            <w:shd w:fill="F8F9FA"/>
          </w:tcPr>
          <w:p>
            <w:pPr>
              <w:spacing w:after="0"/>
            </w:pPr>
            <w:r/>
            <w:r>
              <w:rPr>
                <w:rFonts w:ascii="Aptos" w:hAnsi="Aptos"/>
                <w:b w:val="0"/>
                <w:sz w:val="15"/>
              </w:rPr>
              <w:t>when object access varies and automation is preferable</w:t>
            </w:r>
          </w:p>
        </w:tc>
        <w:tc>
          <w:tcPr>
            <w:tcW w:type="dxa" w:w="2304"/>
            <w:vAlign w:val="top"/>
            <w:tcMar>
              <w:top w:w="80" w:type="dxa"/>
              <w:start w:w="80" w:type="dxa"/>
              <w:bottom w:w="80" w:type="dxa"/>
              <w:end w:w="80" w:type="dxa"/>
            </w:tcMar>
            <w:shd w:fill="F8F9FA"/>
          </w:tcPr>
          <w:p>
            <w:pPr>
              <w:spacing w:after="0"/>
            </w:pPr>
            <w:r/>
            <w:r>
              <w:rPr>
                <w:rFonts w:ascii="Aptos" w:hAnsi="Aptos"/>
                <w:b w:val="0"/>
                <w:sz w:val="15"/>
              </w:rPr>
              <w:t>legal hold, retention lock, restore time</w:t>
            </w:r>
          </w:p>
        </w:tc>
      </w:tr>
      <w:tr>
        <w:tc>
          <w:tcPr>
            <w:tcW w:type="dxa" w:w="1728"/>
            <w:vAlign w:val="top"/>
            <w:tcMar>
              <w:top w:w="80" w:type="dxa"/>
              <w:start w:w="80" w:type="dxa"/>
              <w:bottom w:w="80" w:type="dxa"/>
              <w:end w:w="80" w:type="dxa"/>
            </w:tcMar>
          </w:tcPr>
          <w:p>
            <w:pPr>
              <w:spacing w:after="0"/>
            </w:pPr>
            <w:r/>
            <w:r>
              <w:rPr>
                <w:rFonts w:ascii="Aptos" w:hAnsi="Aptos"/>
                <w:b w:val="0"/>
                <w:sz w:val="15"/>
              </w:rPr>
              <w:t>Data science exchange</w:t>
            </w:r>
          </w:p>
        </w:tc>
        <w:tc>
          <w:tcPr>
            <w:tcW w:type="dxa" w:w="3168"/>
            <w:vAlign w:val="top"/>
            <w:tcMar>
              <w:top w:w="80" w:type="dxa"/>
              <w:start w:w="80" w:type="dxa"/>
              <w:bottom w:w="80" w:type="dxa"/>
              <w:end w:w="80" w:type="dxa"/>
            </w:tcMar>
          </w:tcPr>
          <w:p>
            <w:pPr>
              <w:spacing w:after="0"/>
            </w:pPr>
            <w:r/>
            <w:r>
              <w:rPr>
                <w:rFonts w:ascii="Aptos" w:hAnsi="Aptos"/>
                <w:b w:val="0"/>
                <w:sz w:val="15"/>
              </w:rPr>
              <w:t>short expiration and Standard</w:t>
            </w:r>
          </w:p>
        </w:tc>
        <w:tc>
          <w:tcPr>
            <w:tcW w:type="dxa" w:w="2880"/>
            <w:vAlign w:val="top"/>
            <w:tcMar>
              <w:top w:w="80" w:type="dxa"/>
              <w:start w:w="80" w:type="dxa"/>
              <w:bottom w:w="80" w:type="dxa"/>
              <w:end w:w="80" w:type="dxa"/>
            </w:tcMar>
          </w:tcPr>
          <w:p>
            <w:pPr>
              <w:spacing w:after="0"/>
            </w:pPr>
            <w:r/>
            <w:r>
              <w:rPr>
                <w:rFonts w:ascii="Aptos" w:hAnsi="Aptos"/>
                <w:b w:val="0"/>
                <w:sz w:val="15"/>
              </w:rPr>
              <w:t>rarely if short-lived</w:t>
            </w:r>
          </w:p>
        </w:tc>
        <w:tc>
          <w:tcPr>
            <w:tcW w:type="dxa" w:w="2304"/>
            <w:vAlign w:val="top"/>
            <w:tcMar>
              <w:top w:w="80" w:type="dxa"/>
              <w:start w:w="80" w:type="dxa"/>
              <w:bottom w:w="80" w:type="dxa"/>
              <w:end w:w="80" w:type="dxa"/>
            </w:tcMar>
          </w:tcPr>
          <w:p>
            <w:pPr>
              <w:spacing w:after="0"/>
            </w:pPr>
            <w:r/>
            <w:r>
              <w:rPr>
                <w:rFonts w:ascii="Aptos" w:hAnsi="Aptos"/>
                <w:b w:val="0"/>
                <w:sz w:val="15"/>
              </w:rPr>
              <w:t>expiration, owner and data classification</w:t>
            </w:r>
          </w:p>
        </w:tc>
      </w:tr>
      <w:tr>
        <w:tc>
          <w:tcPr>
            <w:tcW w:type="dxa" w:w="1728"/>
            <w:vAlign w:val="top"/>
            <w:tcMar>
              <w:top w:w="80" w:type="dxa"/>
              <w:start w:w="80" w:type="dxa"/>
              <w:bottom w:w="80" w:type="dxa"/>
              <w:end w:w="80" w:type="dxa"/>
            </w:tcMar>
            <w:shd w:fill="F8F9FA"/>
          </w:tcPr>
          <w:p>
            <w:pPr>
              <w:spacing w:after="0"/>
            </w:pPr>
            <w:r/>
            <w:r>
              <w:rPr>
                <w:rFonts w:ascii="Aptos" w:hAnsi="Aptos"/>
                <w:b w:val="0"/>
                <w:sz w:val="15"/>
              </w:rPr>
              <w:t>Regulatory evidence</w:t>
            </w:r>
          </w:p>
        </w:tc>
        <w:tc>
          <w:tcPr>
            <w:tcW w:type="dxa" w:w="3168"/>
            <w:vAlign w:val="top"/>
            <w:tcMar>
              <w:top w:w="80" w:type="dxa"/>
              <w:start w:w="80" w:type="dxa"/>
              <w:bottom w:w="80" w:type="dxa"/>
              <w:end w:w="80" w:type="dxa"/>
            </w:tcMar>
            <w:shd w:fill="F8F9FA"/>
          </w:tcPr>
          <w:p>
            <w:pPr>
              <w:spacing w:after="0"/>
            </w:pPr>
            <w:r/>
            <w:r>
              <w:rPr>
                <w:rFonts w:ascii="Aptos" w:hAnsi="Aptos"/>
                <w:b w:val="0"/>
                <w:sz w:val="15"/>
              </w:rPr>
              <w:t>policy-selected class and region</w:t>
            </w:r>
          </w:p>
        </w:tc>
        <w:tc>
          <w:tcPr>
            <w:tcW w:type="dxa" w:w="2880"/>
            <w:vAlign w:val="top"/>
            <w:tcMar>
              <w:top w:w="80" w:type="dxa"/>
              <w:start w:w="80" w:type="dxa"/>
              <w:bottom w:w="80" w:type="dxa"/>
              <w:end w:w="80" w:type="dxa"/>
            </w:tcMar>
            <w:shd w:fill="F8F9FA"/>
          </w:tcPr>
          <w:p>
            <w:pPr>
              <w:spacing w:after="0"/>
            </w:pPr>
            <w:r/>
            <w:r>
              <w:rPr>
                <w:rFonts w:ascii="Aptos" w:hAnsi="Aptos"/>
                <w:b w:val="0"/>
                <w:sz w:val="15"/>
              </w:rPr>
              <w:t>only with compliance approval</w:t>
            </w:r>
          </w:p>
        </w:tc>
        <w:tc>
          <w:tcPr>
            <w:tcW w:type="dxa" w:w="2304"/>
            <w:vAlign w:val="top"/>
            <w:tcMar>
              <w:top w:w="80" w:type="dxa"/>
              <w:start w:w="80" w:type="dxa"/>
              <w:bottom w:w="80" w:type="dxa"/>
              <w:end w:w="80" w:type="dxa"/>
            </w:tcMar>
            <w:shd w:fill="F8F9FA"/>
          </w:tcPr>
          <w:p>
            <w:pPr>
              <w:spacing w:after="0"/>
            </w:pPr>
            <w:r/>
            <w:r>
              <w:rPr>
                <w:rFonts w:ascii="Aptos" w:hAnsi="Aptos"/>
                <w:b w:val="0"/>
                <w:sz w:val="15"/>
              </w:rPr>
              <w:t>minimum retention, legal hold, retrieval test</w:t>
            </w:r>
          </w:p>
        </w:tc>
      </w:tr>
      <w:tr>
        <w:tc>
          <w:tcPr>
            <w:tcW w:type="dxa" w:w="1728"/>
            <w:vAlign w:val="top"/>
            <w:tcMar>
              <w:top w:w="80" w:type="dxa"/>
              <w:start w:w="80" w:type="dxa"/>
              <w:bottom w:w="80" w:type="dxa"/>
              <w:end w:w="80" w:type="dxa"/>
            </w:tcMar>
          </w:tcPr>
          <w:p>
            <w:pPr>
              <w:spacing w:after="0"/>
            </w:pPr>
            <w:r/>
            <w:r>
              <w:rPr>
                <w:rFonts w:ascii="Aptos" w:hAnsi="Aptos"/>
                <w:b w:val="0"/>
                <w:sz w:val="15"/>
              </w:rPr>
              <w:t>Small-file lake</w:t>
            </w:r>
          </w:p>
        </w:tc>
        <w:tc>
          <w:tcPr>
            <w:tcW w:type="dxa" w:w="3168"/>
            <w:vAlign w:val="top"/>
            <w:tcMar>
              <w:top w:w="80" w:type="dxa"/>
              <w:start w:w="80" w:type="dxa"/>
              <w:bottom w:w="80" w:type="dxa"/>
              <w:end w:w="80" w:type="dxa"/>
            </w:tcMar>
          </w:tcPr>
          <w:p>
            <w:pPr>
              <w:spacing w:after="0"/>
            </w:pPr>
            <w:r/>
            <w:r>
              <w:rPr>
                <w:rFonts w:ascii="Aptos" w:hAnsi="Aptos"/>
                <w:b w:val="0"/>
                <w:sz w:val="15"/>
              </w:rPr>
              <w:t>compact files before colder storage</w:t>
            </w:r>
          </w:p>
        </w:tc>
        <w:tc>
          <w:tcPr>
            <w:tcW w:type="dxa" w:w="2880"/>
            <w:vAlign w:val="top"/>
            <w:tcMar>
              <w:top w:w="80" w:type="dxa"/>
              <w:start w:w="80" w:type="dxa"/>
              <w:bottom w:w="80" w:type="dxa"/>
              <w:end w:w="80" w:type="dxa"/>
            </w:tcMar>
          </w:tcPr>
          <w:p>
            <w:pPr>
              <w:spacing w:after="0"/>
            </w:pPr>
            <w:r/>
            <w:r>
              <w:rPr>
                <w:rFonts w:ascii="Aptos" w:hAnsi="Aptos"/>
                <w:b w:val="0"/>
                <w:sz w:val="15"/>
              </w:rPr>
              <w:t>not a substitute for compaction</w:t>
            </w:r>
          </w:p>
        </w:tc>
        <w:tc>
          <w:tcPr>
            <w:tcW w:type="dxa" w:w="2304"/>
            <w:vAlign w:val="top"/>
            <w:tcMar>
              <w:top w:w="80" w:type="dxa"/>
              <w:start w:w="80" w:type="dxa"/>
              <w:bottom w:w="80" w:type="dxa"/>
              <w:end w:w="80" w:type="dxa"/>
            </w:tcMar>
          </w:tcPr>
          <w:p>
            <w:pPr>
              <w:spacing w:after="0"/>
            </w:pPr>
            <w:r/>
            <w:r>
              <w:rPr>
                <w:rFonts w:ascii="Aptos" w:hAnsi="Aptos"/>
                <w:b w:val="0"/>
                <w:sz w:val="15"/>
              </w:rPr>
              <w:t>operation count and query performance</w:t>
            </w:r>
          </w:p>
        </w:tc>
      </w:tr>
    </w:tbl>
    <w:p>
      <w:pPr>
        <w:pStyle w:val="ListBullet"/>
      </w:pPr>
      <w:r>
        <w:t>Lifecycle deletion is blocked by legal hold, regulatory retention, active investigation or recovery requirements.</w:t>
      </w:r>
    </w:p>
    <w:p>
      <w:pPr>
        <w:pStyle w:val="ListBullet"/>
      </w:pPr>
      <w:r>
        <w:t>Autoclass is evaluated for buckets with uncertain access patterns; explicit lifecycle is preferred when retention and access patterns are stable and auditable.</w:t>
      </w:r>
    </w:p>
    <w:p>
      <w:pPr>
        <w:pStyle w:val="ListBullet"/>
      </w:pPr>
      <w:r>
        <w:t>Cross-region and dual/multi-region choices are driven by resilience and data locality, with network and replication costs modeled explicitly.</w:t>
      </w:r>
    </w:p>
    <w:p>
      <w:pPr>
        <w:pStyle w:val="ListBullet"/>
      </w:pPr>
      <w:r>
        <w:t>Object inventory and access telemetry are reviewed before changing classes at scale.</w:t>
      </w:r>
    </w:p>
    <w:p>
      <w:pPr>
        <w:pStyle w:val="Heading1"/>
      </w:pPr>
      <w:r>
        <w:t>17. Dataflow Optimization</w:t>
      </w:r>
    </w:p>
    <w:p>
      <w:r>
        <w:t>Dataflow optimization focuses on worker resource time, shuffle, streaming service units, disk, network and pipeline duration. Managed autoscaling is the default, but pipelines must still be designed for efficient parallelism and bounded state.</w:t>
      </w:r>
    </w:p>
    <w:p>
      <w:pPr>
        <w:pStyle w:val="ListBullet"/>
      </w:pPr>
      <w:r>
        <w:t>Use autoscaling with tested minimum and maximum worker bounds; avoid fixed oversized fleets.</w:t>
      </w:r>
    </w:p>
    <w:p>
      <w:pPr>
        <w:pStyle w:val="ListBullet"/>
      </w:pPr>
      <w:r>
        <w:t>Use right fitting and resource hints where supported to apply expensive resources only to steps that need them.</w:t>
      </w:r>
    </w:p>
    <w:p>
      <w:pPr>
        <w:pStyle w:val="ListBullet"/>
      </w:pPr>
      <w:r>
        <w:t>Reduce unnecessary reshuffles, repeated serialization and hot-key bottlenecks.</w:t>
      </w:r>
    </w:p>
    <w:p>
      <w:pPr>
        <w:pStyle w:val="ListBullet"/>
      </w:pPr>
      <w:r>
        <w:t>Batch external writes and use efficient sink connectors to reduce per-record overhead.</w:t>
      </w:r>
    </w:p>
    <w:p>
      <w:pPr>
        <w:pStyle w:val="ListBullet"/>
      </w:pPr>
      <w:r>
        <w:t>Choose streaming versus micro-batch based on business latency, not fashion; persistent low-throughput streaming can have a higher unit cost.</w:t>
      </w:r>
    </w:p>
    <w:p>
      <w:pPr>
        <w:pStyle w:val="ListBullet"/>
      </w:pPr>
      <w:r>
        <w:t>Use Dataflow Insights, job metrics and profiling to create evidence-backed optimization actions.</w:t>
      </w:r>
    </w:p>
    <w:p>
      <w:pPr>
        <w:pStyle w:val="ListBullet"/>
      </w:pPr>
      <w:r>
        <w:t>Cancel orphaned or superseded jobs and apply owner, pipeline and product labels.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top"/>
            <w:tcMar>
              <w:top w:w="80" w:type="dxa"/>
              <w:start w:w="80" w:type="dxa"/>
              <w:bottom w:w="80" w:type="dxa"/>
              <w:end w:w="80" w:type="dxa"/>
            </w:tcMar>
            <w:shd w:fill="1A73E8"/>
          </w:tcPr>
          <w:p>
            <w:pPr>
              <w:spacing w:after="0"/>
            </w:pPr>
            <w:r/>
            <w:r>
              <w:rPr>
                <w:rFonts w:ascii="Aptos" w:hAnsi="Aptos"/>
                <w:b/>
                <w:color w:val="FFFFFF"/>
                <w:sz w:val="16"/>
              </w:rPr>
              <w:t>Metric</w:t>
            </w:r>
          </w:p>
        </w:tc>
        <w:tc>
          <w:tcPr>
            <w:tcW w:type="dxa" w:w="6336"/>
            <w:vAlign w:val="top"/>
            <w:tcMar>
              <w:top w:w="80" w:type="dxa"/>
              <w:start w:w="80" w:type="dxa"/>
              <w:bottom w:w="80" w:type="dxa"/>
              <w:end w:w="80" w:type="dxa"/>
            </w:tcMar>
            <w:shd w:fill="1A73E8"/>
          </w:tcPr>
          <w:p>
            <w:pPr>
              <w:spacing w:after="0"/>
            </w:pPr>
            <w:r/>
            <w:r>
              <w:rPr>
                <w:rFonts w:ascii="Aptos" w:hAnsi="Aptos"/>
                <w:b/>
                <w:color w:val="FFFFFF"/>
                <w:sz w:val="16"/>
              </w:rPr>
              <w:t>Use</w:t>
            </w:r>
          </w:p>
        </w:tc>
      </w:tr>
      <w:tr>
        <w:tc>
          <w:tcPr>
            <w:tcW w:type="dxa" w:w="2880"/>
            <w:vAlign w:val="top"/>
            <w:tcMar>
              <w:top w:w="80" w:type="dxa"/>
              <w:start w:w="80" w:type="dxa"/>
              <w:bottom w:w="80" w:type="dxa"/>
              <w:end w:w="80" w:type="dxa"/>
            </w:tcMar>
          </w:tcPr>
          <w:p>
            <w:pPr>
              <w:spacing w:after="0"/>
            </w:pPr>
            <w:r/>
            <w:r>
              <w:rPr>
                <w:rFonts w:ascii="Aptos" w:hAnsi="Aptos"/>
                <w:b w:val="0"/>
                <w:sz w:val="16"/>
              </w:rPr>
              <w:t>worker vCPU/memory time</w:t>
            </w:r>
          </w:p>
        </w:tc>
        <w:tc>
          <w:tcPr>
            <w:tcW w:type="dxa" w:w="6336"/>
            <w:vAlign w:val="top"/>
            <w:tcMar>
              <w:top w:w="80" w:type="dxa"/>
              <w:start w:w="80" w:type="dxa"/>
              <w:bottom w:w="80" w:type="dxa"/>
              <w:end w:w="80" w:type="dxa"/>
            </w:tcMar>
          </w:tcPr>
          <w:p>
            <w:pPr>
              <w:spacing w:after="0"/>
            </w:pPr>
            <w:r/>
            <w:r>
              <w:rPr>
                <w:rFonts w:ascii="Aptos" w:hAnsi="Aptos"/>
                <w:b w:val="0"/>
                <w:sz w:val="16"/>
              </w:rPr>
              <w:t>capacity and right-fitting</w:t>
            </w:r>
          </w:p>
        </w:tc>
      </w:tr>
      <w:tr>
        <w:tc>
          <w:tcPr>
            <w:tcW w:type="dxa" w:w="2880"/>
            <w:vAlign w:val="top"/>
            <w:tcMar>
              <w:top w:w="80" w:type="dxa"/>
              <w:start w:w="80" w:type="dxa"/>
              <w:bottom w:w="80" w:type="dxa"/>
              <w:end w:w="80" w:type="dxa"/>
            </w:tcMar>
            <w:shd w:fill="F8F9FA"/>
          </w:tcPr>
          <w:p>
            <w:pPr>
              <w:spacing w:after="0"/>
            </w:pPr>
            <w:r/>
            <w:r>
              <w:rPr>
                <w:rFonts w:ascii="Aptos" w:hAnsi="Aptos"/>
                <w:b w:val="0"/>
                <w:sz w:val="16"/>
              </w:rPr>
              <w:t>autoscaling range and utilization</w:t>
            </w:r>
          </w:p>
        </w:tc>
        <w:tc>
          <w:tcPr>
            <w:tcW w:type="dxa" w:w="6336"/>
            <w:vAlign w:val="top"/>
            <w:tcMar>
              <w:top w:w="80" w:type="dxa"/>
              <w:start w:w="80" w:type="dxa"/>
              <w:bottom w:w="80" w:type="dxa"/>
              <w:end w:w="80" w:type="dxa"/>
            </w:tcMar>
            <w:shd w:fill="F8F9FA"/>
          </w:tcPr>
          <w:p>
            <w:pPr>
              <w:spacing w:after="0"/>
            </w:pPr>
            <w:r/>
            <w:r>
              <w:rPr>
                <w:rFonts w:ascii="Aptos" w:hAnsi="Aptos"/>
                <w:b w:val="0"/>
                <w:sz w:val="16"/>
              </w:rPr>
              <w:t>over/under-provisioning</w:t>
            </w:r>
          </w:p>
        </w:tc>
      </w:tr>
      <w:tr>
        <w:tc>
          <w:tcPr>
            <w:tcW w:type="dxa" w:w="2880"/>
            <w:vAlign w:val="top"/>
            <w:tcMar>
              <w:top w:w="80" w:type="dxa"/>
              <w:start w:w="80" w:type="dxa"/>
              <w:bottom w:w="80" w:type="dxa"/>
              <w:end w:w="80" w:type="dxa"/>
            </w:tcMar>
          </w:tcPr>
          <w:p>
            <w:pPr>
              <w:spacing w:after="0"/>
            </w:pPr>
            <w:r/>
            <w:r>
              <w:rPr>
                <w:rFonts w:ascii="Aptos" w:hAnsi="Aptos"/>
                <w:b w:val="0"/>
                <w:sz w:val="16"/>
              </w:rPr>
              <w:t>shuffle and state size</w:t>
            </w:r>
          </w:p>
        </w:tc>
        <w:tc>
          <w:tcPr>
            <w:tcW w:type="dxa" w:w="6336"/>
            <w:vAlign w:val="top"/>
            <w:tcMar>
              <w:top w:w="80" w:type="dxa"/>
              <w:start w:w="80" w:type="dxa"/>
              <w:bottom w:w="80" w:type="dxa"/>
              <w:end w:w="80" w:type="dxa"/>
            </w:tcMar>
          </w:tcPr>
          <w:p>
            <w:pPr>
              <w:spacing w:after="0"/>
            </w:pPr>
            <w:r/>
            <w:r>
              <w:rPr>
                <w:rFonts w:ascii="Aptos" w:hAnsi="Aptos"/>
                <w:b w:val="0"/>
                <w:sz w:val="16"/>
              </w:rPr>
              <w:t>pipeline design</w:t>
            </w:r>
          </w:p>
        </w:tc>
      </w:tr>
      <w:tr>
        <w:tc>
          <w:tcPr>
            <w:tcW w:type="dxa" w:w="2880"/>
            <w:vAlign w:val="top"/>
            <w:tcMar>
              <w:top w:w="80" w:type="dxa"/>
              <w:start w:w="80" w:type="dxa"/>
              <w:bottom w:w="80" w:type="dxa"/>
              <w:end w:w="80" w:type="dxa"/>
            </w:tcMar>
            <w:shd w:fill="F8F9FA"/>
          </w:tcPr>
          <w:p>
            <w:pPr>
              <w:spacing w:after="0"/>
            </w:pPr>
            <w:r/>
            <w:r>
              <w:rPr>
                <w:rFonts w:ascii="Aptos" w:hAnsi="Aptos"/>
                <w:b w:val="0"/>
                <w:sz w:val="16"/>
              </w:rPr>
              <w:t>system lag and throughput</w:t>
            </w:r>
          </w:p>
        </w:tc>
        <w:tc>
          <w:tcPr>
            <w:tcW w:type="dxa" w:w="6336"/>
            <w:vAlign w:val="top"/>
            <w:tcMar>
              <w:top w:w="80" w:type="dxa"/>
              <w:start w:w="80" w:type="dxa"/>
              <w:bottom w:w="80" w:type="dxa"/>
              <w:end w:w="80" w:type="dxa"/>
            </w:tcMar>
            <w:shd w:fill="F8F9FA"/>
          </w:tcPr>
          <w:p>
            <w:pPr>
              <w:spacing w:after="0"/>
            </w:pPr>
            <w:r/>
            <w:r>
              <w:rPr>
                <w:rFonts w:ascii="Aptos" w:hAnsi="Aptos"/>
                <w:b w:val="0"/>
                <w:sz w:val="16"/>
              </w:rPr>
              <w:t>SLO versus resource tradeoff</w:t>
            </w:r>
          </w:p>
        </w:tc>
      </w:tr>
      <w:tr>
        <w:tc>
          <w:tcPr>
            <w:tcW w:type="dxa" w:w="2880"/>
            <w:vAlign w:val="top"/>
            <w:tcMar>
              <w:top w:w="80" w:type="dxa"/>
              <w:start w:w="80" w:type="dxa"/>
              <w:bottom w:w="80" w:type="dxa"/>
              <w:end w:w="80" w:type="dxa"/>
            </w:tcMar>
          </w:tcPr>
          <w:p>
            <w:pPr>
              <w:spacing w:after="0"/>
            </w:pPr>
            <w:r/>
            <w:r>
              <w:rPr>
                <w:rFonts w:ascii="Aptos" w:hAnsi="Aptos"/>
                <w:b w:val="0"/>
                <w:sz w:val="16"/>
              </w:rPr>
              <w:t>cost per processed TiB or million events</w:t>
            </w:r>
          </w:p>
        </w:tc>
        <w:tc>
          <w:tcPr>
            <w:tcW w:type="dxa" w:w="6336"/>
            <w:vAlign w:val="top"/>
            <w:tcMar>
              <w:top w:w="80" w:type="dxa"/>
              <w:start w:w="80" w:type="dxa"/>
              <w:bottom w:w="80" w:type="dxa"/>
              <w:end w:w="80" w:type="dxa"/>
            </w:tcMar>
          </w:tcPr>
          <w:p>
            <w:pPr>
              <w:spacing w:after="0"/>
            </w:pPr>
            <w:r/>
            <w:r>
              <w:rPr>
                <w:rFonts w:ascii="Aptos" w:hAnsi="Aptos"/>
                <w:b w:val="0"/>
                <w:sz w:val="16"/>
              </w:rPr>
              <w:t>unit economics</w:t>
            </w:r>
          </w:p>
        </w:tc>
      </w:tr>
      <w:tr>
        <w:tc>
          <w:tcPr>
            <w:tcW w:type="dxa" w:w="2880"/>
            <w:vAlign w:val="top"/>
            <w:tcMar>
              <w:top w:w="80" w:type="dxa"/>
              <w:start w:w="80" w:type="dxa"/>
              <w:bottom w:w="80" w:type="dxa"/>
              <w:end w:w="80" w:type="dxa"/>
            </w:tcMar>
            <w:shd w:fill="F8F9FA"/>
          </w:tcPr>
          <w:p>
            <w:pPr>
              <w:spacing w:after="0"/>
            </w:pPr>
            <w:r/>
            <w:r>
              <w:rPr>
                <w:rFonts w:ascii="Aptos" w:hAnsi="Aptos"/>
                <w:b w:val="0"/>
                <w:sz w:val="16"/>
              </w:rPr>
              <w:t>failed/retried work</w:t>
            </w:r>
          </w:p>
        </w:tc>
        <w:tc>
          <w:tcPr>
            <w:tcW w:type="dxa" w:w="6336"/>
            <w:vAlign w:val="top"/>
            <w:tcMar>
              <w:top w:w="80" w:type="dxa"/>
              <w:start w:w="80" w:type="dxa"/>
              <w:bottom w:w="80" w:type="dxa"/>
              <w:end w:w="80" w:type="dxa"/>
            </w:tcMar>
            <w:shd w:fill="F8F9FA"/>
          </w:tcPr>
          <w:p>
            <w:pPr>
              <w:spacing w:after="0"/>
            </w:pPr>
            <w:r/>
            <w:r>
              <w:rPr>
                <w:rFonts w:ascii="Aptos" w:hAnsi="Aptos"/>
                <w:b w:val="0"/>
                <w:sz w:val="16"/>
              </w:rPr>
              <w:t>waste and reliability</w:t>
            </w:r>
          </w:p>
        </w:tc>
      </w:tr>
    </w:tbl>
    <w:p>
      <w:pPr>
        <w:pStyle w:val="Heading1"/>
      </w:pPr>
      <w:r>
        <w:t>18. Dataproc Optimization</w:t>
      </w:r>
    </w:p>
    <w:p>
      <w:r>
        <w:t>Dataproc is selected for Spark and open-source compatibility where serverless or managed ephemeral execution meets requirements. Long-lived clusters require explicit justification.</w:t>
      </w:r>
    </w:p>
    <w:p>
      <w:pPr>
        <w:pStyle w:val="ListBullet"/>
      </w:pPr>
      <w:r>
        <w:t>Prefer Serverless for Apache Spark or ephemeral workflow clusters for bounded jobs when capability and startup behavior fit.</w:t>
      </w:r>
    </w:p>
    <w:p>
      <w:pPr>
        <w:pStyle w:val="ListBullet"/>
      </w:pPr>
      <w:r>
        <w:t>Use autoscaling policies for variable demand; validate executor memory, parallelism and shuffle behavior.</w:t>
      </w:r>
    </w:p>
    <w:p>
      <w:pPr>
        <w:pStyle w:val="ListBullet"/>
      </w:pPr>
      <w:r>
        <w:t>Stop or delete idle clusters through automation, and separate persistent state from compute.</w:t>
      </w:r>
    </w:p>
    <w:p>
      <w:pPr>
        <w:pStyle w:val="ListBullet"/>
      </w:pPr>
      <w:r>
        <w:t>Use appropriate machine families and accelerators only after profiling.</w:t>
      </w:r>
    </w:p>
    <w:p>
      <w:pPr>
        <w:pStyle w:val="ListBullet"/>
      </w:pPr>
      <w:r>
        <w:t>Compact small files and tune partition counts to reduce scheduler and storage-operation overhead.</w:t>
      </w:r>
    </w:p>
    <w:p>
      <w:pPr>
        <w:pStyle w:val="ListBullet"/>
      </w:pPr>
      <w:r>
        <w:t>Use preemptible/spot capacity only for retryable workloads with tested failure behavior and no deadline risk.</w:t>
      </w:r>
    </w:p>
    <w:p>
      <w:pPr>
        <w:pStyle w:val="ListBullet"/>
      </w:pPr>
      <w:r>
        <w:t>Allocate cost by batch, workflow, domain and product labels.</w:t>
      </w:r>
    </w:p>
    <w:p>
      <w:pPr>
        <w:pStyle w:val="Heading1"/>
      </w:pPr>
      <w:r>
        <w:t>19. Pub/Sub Optimization</w:t>
      </w:r>
    </w:p>
    <w:p>
      <w:r>
        <w:t>Pub/Sub economics are governed through message volume, operations, retention, snapshots, cross-region transfer and downstream subscriber behavior. Optimization must preserve delivery, replay and ordering requirements.</w:t>
      </w:r>
    </w:p>
    <w:p>
      <w:pPr>
        <w:pStyle w:val="ListBullet"/>
      </w:pPr>
      <w:r>
        <w:t>Batch publisher messages and acknowledgements within latency constraints.</w:t>
      </w:r>
    </w:p>
    <w:p>
      <w:pPr>
        <w:pStyle w:val="ListBullet"/>
      </w:pPr>
      <w:r>
        <w:t>Compress payloads only when end-to-end CPU, latency and compatibility evidence supports it.</w:t>
      </w:r>
    </w:p>
    <w:p>
      <w:pPr>
        <w:pStyle w:val="ListBullet"/>
      </w:pPr>
      <w:r>
        <w:t>Avoid sending unused large attributes or duplicated payloads; store large objects in Cloud Storage and publish references where appropriate.</w:t>
      </w:r>
    </w:p>
    <w:p>
      <w:pPr>
        <w:pStyle w:val="ListBullet"/>
      </w:pPr>
      <w:r>
        <w:t>Set message retention and snapshot duration from replay requirements and delete abandoned subscriptions.</w:t>
      </w:r>
    </w:p>
    <w:p>
      <w:pPr>
        <w:pStyle w:val="ListBullet"/>
      </w:pPr>
      <w:r>
        <w:t>Monitor undelivered message age and subscriber throughput so backlog does not create extended retention and downstream bursts.</w:t>
      </w:r>
    </w:p>
    <w:p>
      <w:pPr>
        <w:pStyle w:val="ListBullet"/>
      </w:pPr>
      <w:r>
        <w:t>Co-locate producers, topics and consumers where architecture permits to reduce avoidable transfer.</w:t>
      </w:r>
    </w:p>
    <w:p>
      <w:pPr>
        <w:pStyle w:val="ListBullet"/>
      </w:pPr>
      <w:r>
        <w:t>Allocate shared topic costs using message bytes or accepted events by producer/consumer.</w:t>
      </w:r>
    </w:p>
    <w:p>
      <w:pPr>
        <w:pStyle w:val="Heading1"/>
      </w:pPr>
      <w:r>
        <w:t>20. Network Cost Optimization</w:t>
      </w:r>
    </w:p>
    <w:p>
      <w:r>
        <w:t>Network cost is modeled from actual routes and SKUs, including internet egress, inter-region transfer, cross-cloud transfer, load balancing, Cloud NAT and replicated data flows. Security and residency controls override a purely cost-minimal route.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top"/>
            <w:tcMar>
              <w:top w:w="80" w:type="dxa"/>
              <w:start w:w="80" w:type="dxa"/>
              <w:bottom w:w="80" w:type="dxa"/>
              <w:end w:w="80" w:type="dxa"/>
            </w:tcMar>
            <w:shd w:fill="1A73E8"/>
          </w:tcPr>
          <w:p>
            <w:pPr>
              <w:spacing w:after="0"/>
            </w:pPr>
            <w:r/>
            <w:r>
              <w:rPr>
                <w:rFonts w:ascii="Aptos" w:hAnsi="Aptos"/>
                <w:b/>
                <w:color w:val="FFFFFF"/>
                <w:sz w:val="15"/>
              </w:rPr>
              <w:t>Scenario</w:t>
            </w:r>
          </w:p>
        </w:tc>
        <w:tc>
          <w:tcPr>
            <w:tcW w:type="dxa" w:w="4032"/>
            <w:vAlign w:val="top"/>
            <w:tcMar>
              <w:top w:w="80" w:type="dxa"/>
              <w:start w:w="80" w:type="dxa"/>
              <w:bottom w:w="80" w:type="dxa"/>
              <w:end w:w="80" w:type="dxa"/>
            </w:tcMar>
            <w:shd w:fill="1A73E8"/>
          </w:tcPr>
          <w:p>
            <w:pPr>
              <w:spacing w:after="0"/>
            </w:pPr>
            <w:r/>
            <w:r>
              <w:rPr>
                <w:rFonts w:ascii="Aptos" w:hAnsi="Aptos"/>
                <w:b/>
                <w:color w:val="FFFFFF"/>
                <w:sz w:val="15"/>
              </w:rPr>
              <w:t>Preferred pattern</w:t>
            </w:r>
          </w:p>
        </w:tc>
        <w:tc>
          <w:tcPr>
            <w:tcW w:type="dxa" w:w="3168"/>
            <w:vAlign w:val="top"/>
            <w:tcMar>
              <w:top w:w="80" w:type="dxa"/>
              <w:start w:w="80" w:type="dxa"/>
              <w:bottom w:w="80" w:type="dxa"/>
              <w:end w:w="80" w:type="dxa"/>
            </w:tcMar>
            <w:shd w:fill="1A73E8"/>
          </w:tcPr>
          <w:p>
            <w:pPr>
              <w:spacing w:after="0"/>
            </w:pPr>
            <w:r/>
            <w:r>
              <w:rPr>
                <w:rFonts w:ascii="Aptos" w:hAnsi="Aptos"/>
                <w:b/>
                <w:color w:val="FFFFFF"/>
                <w:sz w:val="15"/>
              </w:rPr>
              <w:t>Anti-pattern</w:t>
            </w:r>
          </w:p>
        </w:tc>
      </w:tr>
      <w:tr>
        <w:tc>
          <w:tcPr>
            <w:tcW w:type="dxa" w:w="2016"/>
            <w:vAlign w:val="top"/>
            <w:tcMar>
              <w:top w:w="80" w:type="dxa"/>
              <w:start w:w="80" w:type="dxa"/>
              <w:bottom w:w="80" w:type="dxa"/>
              <w:end w:w="80" w:type="dxa"/>
            </w:tcMar>
          </w:tcPr>
          <w:p>
            <w:pPr>
              <w:spacing w:after="0"/>
            </w:pPr>
            <w:r/>
            <w:r>
              <w:rPr>
                <w:rFonts w:ascii="Aptos" w:hAnsi="Aptos"/>
                <w:b w:val="0"/>
                <w:sz w:val="15"/>
              </w:rPr>
              <w:t>Regional analytics</w:t>
            </w:r>
          </w:p>
        </w:tc>
        <w:tc>
          <w:tcPr>
            <w:tcW w:type="dxa" w:w="4032"/>
            <w:vAlign w:val="top"/>
            <w:tcMar>
              <w:top w:w="80" w:type="dxa"/>
              <w:start w:w="80" w:type="dxa"/>
              <w:bottom w:w="80" w:type="dxa"/>
              <w:end w:w="80" w:type="dxa"/>
            </w:tcMar>
          </w:tcPr>
          <w:p>
            <w:pPr>
              <w:spacing w:after="0"/>
            </w:pPr>
            <w:r/>
            <w:r>
              <w:rPr>
                <w:rFonts w:ascii="Aptos" w:hAnsi="Aptos"/>
                <w:b w:val="0"/>
                <w:sz w:val="15"/>
              </w:rPr>
              <w:t>compute near governed data</w:t>
            </w:r>
          </w:p>
        </w:tc>
        <w:tc>
          <w:tcPr>
            <w:tcW w:type="dxa" w:w="3168"/>
            <w:vAlign w:val="top"/>
            <w:tcMar>
              <w:top w:w="80" w:type="dxa"/>
              <w:start w:w="80" w:type="dxa"/>
              <w:bottom w:w="80" w:type="dxa"/>
              <w:end w:w="80" w:type="dxa"/>
            </w:tcMar>
          </w:tcPr>
          <w:p>
            <w:pPr>
              <w:spacing w:after="0"/>
            </w:pPr>
            <w:r/>
            <w:r>
              <w:rPr>
                <w:rFonts w:ascii="Aptos" w:hAnsi="Aptos"/>
                <w:b w:val="0"/>
                <w:sz w:val="15"/>
              </w:rPr>
              <w:t>routine cross-region scans</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Cross-domain sharing</w:t>
            </w:r>
          </w:p>
        </w:tc>
        <w:tc>
          <w:tcPr>
            <w:tcW w:type="dxa" w:w="4032"/>
            <w:vAlign w:val="top"/>
            <w:tcMar>
              <w:top w:w="80" w:type="dxa"/>
              <w:start w:w="80" w:type="dxa"/>
              <w:bottom w:w="80" w:type="dxa"/>
              <w:end w:w="80" w:type="dxa"/>
            </w:tcMar>
            <w:shd w:fill="F8F9FA"/>
          </w:tcPr>
          <w:p>
            <w:pPr>
              <w:spacing w:after="0"/>
            </w:pPr>
            <w:r/>
            <w:r>
              <w:rPr>
                <w:rFonts w:ascii="Aptos" w:hAnsi="Aptos"/>
                <w:b w:val="0"/>
                <w:sz w:val="15"/>
              </w:rPr>
              <w:t>BigQuery sharing/authorized access where appropriate</w:t>
            </w:r>
          </w:p>
        </w:tc>
        <w:tc>
          <w:tcPr>
            <w:tcW w:type="dxa" w:w="3168"/>
            <w:vAlign w:val="top"/>
            <w:tcMar>
              <w:top w:w="80" w:type="dxa"/>
              <w:start w:w="80" w:type="dxa"/>
              <w:bottom w:w="80" w:type="dxa"/>
              <w:end w:w="80" w:type="dxa"/>
            </w:tcMar>
            <w:shd w:fill="F8F9FA"/>
          </w:tcPr>
          <w:p>
            <w:pPr>
              <w:spacing w:after="0"/>
            </w:pPr>
            <w:r/>
            <w:r>
              <w:rPr>
                <w:rFonts w:ascii="Aptos" w:hAnsi="Aptos"/>
                <w:b w:val="0"/>
                <w:sz w:val="15"/>
              </w:rPr>
              <w:t>duplicate exports to every consumer</w:t>
            </w:r>
          </w:p>
        </w:tc>
      </w:tr>
      <w:tr>
        <w:tc>
          <w:tcPr>
            <w:tcW w:type="dxa" w:w="2016"/>
            <w:vAlign w:val="top"/>
            <w:tcMar>
              <w:top w:w="80" w:type="dxa"/>
              <w:start w:w="80" w:type="dxa"/>
              <w:bottom w:w="80" w:type="dxa"/>
              <w:end w:w="80" w:type="dxa"/>
            </w:tcMar>
          </w:tcPr>
          <w:p>
            <w:pPr>
              <w:spacing w:after="0"/>
            </w:pPr>
            <w:r/>
            <w:r>
              <w:rPr>
                <w:rFonts w:ascii="Aptos" w:hAnsi="Aptos"/>
                <w:b w:val="0"/>
                <w:sz w:val="15"/>
              </w:rPr>
              <w:t>Hybrid ingestion</w:t>
            </w:r>
          </w:p>
        </w:tc>
        <w:tc>
          <w:tcPr>
            <w:tcW w:type="dxa" w:w="4032"/>
            <w:vAlign w:val="top"/>
            <w:tcMar>
              <w:top w:w="80" w:type="dxa"/>
              <w:start w:w="80" w:type="dxa"/>
              <w:bottom w:w="80" w:type="dxa"/>
              <w:end w:w="80" w:type="dxa"/>
            </w:tcMar>
          </w:tcPr>
          <w:p>
            <w:pPr>
              <w:spacing w:after="0"/>
            </w:pPr>
            <w:r/>
            <w:r>
              <w:rPr>
                <w:rFonts w:ascii="Aptos" w:hAnsi="Aptos"/>
                <w:b w:val="0"/>
                <w:sz w:val="15"/>
              </w:rPr>
              <w:t>compress/batch and use approved connectivity</w:t>
            </w:r>
          </w:p>
        </w:tc>
        <w:tc>
          <w:tcPr>
            <w:tcW w:type="dxa" w:w="3168"/>
            <w:vAlign w:val="top"/>
            <w:tcMar>
              <w:top w:w="80" w:type="dxa"/>
              <w:start w:w="80" w:type="dxa"/>
              <w:bottom w:w="80" w:type="dxa"/>
              <w:end w:w="80" w:type="dxa"/>
            </w:tcMar>
          </w:tcPr>
          <w:p>
            <w:pPr>
              <w:spacing w:after="0"/>
            </w:pPr>
            <w:r/>
            <w:r>
              <w:rPr>
                <w:rFonts w:ascii="Aptos" w:hAnsi="Aptos"/>
                <w:b w:val="0"/>
                <w:sz w:val="15"/>
              </w:rPr>
              <w:t>repeated full reloads over internet</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Multi-region resilience</w:t>
            </w:r>
          </w:p>
        </w:tc>
        <w:tc>
          <w:tcPr>
            <w:tcW w:type="dxa" w:w="4032"/>
            <w:vAlign w:val="top"/>
            <w:tcMar>
              <w:top w:w="80" w:type="dxa"/>
              <w:start w:w="80" w:type="dxa"/>
              <w:bottom w:w="80" w:type="dxa"/>
              <w:end w:w="80" w:type="dxa"/>
            </w:tcMar>
            <w:shd w:fill="F8F9FA"/>
          </w:tcPr>
          <w:p>
            <w:pPr>
              <w:spacing w:after="0"/>
            </w:pPr>
            <w:r/>
            <w:r>
              <w:rPr>
                <w:rFonts w:ascii="Aptos" w:hAnsi="Aptos"/>
                <w:b w:val="0"/>
                <w:sz w:val="15"/>
              </w:rPr>
              <w:t>replicate only critical products at required RPO</w:t>
            </w:r>
          </w:p>
        </w:tc>
        <w:tc>
          <w:tcPr>
            <w:tcW w:type="dxa" w:w="3168"/>
            <w:vAlign w:val="top"/>
            <w:tcMar>
              <w:top w:w="80" w:type="dxa"/>
              <w:start w:w="80" w:type="dxa"/>
              <w:bottom w:w="80" w:type="dxa"/>
              <w:end w:w="80" w:type="dxa"/>
            </w:tcMar>
            <w:shd w:fill="F8F9FA"/>
          </w:tcPr>
          <w:p>
            <w:pPr>
              <w:spacing w:after="0"/>
            </w:pPr>
            <w:r/>
            <w:r>
              <w:rPr>
                <w:rFonts w:ascii="Aptos" w:hAnsi="Aptos"/>
                <w:b w:val="0"/>
                <w:sz w:val="15"/>
              </w:rPr>
              <w:t>replicate all raw data without tiering</w:t>
            </w:r>
          </w:p>
        </w:tc>
      </w:tr>
      <w:tr>
        <w:tc>
          <w:tcPr>
            <w:tcW w:type="dxa" w:w="2016"/>
            <w:vAlign w:val="top"/>
            <w:tcMar>
              <w:top w:w="80" w:type="dxa"/>
              <w:start w:w="80" w:type="dxa"/>
              <w:bottom w:w="80" w:type="dxa"/>
              <w:end w:w="80" w:type="dxa"/>
            </w:tcMar>
          </w:tcPr>
          <w:p>
            <w:pPr>
              <w:spacing w:after="0"/>
            </w:pPr>
            <w:r/>
            <w:r>
              <w:rPr>
                <w:rFonts w:ascii="Aptos" w:hAnsi="Aptos"/>
                <w:b w:val="0"/>
                <w:sz w:val="15"/>
              </w:rPr>
              <w:t>AI retrieval</w:t>
            </w:r>
          </w:p>
        </w:tc>
        <w:tc>
          <w:tcPr>
            <w:tcW w:type="dxa" w:w="4032"/>
            <w:vAlign w:val="top"/>
            <w:tcMar>
              <w:top w:w="80" w:type="dxa"/>
              <w:start w:w="80" w:type="dxa"/>
              <w:bottom w:w="80" w:type="dxa"/>
              <w:end w:w="80" w:type="dxa"/>
            </w:tcMar>
          </w:tcPr>
          <w:p>
            <w:pPr>
              <w:spacing w:after="0"/>
            </w:pPr>
            <w:r/>
            <w:r>
              <w:rPr>
                <w:rFonts w:ascii="Aptos" w:hAnsi="Aptos"/>
                <w:b w:val="0"/>
                <w:sz w:val="15"/>
              </w:rPr>
              <w:t>regional retrieval and model path where supported</w:t>
            </w:r>
          </w:p>
        </w:tc>
        <w:tc>
          <w:tcPr>
            <w:tcW w:type="dxa" w:w="3168"/>
            <w:vAlign w:val="top"/>
            <w:tcMar>
              <w:top w:w="80" w:type="dxa"/>
              <w:start w:w="80" w:type="dxa"/>
              <w:bottom w:w="80" w:type="dxa"/>
              <w:end w:w="80" w:type="dxa"/>
            </w:tcMar>
          </w:tcPr>
          <w:p>
            <w:pPr>
              <w:spacing w:after="0"/>
            </w:pPr>
            <w:r/>
            <w:r>
              <w:rPr>
                <w:rFonts w:ascii="Aptos" w:hAnsi="Aptos"/>
                <w:b w:val="0"/>
                <w:sz w:val="15"/>
              </w:rPr>
              <w:t>cross-region vector/document round trips</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Observability export</w:t>
            </w:r>
          </w:p>
        </w:tc>
        <w:tc>
          <w:tcPr>
            <w:tcW w:type="dxa" w:w="4032"/>
            <w:vAlign w:val="top"/>
            <w:tcMar>
              <w:top w:w="80" w:type="dxa"/>
              <w:start w:w="80" w:type="dxa"/>
              <w:bottom w:w="80" w:type="dxa"/>
              <w:end w:w="80" w:type="dxa"/>
            </w:tcMar>
            <w:shd w:fill="F8F9FA"/>
          </w:tcPr>
          <w:p>
            <w:pPr>
              <w:spacing w:after="0"/>
            </w:pPr>
            <w:r/>
            <w:r>
              <w:rPr>
                <w:rFonts w:ascii="Aptos" w:hAnsi="Aptos"/>
                <w:b w:val="0"/>
                <w:sz w:val="15"/>
              </w:rPr>
              <w:t>aggregate and filter at source while preserving evidence</w:t>
            </w:r>
          </w:p>
        </w:tc>
        <w:tc>
          <w:tcPr>
            <w:tcW w:type="dxa" w:w="3168"/>
            <w:vAlign w:val="top"/>
            <w:tcMar>
              <w:top w:w="80" w:type="dxa"/>
              <w:start w:w="80" w:type="dxa"/>
              <w:bottom w:w="80" w:type="dxa"/>
              <w:end w:w="80" w:type="dxa"/>
            </w:tcMar>
            <w:shd w:fill="F8F9FA"/>
          </w:tcPr>
          <w:p>
            <w:pPr>
              <w:spacing w:after="0"/>
            </w:pPr>
            <w:r/>
            <w:r>
              <w:rPr>
                <w:rFonts w:ascii="Aptos" w:hAnsi="Aptos"/>
                <w:b w:val="0"/>
                <w:sz w:val="15"/>
              </w:rPr>
              <w:t>duplicate routing to multiple expensive destinations</w:t>
            </w:r>
          </w:p>
        </w:tc>
      </w:tr>
    </w:tbl>
    <w:p>
      <w:pPr>
        <w:pStyle w:val="Heading1"/>
      </w:pPr>
      <w:r>
        <w:t>21. Logging and Monitoring Cost Optimization</w:t>
      </w:r>
    </w:p>
    <w:p>
      <w:r>
        <w:t>Observability data is an operational control. Cost optimization starts with signal design, not blanket exclusion. Required audit, security and regulatory evidence is protected.</w:t>
      </w:r>
    </w:p>
    <w:p>
      <w:pPr>
        <w:pStyle w:val="Heading2"/>
      </w:pPr>
      <w:r>
        <w:t>21.1 Logging controls</w:t>
      </w:r>
    </w:p>
    <w:p>
      <w:pPr>
        <w:pStyle w:val="ListBullet"/>
      </w:pPr>
      <w:r>
        <w:t>Classify logs as mandatory evidence, operationally critical, diagnostic, high-volume informational or disposable noise.</w:t>
      </w:r>
    </w:p>
    <w:p>
      <w:pPr>
        <w:pStyle w:val="ListBullet"/>
      </w:pPr>
      <w:r>
        <w:t>Use aggregated sinks carefully; avoid storing duplicate copies unless a documented consumer or control requires them.</w:t>
      </w:r>
    </w:p>
    <w:p>
      <w:pPr>
        <w:pStyle w:val="ListBullet"/>
      </w:pPr>
      <w:r>
        <w:t>Use inclusion/exclusion filters for approved low-value noise such as repetitive health checks, with negative tests for required logs.</w:t>
      </w:r>
    </w:p>
    <w:p>
      <w:pPr>
        <w:pStyle w:val="ListBullet"/>
      </w:pPr>
      <w:r>
        <w:t>Apply custom retention by log class; route long-term audit evidence to approved storage when retrieval and compliance patterns support it.</w:t>
      </w:r>
    </w:p>
    <w:p>
      <w:pPr>
        <w:pStyle w:val="ListBullet"/>
      </w:pPr>
      <w:r>
        <w:t>Prevent sensitive payloads and high-cardinality debug context from being logged by default.</w:t>
      </w:r>
    </w:p>
    <w:p>
      <w:pPr>
        <w:pStyle w:val="ListBullet"/>
      </w:pPr>
      <w:r>
        <w:t>Review log bucket ingestion, retention and query usage monthly.</w:t>
      </w:r>
    </w:p>
    <w:p>
      <w:pPr>
        <w:pStyle w:val="Heading2"/>
      </w:pPr>
      <w:r>
        <w:t>21.2 Monitoring controls</w:t>
      </w:r>
    </w:p>
    <w:p>
      <w:pPr>
        <w:pStyle w:val="ListBullet"/>
      </w:pPr>
      <w:r>
        <w:t>Control custom metric and label cardinality; do not create unbounded labels such as user ID or request ID.</w:t>
      </w:r>
    </w:p>
    <w:p>
      <w:pPr>
        <w:pStyle w:val="ListBullet"/>
      </w:pPr>
      <w:r>
        <w:t>Collect metrics required for SLOs, security, capacity and cost decisions; remove unused duplicate agents and dashboards.</w:t>
      </w:r>
    </w:p>
    <w:p>
      <w:pPr>
        <w:pStyle w:val="ListBullet"/>
      </w:pPr>
      <w:r>
        <w:t>Use log-based metrics selectively and test their value against direct metrics.</w:t>
      </w:r>
    </w:p>
    <w:p>
      <w:pPr>
        <w:pStyle w:val="ListBullet"/>
      </w:pPr>
      <w:r>
        <w:t>Align metric scopes and collection projects to the operating model without unnecessary duplication.</w:t>
      </w:r>
    </w:p>
    <w:p>
      <w:pPr>
        <w:pStyle w:val="ListBullet"/>
      </w:pPr>
      <w:r>
        <w:t>Monitor observability cost per active product and per incident detected.</w:t>
      </w:r>
    </w:p>
    <w:p>
      <w:pPr>
        <w:pStyle w:val="Heading1"/>
      </w:pPr>
      <w:r>
        <w:t>22. Vertex AI and Gemini Cost Optimization</w:t>
      </w:r>
    </w:p>
    <w:p>
      <w:r>
        <w:t>AI cost is governed across training, tuning, endpoints, batch prediction, embeddings, vector retrieval, model calls, prompt/context tokens, output tokens, caching, agent loops and evaluation. The primary economic metric is cost per successful, safe and accepted task.</w:t>
      </w:r>
    </w:p>
    <w:p>
      <w:pPr>
        <w:jc w:val="center"/>
      </w:pPr>
      <w:r>
        <w:drawing>
          <wp:inline xmlns:a="http://schemas.openxmlformats.org/drawingml/2006/main" xmlns:pic="http://schemas.openxmlformats.org/drawingml/2006/picture">
            <wp:extent cx="6126480" cy="432622"/>
            <wp:docPr id="5" name="Picture 5" descr="Image: image5.png"/>
            <wp:cNvGraphicFramePr>
              <a:graphicFrameLocks noChangeAspect="1"/>
            </wp:cNvGraphicFramePr>
            <a:graphic>
              <a:graphicData uri="http://schemas.openxmlformats.org/drawingml/2006/picture">
                <pic:pic>
                  <pic:nvPicPr>
                    <pic:cNvPr id="0" name="ai_cost_control.png"/>
                    <pic:cNvPicPr/>
                  </pic:nvPicPr>
                  <pic:blipFill>
                    <a:blip r:embed="rId15"/>
                    <a:stretch>
                      <a:fillRect/>
                    </a:stretch>
                  </pic:blipFill>
                  <pic:spPr>
                    <a:xfrm>
                      <a:off x="0" y="0"/>
                      <a:ext cx="6126480" cy="432622"/>
                    </a:xfrm>
                    <a:prstGeom prst="rect"/>
                  </pic:spPr>
                </pic:pic>
              </a:graphicData>
            </a:graphic>
          </wp:inline>
        </w:drawing>
      </w:r>
    </w:p>
    <w:p>
      <w:pPr>
        <w:pStyle w:val="Small"/>
        <w:jc w:val="center"/>
      </w:pPr>
      <w:r>
        <w:rPr>
          <w:i/>
        </w:rPr>
        <w:t>Figure 5 - Quality-adjusted Vertex AI and Gemini cost-control loop</w:t>
      </w:r>
    </w:p>
    <w:p>
      <w:pPr>
        <w:pStyle w:val="Heading2"/>
      </w:pPr>
      <w:r>
        <w:t>22.1 Model and endpoint optimization</w:t>
      </w:r>
    </w:p>
    <w:p>
      <w:pPr>
        <w:pStyle w:val="ListBullet"/>
      </w:pPr>
      <w:r>
        <w:t>Route requests to the smallest approved model that meets measured quality, safety, latency and language requirements.</w:t>
      </w:r>
    </w:p>
    <w:p>
      <w:pPr>
        <w:pStyle w:val="ListBullet"/>
      </w:pPr>
      <w:r>
        <w:t>Use batch prediction for noninteractive workloads and online endpoints only when latency requires them.</w:t>
      </w:r>
    </w:p>
    <w:p>
      <w:pPr>
        <w:pStyle w:val="ListBullet"/>
      </w:pPr>
      <w:r>
        <w:t>Scale endpoints to measured demand and remove stale deployments, experiments, notebooks and accelerators.</w:t>
      </w:r>
    </w:p>
    <w:p>
      <w:pPr>
        <w:pStyle w:val="ListBullet"/>
      </w:pPr>
      <w:r>
        <w:t>Use accelerators only after profiling and with quota, idle and schedule controls.</w:t>
      </w:r>
    </w:p>
    <w:p>
      <w:pPr>
        <w:pStyle w:val="ListBullet"/>
      </w:pPr>
      <w:r>
        <w:t>Meter embeddings and re-embedding; avoid full-corpus rebuilds when incremental indexing is valid.</w:t>
      </w:r>
    </w:p>
    <w:p>
      <w:pPr>
        <w:pStyle w:val="ListBullet"/>
      </w:pPr>
      <w:r>
        <w:t>Allocate cost to AI application, model alias, environment, product and accepted business task.</w:t>
      </w:r>
    </w:p>
    <w:p>
      <w:pPr>
        <w:pStyle w:val="Heading2"/>
      </w:pPr>
      <w:r>
        <w:t>22.2 Gemini token optimization</w:t>
      </w:r>
    </w:p>
    <w:p>
      <w:pPr>
        <w:pStyle w:val="ListBullet"/>
      </w:pPr>
      <w:r>
        <w:t>Count or estimate tokens before requests where the current API supports it, and use response usage metadata as the billing-accurate runtime record.</w:t>
      </w:r>
    </w:p>
    <w:p>
      <w:pPr>
        <w:pStyle w:val="ListBullet"/>
      </w:pPr>
      <w:r>
        <w:t>Limit system, user and retrieved context to information required for the task; deduplicate retrieved chunks.</w:t>
      </w:r>
    </w:p>
    <w:p>
      <w:pPr>
        <w:pStyle w:val="ListBullet"/>
      </w:pPr>
      <w:r>
        <w:t>Use retrieval filters, reranking and top-k tuning to improve evidence density rather than sending broad context.</w:t>
      </w:r>
    </w:p>
    <w:p>
      <w:pPr>
        <w:pStyle w:val="ListBullet"/>
      </w:pPr>
      <w:r>
        <w:t>Use context caching only where repeated context, privacy, invalidation and current economics justify it.</w:t>
      </w:r>
    </w:p>
    <w:p>
      <w:pPr>
        <w:pStyle w:val="ListBullet"/>
      </w:pPr>
      <w:r>
        <w:t>Bound output length, retries, tool calls and agent turns; detect loops and require approval for expensive tool paths.</w:t>
      </w:r>
    </w:p>
    <w:p>
      <w:pPr>
        <w:pStyle w:val="ListBullet"/>
      </w:pPr>
      <w:r>
        <w:t>Use optimized bulk AI functions or batching where current product capabilities support the use case.</w:t>
      </w:r>
    </w:p>
    <w:p>
      <w:pPr>
        <w:pStyle w:val="ListBullet"/>
      </w:pPr>
      <w:r>
        <w:t>Track prompt version, model alias, retrieval version, token usage, outcome, latency and allocated cost without logging sensitive prompts.</w:t>
      </w:r>
    </w:p>
    <w:p>
      <w:pPr>
        <w:pStyle w:val="Heading1"/>
      </w:pPr>
      <w:r>
        <w:t>23. Idle-Resource and Commitment Planning</w:t>
      </w:r>
    </w:p>
    <w:p>
      <w:r>
        <w:t>Idle-resource management identifies resources with no approved utilization or business purpose. Standby capacity required for SLO or DR is not classified as waste when documented.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vAlign w:val="top"/>
            <w:tcMar>
              <w:top w:w="80" w:type="dxa"/>
              <w:start w:w="80" w:type="dxa"/>
              <w:bottom w:w="80" w:type="dxa"/>
              <w:end w:w="80" w:type="dxa"/>
            </w:tcMar>
            <w:shd w:fill="1A73E8"/>
          </w:tcPr>
          <w:p>
            <w:pPr>
              <w:spacing w:after="0"/>
            </w:pPr>
            <w:r/>
            <w:r>
              <w:rPr>
                <w:rFonts w:ascii="Aptos" w:hAnsi="Aptos"/>
                <w:b/>
                <w:color w:val="FFFFFF"/>
                <w:sz w:val="15"/>
              </w:rPr>
              <w:t>Resource</w:t>
            </w:r>
          </w:p>
        </w:tc>
        <w:tc>
          <w:tcPr>
            <w:tcW w:type="dxa" w:w="2880"/>
            <w:vAlign w:val="top"/>
            <w:tcMar>
              <w:top w:w="80" w:type="dxa"/>
              <w:start w:w="80" w:type="dxa"/>
              <w:bottom w:w="80" w:type="dxa"/>
              <w:end w:w="80" w:type="dxa"/>
            </w:tcMar>
            <w:shd w:fill="1A73E8"/>
          </w:tcPr>
          <w:p>
            <w:pPr>
              <w:spacing w:after="0"/>
            </w:pPr>
            <w:r/>
            <w:r>
              <w:rPr>
                <w:rFonts w:ascii="Aptos" w:hAnsi="Aptos"/>
                <w:b/>
                <w:color w:val="FFFFFF"/>
                <w:sz w:val="15"/>
              </w:rPr>
              <w:t>Idle signal</w:t>
            </w:r>
          </w:p>
        </w:tc>
        <w:tc>
          <w:tcPr>
            <w:tcW w:type="dxa" w:w="2736"/>
            <w:vAlign w:val="top"/>
            <w:tcMar>
              <w:top w:w="80" w:type="dxa"/>
              <w:start w:w="80" w:type="dxa"/>
              <w:bottom w:w="80" w:type="dxa"/>
              <w:end w:w="80" w:type="dxa"/>
            </w:tcMar>
            <w:shd w:fill="1A73E8"/>
          </w:tcPr>
          <w:p>
            <w:pPr>
              <w:spacing w:after="0"/>
            </w:pPr>
            <w:r/>
            <w:r>
              <w:rPr>
                <w:rFonts w:ascii="Aptos" w:hAnsi="Aptos"/>
                <w:b/>
                <w:color w:val="FFFFFF"/>
                <w:sz w:val="15"/>
              </w:rPr>
              <w:t>Default action</w:t>
            </w:r>
          </w:p>
        </w:tc>
        <w:tc>
          <w:tcPr>
            <w:tcW w:type="dxa" w:w="2160"/>
            <w:vAlign w:val="top"/>
            <w:tcMar>
              <w:top w:w="80" w:type="dxa"/>
              <w:start w:w="80" w:type="dxa"/>
              <w:bottom w:w="80" w:type="dxa"/>
              <w:end w:w="80" w:type="dxa"/>
            </w:tcMar>
            <w:shd w:fill="1A73E8"/>
          </w:tcPr>
          <w:p>
            <w:pPr>
              <w:spacing w:after="0"/>
            </w:pPr>
            <w:r/>
            <w:r>
              <w:rPr>
                <w:rFonts w:ascii="Aptos" w:hAnsi="Aptos"/>
                <w:b/>
                <w:color w:val="FFFFFF"/>
                <w:sz w:val="15"/>
              </w:rPr>
              <w:t>Exception evidence</w:t>
            </w:r>
          </w:p>
        </w:tc>
      </w:tr>
      <w:tr>
        <w:tc>
          <w:tcPr>
            <w:tcW w:type="dxa" w:w="2016"/>
            <w:vAlign w:val="top"/>
            <w:tcMar>
              <w:top w:w="80" w:type="dxa"/>
              <w:start w:w="80" w:type="dxa"/>
              <w:bottom w:w="80" w:type="dxa"/>
              <w:end w:w="80" w:type="dxa"/>
            </w:tcMar>
          </w:tcPr>
          <w:p>
            <w:pPr>
              <w:spacing w:after="0"/>
            </w:pPr>
            <w:r/>
            <w:r>
              <w:rPr>
                <w:rFonts w:ascii="Aptos" w:hAnsi="Aptos"/>
                <w:b w:val="0"/>
                <w:sz w:val="15"/>
              </w:rPr>
              <w:t>BigQuery reservation baseline</w:t>
            </w:r>
          </w:p>
        </w:tc>
        <w:tc>
          <w:tcPr>
            <w:tcW w:type="dxa" w:w="2880"/>
            <w:vAlign w:val="top"/>
            <w:tcMar>
              <w:top w:w="80" w:type="dxa"/>
              <w:start w:w="80" w:type="dxa"/>
              <w:bottom w:w="80" w:type="dxa"/>
              <w:end w:w="80" w:type="dxa"/>
            </w:tcMar>
          </w:tcPr>
          <w:p>
            <w:pPr>
              <w:spacing w:after="0"/>
            </w:pPr>
            <w:r/>
            <w:r>
              <w:rPr>
                <w:rFonts w:ascii="Aptos" w:hAnsi="Aptos"/>
                <w:b w:val="0"/>
                <w:sz w:val="15"/>
              </w:rPr>
              <w:t>sustained low slot use and no SLO need</w:t>
            </w:r>
          </w:p>
        </w:tc>
        <w:tc>
          <w:tcPr>
            <w:tcW w:type="dxa" w:w="2736"/>
            <w:vAlign w:val="top"/>
            <w:tcMar>
              <w:top w:w="80" w:type="dxa"/>
              <w:start w:w="80" w:type="dxa"/>
              <w:bottom w:w="80" w:type="dxa"/>
              <w:end w:w="80" w:type="dxa"/>
            </w:tcMar>
          </w:tcPr>
          <w:p>
            <w:pPr>
              <w:spacing w:after="0"/>
            </w:pPr>
            <w:r/>
            <w:r>
              <w:rPr>
                <w:rFonts w:ascii="Aptos" w:hAnsi="Aptos"/>
                <w:b w:val="0"/>
                <w:sz w:val="15"/>
              </w:rPr>
              <w:t>reduce baseline or reassign; keep autoscale</w:t>
            </w:r>
          </w:p>
        </w:tc>
        <w:tc>
          <w:tcPr>
            <w:tcW w:type="dxa" w:w="2160"/>
            <w:vAlign w:val="top"/>
            <w:tcMar>
              <w:top w:w="80" w:type="dxa"/>
              <w:start w:w="80" w:type="dxa"/>
              <w:bottom w:w="80" w:type="dxa"/>
              <w:end w:w="80" w:type="dxa"/>
            </w:tcMar>
          </w:tcPr>
          <w:p>
            <w:pPr>
              <w:spacing w:after="0"/>
            </w:pPr>
            <w:r/>
            <w:r>
              <w:rPr>
                <w:rFonts w:ascii="Aptos" w:hAnsi="Aptos"/>
                <w:b w:val="0"/>
                <w:sz w:val="15"/>
              </w:rPr>
              <w:t>peak test and protected workload</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Dataproc cluster</w:t>
            </w:r>
          </w:p>
        </w:tc>
        <w:tc>
          <w:tcPr>
            <w:tcW w:type="dxa" w:w="2880"/>
            <w:vAlign w:val="top"/>
            <w:tcMar>
              <w:top w:w="80" w:type="dxa"/>
              <w:start w:w="80" w:type="dxa"/>
              <w:bottom w:w="80" w:type="dxa"/>
              <w:end w:w="80" w:type="dxa"/>
            </w:tcMar>
            <w:shd w:fill="F8F9FA"/>
          </w:tcPr>
          <w:p>
            <w:pPr>
              <w:spacing w:after="0"/>
            </w:pPr>
            <w:r/>
            <w:r>
              <w:rPr>
                <w:rFonts w:ascii="Aptos" w:hAnsi="Aptos"/>
                <w:b w:val="0"/>
                <w:sz w:val="15"/>
              </w:rPr>
              <w:t>no jobs and low utilization</w:t>
            </w:r>
          </w:p>
        </w:tc>
        <w:tc>
          <w:tcPr>
            <w:tcW w:type="dxa" w:w="2736"/>
            <w:vAlign w:val="top"/>
            <w:tcMar>
              <w:top w:w="80" w:type="dxa"/>
              <w:start w:w="80" w:type="dxa"/>
              <w:bottom w:w="80" w:type="dxa"/>
              <w:end w:w="80" w:type="dxa"/>
            </w:tcMar>
            <w:shd w:fill="F8F9FA"/>
          </w:tcPr>
          <w:p>
            <w:pPr>
              <w:spacing w:after="0"/>
            </w:pPr>
            <w:r/>
            <w:r>
              <w:rPr>
                <w:rFonts w:ascii="Aptos" w:hAnsi="Aptos"/>
                <w:b w:val="0"/>
                <w:sz w:val="15"/>
              </w:rPr>
              <w:t>stop/delete and use ephemeral pattern</w:t>
            </w:r>
          </w:p>
        </w:tc>
        <w:tc>
          <w:tcPr>
            <w:tcW w:type="dxa" w:w="2160"/>
            <w:vAlign w:val="top"/>
            <w:tcMar>
              <w:top w:w="80" w:type="dxa"/>
              <w:start w:w="80" w:type="dxa"/>
              <w:bottom w:w="80" w:type="dxa"/>
              <w:end w:w="80" w:type="dxa"/>
            </w:tcMar>
            <w:shd w:fill="F8F9FA"/>
          </w:tcPr>
          <w:p>
            <w:pPr>
              <w:spacing w:after="0"/>
            </w:pPr>
            <w:r/>
            <w:r>
              <w:rPr>
                <w:rFonts w:ascii="Aptos" w:hAnsi="Aptos"/>
                <w:b w:val="0"/>
                <w:sz w:val="15"/>
              </w:rPr>
              <w:t>persistent compatibility requirement</w:t>
            </w:r>
          </w:p>
        </w:tc>
      </w:tr>
      <w:tr>
        <w:tc>
          <w:tcPr>
            <w:tcW w:type="dxa" w:w="2016"/>
            <w:vAlign w:val="top"/>
            <w:tcMar>
              <w:top w:w="80" w:type="dxa"/>
              <w:start w:w="80" w:type="dxa"/>
              <w:bottom w:w="80" w:type="dxa"/>
              <w:end w:w="80" w:type="dxa"/>
            </w:tcMar>
          </w:tcPr>
          <w:p>
            <w:pPr>
              <w:spacing w:after="0"/>
            </w:pPr>
            <w:r/>
            <w:r>
              <w:rPr>
                <w:rFonts w:ascii="Aptos" w:hAnsi="Aptos"/>
                <w:b w:val="0"/>
                <w:sz w:val="15"/>
              </w:rPr>
              <w:t>Vertex AI endpoint</w:t>
            </w:r>
          </w:p>
        </w:tc>
        <w:tc>
          <w:tcPr>
            <w:tcW w:type="dxa" w:w="2880"/>
            <w:vAlign w:val="top"/>
            <w:tcMar>
              <w:top w:w="80" w:type="dxa"/>
              <w:start w:w="80" w:type="dxa"/>
              <w:bottom w:w="80" w:type="dxa"/>
              <w:end w:w="80" w:type="dxa"/>
            </w:tcMar>
          </w:tcPr>
          <w:p>
            <w:pPr>
              <w:spacing w:after="0"/>
            </w:pPr>
            <w:r/>
            <w:r>
              <w:rPr>
                <w:rFonts w:ascii="Aptos" w:hAnsi="Aptos"/>
                <w:b w:val="0"/>
                <w:sz w:val="15"/>
              </w:rPr>
              <w:t>no/low predictions</w:t>
            </w:r>
          </w:p>
        </w:tc>
        <w:tc>
          <w:tcPr>
            <w:tcW w:type="dxa" w:w="2736"/>
            <w:vAlign w:val="top"/>
            <w:tcMar>
              <w:top w:w="80" w:type="dxa"/>
              <w:start w:w="80" w:type="dxa"/>
              <w:bottom w:w="80" w:type="dxa"/>
              <w:end w:w="80" w:type="dxa"/>
            </w:tcMar>
          </w:tcPr>
          <w:p>
            <w:pPr>
              <w:spacing w:after="0"/>
            </w:pPr>
            <w:r/>
            <w:r>
              <w:rPr>
                <w:rFonts w:ascii="Aptos" w:hAnsi="Aptos"/>
                <w:b w:val="0"/>
                <w:sz w:val="15"/>
              </w:rPr>
              <w:t>scale down or undeploy</w:t>
            </w:r>
          </w:p>
        </w:tc>
        <w:tc>
          <w:tcPr>
            <w:tcW w:type="dxa" w:w="2160"/>
            <w:vAlign w:val="top"/>
            <w:tcMar>
              <w:top w:w="80" w:type="dxa"/>
              <w:start w:w="80" w:type="dxa"/>
              <w:bottom w:w="80" w:type="dxa"/>
              <w:end w:w="80" w:type="dxa"/>
            </w:tcMar>
          </w:tcPr>
          <w:p>
            <w:pPr>
              <w:spacing w:after="0"/>
            </w:pPr>
            <w:r/>
            <w:r>
              <w:rPr>
                <w:rFonts w:ascii="Aptos" w:hAnsi="Aptos"/>
                <w:b w:val="0"/>
                <w:sz w:val="15"/>
              </w:rPr>
              <w:t>latency or standby requirement</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Cloud Storage bucket</w:t>
            </w:r>
          </w:p>
        </w:tc>
        <w:tc>
          <w:tcPr>
            <w:tcW w:type="dxa" w:w="2880"/>
            <w:vAlign w:val="top"/>
            <w:tcMar>
              <w:top w:w="80" w:type="dxa"/>
              <w:start w:w="80" w:type="dxa"/>
              <w:bottom w:w="80" w:type="dxa"/>
              <w:end w:w="80" w:type="dxa"/>
            </w:tcMar>
            <w:shd w:fill="F8F9FA"/>
          </w:tcPr>
          <w:p>
            <w:pPr>
              <w:spacing w:after="0"/>
            </w:pPr>
            <w:r/>
            <w:r>
              <w:rPr>
                <w:rFonts w:ascii="Aptos" w:hAnsi="Aptos"/>
                <w:b w:val="0"/>
                <w:sz w:val="15"/>
              </w:rPr>
              <w:t>no owner or expired data</w:t>
            </w:r>
          </w:p>
        </w:tc>
        <w:tc>
          <w:tcPr>
            <w:tcW w:type="dxa" w:w="2736"/>
            <w:vAlign w:val="top"/>
            <w:tcMar>
              <w:top w:w="80" w:type="dxa"/>
              <w:start w:w="80" w:type="dxa"/>
              <w:bottom w:w="80" w:type="dxa"/>
              <w:end w:w="80" w:type="dxa"/>
            </w:tcMar>
            <w:shd w:fill="F8F9FA"/>
          </w:tcPr>
          <w:p>
            <w:pPr>
              <w:spacing w:after="0"/>
            </w:pPr>
            <w:r/>
            <w:r>
              <w:rPr>
                <w:rFonts w:ascii="Aptos" w:hAnsi="Aptos"/>
                <w:b w:val="0"/>
                <w:sz w:val="15"/>
              </w:rPr>
              <w:t>owner review, lifecycle or deletion</w:t>
            </w:r>
          </w:p>
        </w:tc>
        <w:tc>
          <w:tcPr>
            <w:tcW w:type="dxa" w:w="2160"/>
            <w:vAlign w:val="top"/>
            <w:tcMar>
              <w:top w:w="80" w:type="dxa"/>
              <w:start w:w="80" w:type="dxa"/>
              <w:bottom w:w="80" w:type="dxa"/>
              <w:end w:w="80" w:type="dxa"/>
            </w:tcMar>
            <w:shd w:fill="F8F9FA"/>
          </w:tcPr>
          <w:p>
            <w:pPr>
              <w:spacing w:after="0"/>
            </w:pPr>
            <w:r/>
            <w:r>
              <w:rPr>
                <w:rFonts w:ascii="Aptos" w:hAnsi="Aptos"/>
                <w:b w:val="0"/>
                <w:sz w:val="15"/>
              </w:rPr>
              <w:t>retention/legal hold</w:t>
            </w:r>
          </w:p>
        </w:tc>
      </w:tr>
      <w:tr>
        <w:tc>
          <w:tcPr>
            <w:tcW w:type="dxa" w:w="2016"/>
            <w:vAlign w:val="top"/>
            <w:tcMar>
              <w:top w:w="80" w:type="dxa"/>
              <w:start w:w="80" w:type="dxa"/>
              <w:bottom w:w="80" w:type="dxa"/>
              <w:end w:w="80" w:type="dxa"/>
            </w:tcMar>
          </w:tcPr>
          <w:p>
            <w:pPr>
              <w:spacing w:after="0"/>
            </w:pPr>
            <w:r/>
            <w:r>
              <w:rPr>
                <w:rFonts w:ascii="Aptos" w:hAnsi="Aptos"/>
                <w:b w:val="0"/>
                <w:sz w:val="15"/>
              </w:rPr>
              <w:t>Pub/Sub subscription</w:t>
            </w:r>
          </w:p>
        </w:tc>
        <w:tc>
          <w:tcPr>
            <w:tcW w:type="dxa" w:w="2880"/>
            <w:vAlign w:val="top"/>
            <w:tcMar>
              <w:top w:w="80" w:type="dxa"/>
              <w:start w:w="80" w:type="dxa"/>
              <w:bottom w:w="80" w:type="dxa"/>
              <w:end w:w="80" w:type="dxa"/>
            </w:tcMar>
          </w:tcPr>
          <w:p>
            <w:pPr>
              <w:spacing w:after="0"/>
            </w:pPr>
            <w:r/>
            <w:r>
              <w:rPr>
                <w:rFonts w:ascii="Aptos" w:hAnsi="Aptos"/>
                <w:b w:val="0"/>
                <w:sz w:val="15"/>
              </w:rPr>
              <w:t>no consumer and growing backlog</w:t>
            </w:r>
          </w:p>
        </w:tc>
        <w:tc>
          <w:tcPr>
            <w:tcW w:type="dxa" w:w="2736"/>
            <w:vAlign w:val="top"/>
            <w:tcMar>
              <w:top w:w="80" w:type="dxa"/>
              <w:start w:w="80" w:type="dxa"/>
              <w:bottom w:w="80" w:type="dxa"/>
              <w:end w:w="80" w:type="dxa"/>
            </w:tcMar>
          </w:tcPr>
          <w:p>
            <w:pPr>
              <w:spacing w:after="0"/>
            </w:pPr>
            <w:r/>
            <w:r>
              <w:rPr>
                <w:rFonts w:ascii="Aptos" w:hAnsi="Aptos"/>
                <w:b w:val="0"/>
                <w:sz w:val="15"/>
              </w:rPr>
              <w:t>confirm, detach/delete or repair</w:t>
            </w:r>
          </w:p>
        </w:tc>
        <w:tc>
          <w:tcPr>
            <w:tcW w:type="dxa" w:w="2160"/>
            <w:vAlign w:val="top"/>
            <w:tcMar>
              <w:top w:w="80" w:type="dxa"/>
              <w:start w:w="80" w:type="dxa"/>
              <w:bottom w:w="80" w:type="dxa"/>
              <w:end w:w="80" w:type="dxa"/>
            </w:tcMar>
          </w:tcPr>
          <w:p>
            <w:pPr>
              <w:spacing w:after="0"/>
            </w:pPr>
            <w:r/>
            <w:r>
              <w:rPr>
                <w:rFonts w:ascii="Aptos" w:hAnsi="Aptos"/>
                <w:b w:val="0"/>
                <w:sz w:val="15"/>
              </w:rPr>
              <w:t>replay/DR use</w:t>
            </w:r>
          </w:p>
        </w:tc>
      </w:tr>
      <w:tr>
        <w:tc>
          <w:tcPr>
            <w:tcW w:type="dxa" w:w="2016"/>
            <w:vAlign w:val="top"/>
            <w:tcMar>
              <w:top w:w="80" w:type="dxa"/>
              <w:start w:w="80" w:type="dxa"/>
              <w:bottom w:w="80" w:type="dxa"/>
              <w:end w:w="80" w:type="dxa"/>
            </w:tcMar>
            <w:shd w:fill="F8F9FA"/>
          </w:tcPr>
          <w:p>
            <w:pPr>
              <w:spacing w:after="0"/>
            </w:pPr>
            <w:r/>
            <w:r>
              <w:rPr>
                <w:rFonts w:ascii="Aptos" w:hAnsi="Aptos"/>
                <w:b w:val="0"/>
                <w:sz w:val="15"/>
              </w:rPr>
              <w:t>Logging sink/bucket</w:t>
            </w:r>
          </w:p>
        </w:tc>
        <w:tc>
          <w:tcPr>
            <w:tcW w:type="dxa" w:w="2880"/>
            <w:vAlign w:val="top"/>
            <w:tcMar>
              <w:top w:w="80" w:type="dxa"/>
              <w:start w:w="80" w:type="dxa"/>
              <w:bottom w:w="80" w:type="dxa"/>
              <w:end w:w="80" w:type="dxa"/>
            </w:tcMar>
            <w:shd w:fill="F8F9FA"/>
          </w:tcPr>
          <w:p>
            <w:pPr>
              <w:spacing w:after="0"/>
            </w:pPr>
            <w:r/>
            <w:r>
              <w:rPr>
                <w:rFonts w:ascii="Aptos" w:hAnsi="Aptos"/>
                <w:b w:val="0"/>
                <w:sz w:val="15"/>
              </w:rPr>
              <w:t>duplicate or unused route</w:t>
            </w:r>
          </w:p>
        </w:tc>
        <w:tc>
          <w:tcPr>
            <w:tcW w:type="dxa" w:w="2736"/>
            <w:vAlign w:val="top"/>
            <w:tcMar>
              <w:top w:w="80" w:type="dxa"/>
              <w:start w:w="80" w:type="dxa"/>
              <w:bottom w:w="80" w:type="dxa"/>
              <w:end w:w="80" w:type="dxa"/>
            </w:tcMar>
            <w:shd w:fill="F8F9FA"/>
          </w:tcPr>
          <w:p>
            <w:pPr>
              <w:spacing w:after="0"/>
            </w:pPr>
            <w:r/>
            <w:r>
              <w:rPr>
                <w:rFonts w:ascii="Aptos" w:hAnsi="Aptos"/>
                <w:b w:val="0"/>
                <w:sz w:val="15"/>
              </w:rPr>
              <w:t>remove duplicate / adjust retention</w:t>
            </w:r>
          </w:p>
        </w:tc>
        <w:tc>
          <w:tcPr>
            <w:tcW w:type="dxa" w:w="2160"/>
            <w:vAlign w:val="top"/>
            <w:tcMar>
              <w:top w:w="80" w:type="dxa"/>
              <w:start w:w="80" w:type="dxa"/>
              <w:bottom w:w="80" w:type="dxa"/>
              <w:end w:w="80" w:type="dxa"/>
            </w:tcMar>
            <w:shd w:fill="F8F9FA"/>
          </w:tcPr>
          <w:p>
            <w:pPr>
              <w:spacing w:after="0"/>
            </w:pPr>
            <w:r/>
            <w:r>
              <w:rPr>
                <w:rFonts w:ascii="Aptos" w:hAnsi="Aptos"/>
                <w:b w:val="0"/>
                <w:sz w:val="15"/>
              </w:rPr>
              <w:t>security/audit requirement</w:t>
            </w:r>
          </w:p>
        </w:tc>
      </w:tr>
    </w:tbl>
    <w:p>
      <w:pPr>
        <w:pStyle w:val="Heading2"/>
      </w:pPr>
      <w:r>
        <w:t>23.1 Commitment planning</w:t>
      </w:r>
    </w:p>
    <w:p>
      <w:pPr>
        <w:pStyle w:val="ListBullet"/>
      </w:pPr>
      <w:r>
        <w:t>Forecast eligible usage separately from total spend.</w:t>
      </w:r>
    </w:p>
    <w:p>
      <w:pPr>
        <w:pStyle w:val="ListBullet"/>
      </w:pPr>
      <w:r>
        <w:t>Use conservative baseline demand after excluding one-time migrations, backfills and anomalies.</w:t>
      </w:r>
    </w:p>
    <w:p>
      <w:pPr>
        <w:pStyle w:val="ListBullet"/>
      </w:pPr>
      <w:r>
        <w:t>Compare no-commitment, partial-coverage and higher-coverage scenarios using current effective rates.</w:t>
      </w:r>
    </w:p>
    <w:p>
      <w:pPr>
        <w:pStyle w:val="ListBullet"/>
      </w:pPr>
      <w:r>
        <w:t>Include growth, contraction, architectural migration, region and edition changes.</w:t>
      </w:r>
    </w:p>
    <w:p>
      <w:pPr>
        <w:pStyle w:val="ListBullet"/>
      </w:pPr>
      <w:r>
        <w:t>Approve commitments through Finance and Procurement with an accountable consumption owner.</w:t>
      </w:r>
    </w:p>
    <w:p>
      <w:pPr>
        <w:pStyle w:val="ListBullet"/>
      </w:pPr>
      <w:r>
        <w:t>Monitor coverage, utilization, expiry and stranded commitment risk weekly or monthly as appropriate.</w:t>
      </w:r>
    </w:p>
    <w:p>
      <w:pPr>
        <w:pStyle w:val="ListBullet"/>
      </w:pPr>
      <w:r>
        <w:t>Do not count unused commitments as realized savings.</w:t>
      </w:r>
    </w:p>
    <w:p>
      <w:pPr>
        <w:pStyle w:val="Heading1"/>
      </w:pPr>
      <w:r>
        <w:t>24. Cost Dashboards and FinOps KPIs</w:t>
      </w:r>
    </w:p>
    <w:p>
      <w:r>
        <w:t>Dashboards are built from certified semantic definitions and expose data freshness, currency, allocation version and provisional/final status. Executives see portfolio economics; owners see actionable product details; engineers see resource and workload drivers.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vAlign w:val="top"/>
            <w:tcMar>
              <w:top w:w="80" w:type="dxa"/>
              <w:start w:w="80" w:type="dxa"/>
              <w:bottom w:w="80" w:type="dxa"/>
              <w:end w:w="80" w:type="dxa"/>
            </w:tcMar>
            <w:shd w:fill="1A73E8"/>
          </w:tcPr>
          <w:p>
            <w:pPr>
              <w:spacing w:after="0"/>
            </w:pPr>
            <w:r/>
            <w:r>
              <w:rPr>
                <w:rFonts w:ascii="Aptos" w:hAnsi="Aptos"/>
                <w:b/>
                <w:color w:val="FFFFFF"/>
                <w:sz w:val="15"/>
              </w:rPr>
              <w:t>Dashboard</w:t>
            </w:r>
          </w:p>
        </w:tc>
        <w:tc>
          <w:tcPr>
            <w:tcW w:type="dxa" w:w="2160"/>
            <w:vAlign w:val="top"/>
            <w:tcMar>
              <w:top w:w="80" w:type="dxa"/>
              <w:start w:w="80" w:type="dxa"/>
              <w:bottom w:w="80" w:type="dxa"/>
              <w:end w:w="80" w:type="dxa"/>
            </w:tcMar>
            <w:shd w:fill="1A73E8"/>
          </w:tcPr>
          <w:p>
            <w:pPr>
              <w:spacing w:after="0"/>
            </w:pPr>
            <w:r/>
            <w:r>
              <w:rPr>
                <w:rFonts w:ascii="Aptos" w:hAnsi="Aptos"/>
                <w:b/>
                <w:color w:val="FFFFFF"/>
                <w:sz w:val="15"/>
              </w:rPr>
              <w:t>Primary audience</w:t>
            </w:r>
          </w:p>
        </w:tc>
        <w:tc>
          <w:tcPr>
            <w:tcW w:type="dxa" w:w="5616"/>
            <w:vAlign w:val="top"/>
            <w:tcMar>
              <w:top w:w="80" w:type="dxa"/>
              <w:start w:w="80" w:type="dxa"/>
              <w:bottom w:w="80" w:type="dxa"/>
              <w:end w:w="80" w:type="dxa"/>
            </w:tcMar>
            <w:shd w:fill="1A73E8"/>
          </w:tcPr>
          <w:p>
            <w:pPr>
              <w:spacing w:after="0"/>
            </w:pPr>
            <w:r/>
            <w:r>
              <w:rPr>
                <w:rFonts w:ascii="Aptos" w:hAnsi="Aptos"/>
                <w:b/>
                <w:color w:val="FFFFFF"/>
                <w:sz w:val="15"/>
              </w:rPr>
              <w:t>Core views</w:t>
            </w:r>
          </w:p>
        </w:tc>
      </w:tr>
      <w:tr>
        <w:tc>
          <w:tcPr>
            <w:tcW w:type="dxa" w:w="1872"/>
            <w:vAlign w:val="top"/>
            <w:tcMar>
              <w:top w:w="80" w:type="dxa"/>
              <w:start w:w="80" w:type="dxa"/>
              <w:bottom w:w="80" w:type="dxa"/>
              <w:end w:w="80" w:type="dxa"/>
            </w:tcMar>
          </w:tcPr>
          <w:p>
            <w:pPr>
              <w:spacing w:after="0"/>
            </w:pPr>
            <w:r/>
            <w:r>
              <w:rPr>
                <w:rFonts w:ascii="Aptos" w:hAnsi="Aptos"/>
                <w:b w:val="0"/>
                <w:sz w:val="15"/>
              </w:rPr>
              <w:t>Executive FinOps</w:t>
            </w:r>
          </w:p>
        </w:tc>
        <w:tc>
          <w:tcPr>
            <w:tcW w:type="dxa" w:w="2160"/>
            <w:vAlign w:val="top"/>
            <w:tcMar>
              <w:top w:w="80" w:type="dxa"/>
              <w:start w:w="80" w:type="dxa"/>
              <w:bottom w:w="80" w:type="dxa"/>
              <w:end w:w="80" w:type="dxa"/>
            </w:tcMar>
          </w:tcPr>
          <w:p>
            <w:pPr>
              <w:spacing w:after="0"/>
            </w:pPr>
            <w:r/>
            <w:r>
              <w:rPr>
                <w:rFonts w:ascii="Aptos" w:hAnsi="Aptos"/>
                <w:b w:val="0"/>
                <w:sz w:val="15"/>
              </w:rPr>
              <w:t>CFO/CIO/CDO</w:t>
            </w:r>
          </w:p>
        </w:tc>
        <w:tc>
          <w:tcPr>
            <w:tcW w:type="dxa" w:w="5616"/>
            <w:vAlign w:val="top"/>
            <w:tcMar>
              <w:top w:w="80" w:type="dxa"/>
              <w:start w:w="80" w:type="dxa"/>
              <w:bottom w:w="80" w:type="dxa"/>
              <w:end w:w="80" w:type="dxa"/>
            </w:tcMar>
          </w:tcPr>
          <w:p>
            <w:pPr>
              <w:spacing w:after="0"/>
            </w:pPr>
            <w:r/>
            <w:r>
              <w:rPr>
                <w:rFonts w:ascii="Aptos" w:hAnsi="Aptos"/>
                <w:b w:val="0"/>
                <w:sz w:val="15"/>
              </w:rPr>
              <w:t>cost trend, budget, forecast, unit economics, commitments, realized actions</w:t>
            </w:r>
          </w:p>
        </w:tc>
      </w:tr>
      <w:tr>
        <w:tc>
          <w:tcPr>
            <w:tcW w:type="dxa" w:w="1872"/>
            <w:vAlign w:val="top"/>
            <w:tcMar>
              <w:top w:w="80" w:type="dxa"/>
              <w:start w:w="80" w:type="dxa"/>
              <w:bottom w:w="80" w:type="dxa"/>
              <w:end w:w="80" w:type="dxa"/>
            </w:tcMar>
            <w:shd w:fill="F8F9FA"/>
          </w:tcPr>
          <w:p>
            <w:pPr>
              <w:spacing w:after="0"/>
            </w:pPr>
            <w:r/>
            <w:r>
              <w:rPr>
                <w:rFonts w:ascii="Aptos" w:hAnsi="Aptos"/>
                <w:b w:val="0"/>
                <w:sz w:val="15"/>
              </w:rPr>
              <w:t>Billing and reconciliation</w:t>
            </w:r>
          </w:p>
        </w:tc>
        <w:tc>
          <w:tcPr>
            <w:tcW w:type="dxa" w:w="2160"/>
            <w:vAlign w:val="top"/>
            <w:tcMar>
              <w:top w:w="80" w:type="dxa"/>
              <w:start w:w="80" w:type="dxa"/>
              <w:bottom w:w="80" w:type="dxa"/>
              <w:end w:w="80" w:type="dxa"/>
            </w:tcMar>
            <w:shd w:fill="F8F9FA"/>
          </w:tcPr>
          <w:p>
            <w:pPr>
              <w:spacing w:after="0"/>
            </w:pPr>
            <w:r/>
            <w:r>
              <w:rPr>
                <w:rFonts w:ascii="Aptos" w:hAnsi="Aptos"/>
                <w:b w:val="0"/>
                <w:sz w:val="15"/>
              </w:rPr>
              <w:t>Finance/FinOps</w:t>
            </w:r>
          </w:p>
        </w:tc>
        <w:tc>
          <w:tcPr>
            <w:tcW w:type="dxa" w:w="5616"/>
            <w:vAlign w:val="top"/>
            <w:tcMar>
              <w:top w:w="80" w:type="dxa"/>
              <w:start w:w="80" w:type="dxa"/>
              <w:bottom w:w="80" w:type="dxa"/>
              <w:end w:w="80" w:type="dxa"/>
            </w:tcMar>
            <w:shd w:fill="F8F9FA"/>
          </w:tcPr>
          <w:p>
            <w:pPr>
              <w:spacing w:after="0"/>
            </w:pPr>
            <w:r/>
            <w:r>
              <w:rPr>
                <w:rFonts w:ascii="Aptos" w:hAnsi="Aptos"/>
                <w:b w:val="0"/>
                <w:sz w:val="15"/>
              </w:rPr>
              <w:t>invoice month, credits, adjustments, export freshness, reconciliation</w:t>
            </w:r>
          </w:p>
        </w:tc>
      </w:tr>
      <w:tr>
        <w:tc>
          <w:tcPr>
            <w:tcW w:type="dxa" w:w="1872"/>
            <w:vAlign w:val="top"/>
            <w:tcMar>
              <w:top w:w="80" w:type="dxa"/>
              <w:start w:w="80" w:type="dxa"/>
              <w:bottom w:w="80" w:type="dxa"/>
              <w:end w:w="80" w:type="dxa"/>
            </w:tcMar>
          </w:tcPr>
          <w:p>
            <w:pPr>
              <w:spacing w:after="0"/>
            </w:pPr>
            <w:r/>
            <w:r>
              <w:rPr>
                <w:rFonts w:ascii="Aptos" w:hAnsi="Aptos"/>
                <w:b w:val="0"/>
                <w:sz w:val="15"/>
              </w:rPr>
              <w:t>Domain showback</w:t>
            </w:r>
          </w:p>
        </w:tc>
        <w:tc>
          <w:tcPr>
            <w:tcW w:type="dxa" w:w="2160"/>
            <w:vAlign w:val="top"/>
            <w:tcMar>
              <w:top w:w="80" w:type="dxa"/>
              <w:start w:w="80" w:type="dxa"/>
              <w:bottom w:w="80" w:type="dxa"/>
              <w:end w:w="80" w:type="dxa"/>
            </w:tcMar>
          </w:tcPr>
          <w:p>
            <w:pPr>
              <w:spacing w:after="0"/>
            </w:pPr>
            <w:r/>
            <w:r>
              <w:rPr>
                <w:rFonts w:ascii="Aptos" w:hAnsi="Aptos"/>
                <w:b w:val="0"/>
                <w:sz w:val="15"/>
              </w:rPr>
              <w:t>domain/product owners</w:t>
            </w:r>
          </w:p>
        </w:tc>
        <w:tc>
          <w:tcPr>
            <w:tcW w:type="dxa" w:w="5616"/>
            <w:vAlign w:val="top"/>
            <w:tcMar>
              <w:top w:w="80" w:type="dxa"/>
              <w:start w:w="80" w:type="dxa"/>
              <w:bottom w:w="80" w:type="dxa"/>
              <w:end w:w="80" w:type="dxa"/>
            </w:tcMar>
          </w:tcPr>
          <w:p>
            <w:pPr>
              <w:spacing w:after="0"/>
            </w:pPr>
            <w:r/>
            <w:r>
              <w:rPr>
                <w:rFonts w:ascii="Aptos" w:hAnsi="Aptos"/>
                <w:b w:val="0"/>
                <w:sz w:val="15"/>
              </w:rPr>
              <w:t>actual/forecast, service breakdown, unit costs, anomalies, actions</w:t>
            </w:r>
          </w:p>
        </w:tc>
      </w:tr>
      <w:tr>
        <w:tc>
          <w:tcPr>
            <w:tcW w:type="dxa" w:w="1872"/>
            <w:vAlign w:val="top"/>
            <w:tcMar>
              <w:top w:w="80" w:type="dxa"/>
              <w:start w:w="80" w:type="dxa"/>
              <w:bottom w:w="80" w:type="dxa"/>
              <w:end w:w="80" w:type="dxa"/>
            </w:tcMar>
            <w:shd w:fill="F8F9FA"/>
          </w:tcPr>
          <w:p>
            <w:pPr>
              <w:spacing w:after="0"/>
            </w:pPr>
            <w:r/>
            <w:r>
              <w:rPr>
                <w:rFonts w:ascii="Aptos" w:hAnsi="Aptos"/>
                <w:b w:val="0"/>
                <w:sz w:val="15"/>
              </w:rPr>
              <w:t>BigQuery economics</w:t>
            </w:r>
          </w:p>
        </w:tc>
        <w:tc>
          <w:tcPr>
            <w:tcW w:type="dxa" w:w="2160"/>
            <w:vAlign w:val="top"/>
            <w:tcMar>
              <w:top w:w="80" w:type="dxa"/>
              <w:start w:w="80" w:type="dxa"/>
              <w:bottom w:w="80" w:type="dxa"/>
              <w:end w:w="80" w:type="dxa"/>
            </w:tcMar>
            <w:shd w:fill="F8F9FA"/>
          </w:tcPr>
          <w:p>
            <w:pPr>
              <w:spacing w:after="0"/>
            </w:pPr>
            <w:r/>
            <w:r>
              <w:rPr>
                <w:rFonts w:ascii="Aptos" w:hAnsi="Aptos"/>
                <w:b w:val="0"/>
                <w:sz w:val="15"/>
              </w:rPr>
              <w:t>analytics platform</w:t>
            </w:r>
          </w:p>
        </w:tc>
        <w:tc>
          <w:tcPr>
            <w:tcW w:type="dxa" w:w="5616"/>
            <w:vAlign w:val="top"/>
            <w:tcMar>
              <w:top w:w="80" w:type="dxa"/>
              <w:start w:w="80" w:type="dxa"/>
              <w:bottom w:w="80" w:type="dxa"/>
              <w:end w:w="80" w:type="dxa"/>
            </w:tcMar>
            <w:shd w:fill="F8F9FA"/>
          </w:tcPr>
          <w:p>
            <w:pPr>
              <w:spacing w:after="0"/>
            </w:pPr>
            <w:r/>
            <w:r>
              <w:rPr>
                <w:rFonts w:ascii="Aptos" w:hAnsi="Aptos"/>
                <w:b w:val="0"/>
                <w:sz w:val="15"/>
              </w:rPr>
              <w:t>slots, bytes, reservations, queueing, top jobs, storage</w:t>
            </w:r>
          </w:p>
        </w:tc>
      </w:tr>
      <w:tr>
        <w:tc>
          <w:tcPr>
            <w:tcW w:type="dxa" w:w="1872"/>
            <w:vAlign w:val="top"/>
            <w:tcMar>
              <w:top w:w="80" w:type="dxa"/>
              <w:start w:w="80" w:type="dxa"/>
              <w:bottom w:w="80" w:type="dxa"/>
              <w:end w:w="80" w:type="dxa"/>
            </w:tcMar>
          </w:tcPr>
          <w:p>
            <w:pPr>
              <w:spacing w:after="0"/>
            </w:pPr>
            <w:r/>
            <w:r>
              <w:rPr>
                <w:rFonts w:ascii="Aptos" w:hAnsi="Aptos"/>
                <w:b w:val="0"/>
                <w:sz w:val="15"/>
              </w:rPr>
              <w:t>Data engineering efficiency</w:t>
            </w:r>
          </w:p>
        </w:tc>
        <w:tc>
          <w:tcPr>
            <w:tcW w:type="dxa" w:w="2160"/>
            <w:vAlign w:val="top"/>
            <w:tcMar>
              <w:top w:w="80" w:type="dxa"/>
              <w:start w:w="80" w:type="dxa"/>
              <w:bottom w:w="80" w:type="dxa"/>
              <w:end w:w="80" w:type="dxa"/>
            </w:tcMar>
          </w:tcPr>
          <w:p>
            <w:pPr>
              <w:spacing w:after="0"/>
            </w:pPr>
            <w:r/>
            <w:r>
              <w:rPr>
                <w:rFonts w:ascii="Aptos" w:hAnsi="Aptos"/>
                <w:b w:val="0"/>
                <w:sz w:val="15"/>
              </w:rPr>
              <w:t>engineering</w:t>
            </w:r>
          </w:p>
        </w:tc>
        <w:tc>
          <w:tcPr>
            <w:tcW w:type="dxa" w:w="5616"/>
            <w:vAlign w:val="top"/>
            <w:tcMar>
              <w:top w:w="80" w:type="dxa"/>
              <w:start w:w="80" w:type="dxa"/>
              <w:bottom w:w="80" w:type="dxa"/>
              <w:end w:w="80" w:type="dxa"/>
            </w:tcMar>
          </w:tcPr>
          <w:p>
            <w:pPr>
              <w:spacing w:after="0"/>
            </w:pPr>
            <w:r/>
            <w:r>
              <w:rPr>
                <w:rFonts w:ascii="Aptos" w:hAnsi="Aptos"/>
                <w:b w:val="0"/>
                <w:sz w:val="15"/>
              </w:rPr>
              <w:t>Dataflow/Dataproc/Pub/Sub units, retries, idle, throughput</w:t>
            </w:r>
          </w:p>
        </w:tc>
      </w:tr>
      <w:tr>
        <w:tc>
          <w:tcPr>
            <w:tcW w:type="dxa" w:w="1872"/>
            <w:vAlign w:val="top"/>
            <w:tcMar>
              <w:top w:w="80" w:type="dxa"/>
              <w:start w:w="80" w:type="dxa"/>
              <w:bottom w:w="80" w:type="dxa"/>
              <w:end w:w="80" w:type="dxa"/>
            </w:tcMar>
            <w:shd w:fill="F8F9FA"/>
          </w:tcPr>
          <w:p>
            <w:pPr>
              <w:spacing w:after="0"/>
            </w:pPr>
            <w:r/>
            <w:r>
              <w:rPr>
                <w:rFonts w:ascii="Aptos" w:hAnsi="Aptos"/>
                <w:b w:val="0"/>
                <w:sz w:val="15"/>
              </w:rPr>
              <w:t>AI economics</w:t>
            </w:r>
          </w:p>
        </w:tc>
        <w:tc>
          <w:tcPr>
            <w:tcW w:type="dxa" w:w="2160"/>
            <w:vAlign w:val="top"/>
            <w:tcMar>
              <w:top w:w="80" w:type="dxa"/>
              <w:start w:w="80" w:type="dxa"/>
              <w:bottom w:w="80" w:type="dxa"/>
              <w:end w:w="80" w:type="dxa"/>
            </w:tcMar>
            <w:shd w:fill="F8F9FA"/>
          </w:tcPr>
          <w:p>
            <w:pPr>
              <w:spacing w:after="0"/>
            </w:pPr>
            <w:r/>
            <w:r>
              <w:rPr>
                <w:rFonts w:ascii="Aptos" w:hAnsi="Aptos"/>
                <w:b w:val="0"/>
                <w:sz w:val="15"/>
              </w:rPr>
              <w:t>AI platform/product owners</w:t>
            </w:r>
          </w:p>
        </w:tc>
        <w:tc>
          <w:tcPr>
            <w:tcW w:type="dxa" w:w="5616"/>
            <w:vAlign w:val="top"/>
            <w:tcMar>
              <w:top w:w="80" w:type="dxa"/>
              <w:start w:w="80" w:type="dxa"/>
              <w:bottom w:w="80" w:type="dxa"/>
              <w:end w:w="80" w:type="dxa"/>
            </w:tcMar>
            <w:shd w:fill="F8F9FA"/>
          </w:tcPr>
          <w:p>
            <w:pPr>
              <w:spacing w:after="0"/>
            </w:pPr>
            <w:r/>
            <w:r>
              <w:rPr>
                <w:rFonts w:ascii="Aptos" w:hAnsi="Aptos"/>
                <w:b w:val="0"/>
                <w:sz w:val="15"/>
              </w:rPr>
              <w:t>tokens, models, cache, endpoint utilization, cost per accepted task</w:t>
            </w:r>
          </w:p>
        </w:tc>
      </w:tr>
      <w:tr>
        <w:tc>
          <w:tcPr>
            <w:tcW w:type="dxa" w:w="1872"/>
            <w:vAlign w:val="top"/>
            <w:tcMar>
              <w:top w:w="80" w:type="dxa"/>
              <w:start w:w="80" w:type="dxa"/>
              <w:bottom w:w="80" w:type="dxa"/>
              <w:end w:w="80" w:type="dxa"/>
            </w:tcMar>
          </w:tcPr>
          <w:p>
            <w:pPr>
              <w:spacing w:after="0"/>
            </w:pPr>
            <w:r/>
            <w:r>
              <w:rPr>
                <w:rFonts w:ascii="Aptos" w:hAnsi="Aptos"/>
                <w:b w:val="0"/>
                <w:sz w:val="15"/>
              </w:rPr>
              <w:t>Observability economics</w:t>
            </w:r>
          </w:p>
        </w:tc>
        <w:tc>
          <w:tcPr>
            <w:tcW w:type="dxa" w:w="2160"/>
            <w:vAlign w:val="top"/>
            <w:tcMar>
              <w:top w:w="80" w:type="dxa"/>
              <w:start w:w="80" w:type="dxa"/>
              <w:bottom w:w="80" w:type="dxa"/>
              <w:end w:w="80" w:type="dxa"/>
            </w:tcMar>
          </w:tcPr>
          <w:p>
            <w:pPr>
              <w:spacing w:after="0"/>
            </w:pPr>
            <w:r/>
            <w:r>
              <w:rPr>
                <w:rFonts w:ascii="Aptos" w:hAnsi="Aptos"/>
                <w:b w:val="0"/>
                <w:sz w:val="15"/>
              </w:rPr>
              <w:t>SRE/Security</w:t>
            </w:r>
          </w:p>
        </w:tc>
        <w:tc>
          <w:tcPr>
            <w:tcW w:type="dxa" w:w="5616"/>
            <w:vAlign w:val="top"/>
            <w:tcMar>
              <w:top w:w="80" w:type="dxa"/>
              <w:start w:w="80" w:type="dxa"/>
              <w:bottom w:w="80" w:type="dxa"/>
              <w:end w:w="80" w:type="dxa"/>
            </w:tcMar>
          </w:tcPr>
          <w:p>
            <w:pPr>
              <w:spacing w:after="0"/>
            </w:pPr>
            <w:r/>
            <w:r>
              <w:rPr>
                <w:rFonts w:ascii="Aptos" w:hAnsi="Aptos"/>
                <w:b w:val="0"/>
                <w:sz w:val="15"/>
              </w:rPr>
              <w:t>ingestion, retention, duplicates, mandatory evidence and cost per product</w:t>
            </w:r>
          </w:p>
        </w:tc>
      </w:tr>
    </w:tbl>
    <w:p>
      <w:pPr>
        <w:pStyle w:val="Heading2"/>
      </w:pPr>
      <w:r>
        <w:t>24.1 KPI standards</w:t>
      </w:r>
    </w:p>
    <w:p>
      <w:pPr>
        <w:pStyle w:val="ListBullet"/>
      </w:pPr>
      <w:r>
        <w:t>Every KPI has a business definition, technical formula, owner, source, refresh cadence, threshold, exclusions and version.</w:t>
      </w:r>
    </w:p>
    <w:p>
      <w:pPr>
        <w:pStyle w:val="ListBullet"/>
      </w:pPr>
      <w:r>
        <w:t>Percent savings is never reported without baseline period, scope, net/gross treatment and realization status.</w:t>
      </w:r>
    </w:p>
    <w:p>
      <w:pPr>
        <w:pStyle w:val="ListBullet"/>
      </w:pPr>
      <w:r>
        <w:t>Cost and efficiency are shown beside SLO, quality, security or business-volume context.</w:t>
      </w:r>
    </w:p>
    <w:p>
      <w:pPr>
        <w:pStyle w:val="ListBullet"/>
      </w:pPr>
      <w:r>
        <w:t>Drill-down access respects billing confidentiality and product boundaries.</w:t>
      </w:r>
    </w:p>
    <w:p>
      <w:pPr>
        <w:pStyle w:val="ListBullet"/>
      </w:pPr>
      <w:r>
        <w:t>Dashboard queries themselves follow BigQuery cost controls and use curated aggregates where appropriate.</w:t>
      </w:r>
    </w:p>
    <w:p>
      <w:pPr>
        <w:pStyle w:val="Heading1"/>
      </w:pPr>
      <w:r>
        <w:t>25. Monthly and Quarterly Review Cadence</w:t>
      </w:r>
    </w:p>
    <w:p>
      <w:pPr>
        <w:jc w:val="center"/>
      </w:pPr>
      <w:r>
        <w:drawing>
          <wp:inline xmlns:a="http://schemas.openxmlformats.org/drawingml/2006/main" xmlns:pic="http://schemas.openxmlformats.org/drawingml/2006/picture">
            <wp:extent cx="6126480" cy="602923"/>
            <wp:docPr id="6" name="Picture 6" descr="Image: image6.png"/>
            <wp:cNvGraphicFramePr>
              <a:graphicFrameLocks noChangeAspect="1"/>
            </wp:cNvGraphicFramePr>
            <a:graphic>
              <a:graphicData uri="http://schemas.openxmlformats.org/drawingml/2006/picture">
                <pic:pic>
                  <pic:nvPicPr>
                    <pic:cNvPr id="0" name="optimization_lifecycle.png"/>
                    <pic:cNvPicPr/>
                  </pic:nvPicPr>
                  <pic:blipFill>
                    <a:blip r:embed="rId16"/>
                    <a:stretch>
                      <a:fillRect/>
                    </a:stretch>
                  </pic:blipFill>
                  <pic:spPr>
                    <a:xfrm>
                      <a:off x="0" y="0"/>
                      <a:ext cx="6126480" cy="602923"/>
                    </a:xfrm>
                    <a:prstGeom prst="rect"/>
                  </pic:spPr>
                </pic:pic>
              </a:graphicData>
            </a:graphic>
          </wp:inline>
        </w:drawing>
      </w:r>
    </w:p>
    <w:p>
      <w:pPr>
        <w:pStyle w:val="Small"/>
        <w:jc w:val="center"/>
      </w:pPr>
      <w:r>
        <w:rPr>
          <w:i/>
        </w:rPr>
        <w:t>Figure 6 - Continuous cost optimization lifecycle</w:t>
      </w:r>
    </w:p>
    <w:p>
      <w:pPr>
        <w:pStyle w:val="Heading2"/>
      </w:pPr>
      <w:r>
        <w:t>25.1 Weekly engineering review</w:t>
      </w:r>
    </w:p>
    <w:p>
      <w:pPr>
        <w:pStyle w:val="ListBullet"/>
      </w:pPr>
      <w:r>
        <w:t>new anomalies and budget events</w:t>
      </w:r>
    </w:p>
    <w:p>
      <w:pPr>
        <w:pStyle w:val="ListBullet"/>
      </w:pPr>
      <w:r>
        <w:t>failed or retried high-cost workloads</w:t>
      </w:r>
    </w:p>
    <w:p>
      <w:pPr>
        <w:pStyle w:val="ListBullet"/>
      </w:pPr>
      <w:r>
        <w:t>idle resources and orphaned assets</w:t>
      </w:r>
    </w:p>
    <w:p>
      <w:pPr>
        <w:pStyle w:val="ListBullet"/>
      </w:pPr>
      <w:r>
        <w:t>top query, pipeline, network and AI usage changes</w:t>
      </w:r>
    </w:p>
    <w:p>
      <w:pPr>
        <w:pStyle w:val="ListBullet"/>
      </w:pPr>
      <w:r>
        <w:t>actions due within two weeks</w:t>
      </w:r>
    </w:p>
    <w:p>
      <w:pPr>
        <w:pStyle w:val="Heading2"/>
      </w:pPr>
      <w:r>
        <w:t>25.2 Monthly FinOps review</w:t>
      </w:r>
    </w:p>
    <w:p>
      <w:pPr>
        <w:pStyle w:val="ListBullet"/>
      </w:pPr>
      <w:r>
        <w:t>actual versus budget and prior forecast</w:t>
      </w:r>
    </w:p>
    <w:p>
      <w:pPr>
        <w:pStyle w:val="ListBullet"/>
      </w:pPr>
      <w:r>
        <w:t>forecast through quarter and year</w:t>
      </w:r>
    </w:p>
    <w:p>
      <w:pPr>
        <w:pStyle w:val="ListBullet"/>
      </w:pPr>
      <w:r>
        <w:t>allocation coverage and unallocated queue</w:t>
      </w:r>
    </w:p>
    <w:p>
      <w:pPr>
        <w:pStyle w:val="ListBullet"/>
      </w:pPr>
      <w:r>
        <w:t>unit-cost and business-volume trend</w:t>
      </w:r>
    </w:p>
    <w:p>
      <w:pPr>
        <w:pStyle w:val="ListBullet"/>
      </w:pPr>
      <w:r>
        <w:t>commitment coverage/utilization</w:t>
      </w:r>
    </w:p>
    <w:p>
      <w:pPr>
        <w:pStyle w:val="ListBullet"/>
      </w:pPr>
      <w:r>
        <w:t>realized savings and cost avoidance with evidence</w:t>
      </w:r>
    </w:p>
    <w:p>
      <w:pPr>
        <w:pStyle w:val="ListBullet"/>
      </w:pPr>
      <w:r>
        <w:t>top optimization backlog and SLO/security constraints</w:t>
      </w:r>
    </w:p>
    <w:p>
      <w:pPr>
        <w:pStyle w:val="Heading2"/>
      </w:pPr>
      <w:r>
        <w:t>25.3 Quarterly optimization review</w:t>
      </w:r>
    </w:p>
    <w:p>
      <w:pPr>
        <w:pStyle w:val="ListBullet"/>
      </w:pPr>
      <w:r>
        <w:t>BigQuery edition/reservation and commitment scenarios</w:t>
      </w:r>
    </w:p>
    <w:p>
      <w:pPr>
        <w:pStyle w:val="ListBullet"/>
      </w:pPr>
      <w:r>
        <w:t>storage classes, retention and archival policies</w:t>
      </w:r>
    </w:p>
    <w:p>
      <w:pPr>
        <w:pStyle w:val="ListBullet"/>
      </w:pPr>
      <w:r>
        <w:t>platform architecture changes and service substitutions</w:t>
      </w:r>
    </w:p>
    <w:p>
      <w:pPr>
        <w:pStyle w:val="ListBullet"/>
      </w:pPr>
      <w:r>
        <w:t>commercial renewal and discount strategy</w:t>
      </w:r>
    </w:p>
    <w:p>
      <w:pPr>
        <w:pStyle w:val="ListBullet"/>
      </w:pPr>
      <w:r>
        <w:t>AI model routing, token efficiency and endpoint portfolio</w:t>
      </w:r>
    </w:p>
    <w:p>
      <w:pPr>
        <w:pStyle w:val="ListBullet"/>
      </w:pPr>
      <w:r>
        <w:t>shared allocation drivers and dispute trends</w:t>
      </w:r>
    </w:p>
    <w:p>
      <w:pPr>
        <w:pStyle w:val="ListBullet"/>
      </w:pPr>
      <w:r>
        <w:t>next-quarter targets and investment needs</w:t>
      </w:r>
    </w:p>
    <w:p>
      <w:pPr>
        <w:pStyle w:val="Heading1"/>
      </w:pPr>
      <w:r>
        <w:t>26. Structured Service Assessments</w:t>
      </w:r>
    </w:p>
    <w:p>
      <w:r>
        <w:t>The following assessments use the master-prompt structure. Quotas, editions, product status, pricing and regional availability change and must be validated against current official documentation and the enterprise contract.</w:t>
      </w:r>
    </w:p>
    <w:p>
      <w:pPr>
        <w:pStyle w:val="Heading2"/>
      </w:pPr>
      <w:r>
        <w:t>26.1 Cloud Billing and BigQuery billing exports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Billing and BigQuery billing exports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System of record for usage, cost, credits, pricing and allocation analysis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Central financial visibility, reconciliation, showback and chargeback</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Export freshness delay; schema can add fields; not an instantaneous quota system</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Billing account IAM and restricted BigQuery datasets</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early, retain raw, normalize through stable views, reconcile to invoices</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Enable early, retain raw, normalize through stable views, reconcile to invoices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26.2 FinOps hub</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FinOps hub</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Prioritized Google Cloud optimization and savings insights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Enterprise optimization backlog and portfolio visibility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Recommendations require workload and SLO validation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Billing-account permissions and controlled recommendation workflow</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 recommendations as evidence, not automatic approval</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Treat recommendations as evidence, not automatic approval</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26.3 Cloud Billing Budgets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Billing Budgets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Budget thresholds, notifications and programmatic events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Owner accountability and early warning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Budget does not cap service usage; data can lag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Billing budget roles, Pub/Sub topic and notification handler</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multi-threshold budgets and idempotent workflow routing</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Use multi-threshold budgets and idempotent workflow routing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26.4 Cloud Billing cost anomaly detection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Billing cost anomaly detection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Detect unexpected deviations from historical spend</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Rapid investigation and prevention of repeated waste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Historical comparison can flag expected launches and miss new low-history workloads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Billing access, owner routing and incident/ticket integration</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Combine provider detection with product-specific thresholds and context</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Combine provider detection with product-specific thresholds and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26.5 BigQuery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BigQuery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Analytics compute, storage and FinOps data product engine</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Query economics, billing marts, unit economics and enterprise analytics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Poor queries, contention, cross-region access and stale commitments can increase cost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Reservation admin separation, job metadata access, dataset IAM and VPC SC</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hybrid pricing, workload isolation, pruning, lifecycle and telemetry</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Use hybrid pricing, workload isolation, pruning, lifecycle and telemetry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26.6 Cloud Storage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Storage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Durable object storage across landing, raw, replay and archive</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Storage tiering and retention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Retrieval, operations, minimum duration and transfer can offset storage savings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Bucket IAM, retention/legal hold, location and lifecycle policy</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Choose class from access pattern and policy; test lifecycle and restore</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Choose class from access pattern and policy; test lifecycle and restore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26.7 Dataflow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Dataflow</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batch and streaming processing</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Elastic data engineering with measurable worker and service usage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Inefficient shuffle, hot keys and persistent low-throughput jobs can be costly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Pipeline identities, job labels, network and monitoring</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Autoscale, right fit, profile, batch I/O and use insights</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Autoscale, right fit, profile, batch I/O and use insights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26.8 Dataproc and Serverless for Apache Spark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Dataproc and Serverless for Apache Spark</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Spark and open-source processing</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Compatibility workloads and bounded batch processing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Idle clusters, poor partitioning and oversized workers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Ephemeral identity, labels, network and image/dependency controls</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Prefer serverless/ephemeral, autoscale and profile before accelerators</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Prefer serverless/ephemeral, autoscale and profile before accelerators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26.9 Pub/Sub</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Pub/Sub</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Event ingestion, fan-out and replay</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Streaming unit economics and shared event platform</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Unused subscriptions, excessive retention and large payloads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Topic/subscription IAM, retention and regional design</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Batch, trim payloads, govern retention and allocate by event/byte</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Batch, trim payloads, govern retention and allocate by event/byte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26.10 Cloud Logging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Logging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Central logs, audit evidence and operational analytics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Security, SRE and cost telemetry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High-volume logs and duplicate routing; exclusions can remove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Log bucket/sink IAM, retention, exclusions and CMEK where required</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Classify signals, exclude approved noise, avoid duplication and test evidence</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Classify signals, exclude approved noise, avoid duplication and test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26.11 Cloud Monitoring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Cloud Monitoring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Metrics, dashboards and alerts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SLO, capacity and FinOps telemetry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Unbounded custom metric labels and duplicate collection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Metric scopes, IAM, collection agents and cardinality governance</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Govern cardinality and collect metrics tied to decisions</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Govern cardinality and collect metrics tied to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2"/>
      </w:pPr>
      <w:r>
        <w:t>26.12 Vertex AI and Gemini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top"/>
            <w:tcMar>
              <w:top w:w="80" w:type="dxa"/>
              <w:start w:w="80" w:type="dxa"/>
              <w:bottom w:w="80" w:type="dxa"/>
              <w:end w:w="80" w:type="dxa"/>
            </w:tcMar>
            <w:shd w:fill="1A73E8"/>
          </w:tcPr>
          <w:p>
            <w:pPr>
              <w:spacing w:after="0"/>
            </w:pPr>
            <w:r/>
            <w:r>
              <w:rPr>
                <w:rFonts w:ascii="Aptos" w:hAnsi="Aptos"/>
                <w:b/>
                <w:color w:val="FFFFFF"/>
                <w:sz w:val="14"/>
              </w:rPr>
              <w:t>Assessment field</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Enterprise assessment</w:t>
            </w:r>
          </w:p>
        </w:tc>
      </w:tr>
      <w:tr>
        <w:tc>
          <w:tcPr>
            <w:tcW w:type="dxa" w:w="2448"/>
            <w:vAlign w:val="top"/>
            <w:tcMar>
              <w:top w:w="80" w:type="dxa"/>
              <w:start w:w="80" w:type="dxa"/>
              <w:bottom w:w="80" w:type="dxa"/>
              <w:end w:w="80" w:type="dxa"/>
            </w:tcMar>
          </w:tcPr>
          <w:p>
            <w:pPr>
              <w:spacing w:after="0"/>
            </w:pPr>
            <w:r/>
            <w:r>
              <w:rPr>
                <w:rFonts w:ascii="Aptos" w:hAnsi="Aptos"/>
                <w:b w:val="0"/>
                <w:sz w:val="14"/>
              </w:rPr>
              <w:t>Service name</w:t>
            </w:r>
          </w:p>
        </w:tc>
        <w:tc>
          <w:tcPr>
            <w:tcW w:type="dxa" w:w="7200"/>
            <w:vAlign w:val="top"/>
            <w:tcMar>
              <w:top w:w="80" w:type="dxa"/>
              <w:start w:w="80" w:type="dxa"/>
              <w:bottom w:w="80" w:type="dxa"/>
              <w:end w:w="80" w:type="dxa"/>
            </w:tcMar>
          </w:tcPr>
          <w:p>
            <w:pPr>
              <w:spacing w:after="0"/>
            </w:pPr>
            <w:r/>
            <w:r>
              <w:rPr>
                <w:rFonts w:ascii="Aptos" w:hAnsi="Aptos"/>
                <w:b w:val="0"/>
                <w:sz w:val="14"/>
              </w:rPr>
              <w:t>Vertex AI and Gemini</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Purpose</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Training, endpoints, GenAI, embeddings, evaluation and agents</w:t>
            </w:r>
          </w:p>
        </w:tc>
      </w:tr>
      <w:tr>
        <w:tc>
          <w:tcPr>
            <w:tcW w:type="dxa" w:w="2448"/>
            <w:vAlign w:val="top"/>
            <w:tcMar>
              <w:top w:w="80" w:type="dxa"/>
              <w:start w:w="80" w:type="dxa"/>
              <w:bottom w:w="80" w:type="dxa"/>
              <w:end w:w="80" w:type="dxa"/>
            </w:tcMar>
          </w:tcPr>
          <w:p>
            <w:pPr>
              <w:spacing w:after="0"/>
            </w:pPr>
            <w:r/>
            <w:r>
              <w:rPr>
                <w:rFonts w:ascii="Aptos" w:hAnsi="Aptos"/>
                <w:b w:val="0"/>
                <w:sz w:val="14"/>
              </w:rPr>
              <w:t>Enterprise architecture role</w:t>
            </w:r>
          </w:p>
        </w:tc>
        <w:tc>
          <w:tcPr>
            <w:tcW w:type="dxa" w:w="7200"/>
            <w:vAlign w:val="top"/>
            <w:tcMar>
              <w:top w:w="80" w:type="dxa"/>
              <w:start w:w="80" w:type="dxa"/>
              <w:bottom w:w="80" w:type="dxa"/>
              <w:end w:w="80" w:type="dxa"/>
            </w:tcMar>
          </w:tcPr>
          <w:p>
            <w:pPr>
              <w:spacing w:after="0"/>
            </w:pPr>
            <w:r/>
            <w:r>
              <w:rPr>
                <w:rFonts w:ascii="Aptos" w:hAnsi="Aptos"/>
                <w:b w:val="0"/>
                <w:sz w:val="14"/>
              </w:rPr>
              <w:t>AI products and quality-adjusted unit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Business capabilities supported</w:t>
            </w:r>
          </w:p>
        </w:tc>
        <w:tc>
          <w:tcPr>
            <w:tcW w:type="dxa" w:w="7200"/>
            <w:vAlign w:val="top"/>
            <w:tcMar>
              <w:top w:w="80" w:type="dxa"/>
              <w:start w:w="80" w:type="dxa"/>
              <w:bottom w:w="80" w:type="dxa"/>
              <w:end w:w="80" w:type="dxa"/>
            </w:tcMar>
            <w:shd w:fill="F8F9FA"/>
          </w:tcPr>
          <w:p>
            <w:pPr>
              <w:spacing w:after="0"/>
            </w:pPr>
            <w:r/>
            <w:r>
              <w:rPr>
                <w:rFonts w:ascii="Aptos" w:hAnsi="Aptos"/>
                <w:b w:val="0"/>
                <w:sz w:val="14"/>
              </w:rPr>
              <w:t>Financial visibility, planning, allocation, optimization and accountable product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Technical capabilities</w:t>
            </w:r>
          </w:p>
        </w:tc>
        <w:tc>
          <w:tcPr>
            <w:tcW w:type="dxa" w:w="7200"/>
            <w:vAlign w:val="top"/>
            <w:tcMar>
              <w:top w:w="80" w:type="dxa"/>
              <w:start w:w="80" w:type="dxa"/>
              <w:bottom w:w="80" w:type="dxa"/>
              <w:end w:w="80" w:type="dxa"/>
            </w:tcMar>
          </w:tcPr>
          <w:p>
            <w:pPr>
              <w:spacing w:after="0"/>
            </w:pPr>
            <w:r/>
            <w:r>
              <w:rPr>
                <w:rFonts w:ascii="Aptos" w:hAnsi="Aptos"/>
                <w:b w:val="0"/>
                <w:sz w:val="14"/>
              </w:rPr>
              <w:t>Provider-native telemetry and control capabilities integrated into the governed FinOps data product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Benefits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Managed integration, enterprise scale, auditable usage and alignment to Google Cloud operations</w:t>
            </w:r>
          </w:p>
        </w:tc>
      </w:tr>
      <w:tr>
        <w:tc>
          <w:tcPr>
            <w:tcW w:type="dxa" w:w="2448"/>
            <w:vAlign w:val="top"/>
            <w:tcMar>
              <w:top w:w="80" w:type="dxa"/>
              <w:start w:w="80" w:type="dxa"/>
              <w:bottom w:w="80" w:type="dxa"/>
              <w:end w:w="80" w:type="dxa"/>
            </w:tcMar>
          </w:tcPr>
          <w:p>
            <w:pPr>
              <w:spacing w:after="0"/>
            </w:pPr>
            <w:r/>
            <w:r>
              <w:rPr>
                <w:rFonts w:ascii="Aptos" w:hAnsi="Aptos"/>
                <w:b w:val="0"/>
                <w:sz w:val="14"/>
              </w:rPr>
              <w:t>Limitations</w:t>
            </w:r>
          </w:p>
        </w:tc>
        <w:tc>
          <w:tcPr>
            <w:tcW w:type="dxa" w:w="7200"/>
            <w:vAlign w:val="top"/>
            <w:tcMar>
              <w:top w:w="80" w:type="dxa"/>
              <w:start w:w="80" w:type="dxa"/>
              <w:bottom w:w="80" w:type="dxa"/>
              <w:end w:w="80" w:type="dxa"/>
            </w:tcMar>
          </w:tcPr>
          <w:p>
            <w:pPr>
              <w:spacing w:after="0"/>
            </w:pPr>
            <w:r/>
            <w:r>
              <w:rPr>
                <w:rFonts w:ascii="Aptos" w:hAnsi="Aptos"/>
                <w:b w:val="0"/>
                <w:sz w:val="14"/>
              </w:rPr>
              <w:t>Accelerator idle time, token/context growth, retries and agent loops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Service quotas</w:t>
            </w:r>
          </w:p>
        </w:tc>
        <w:tc>
          <w:tcPr>
            <w:tcW w:type="dxa" w:w="7200"/>
            <w:vAlign w:val="top"/>
            <w:tcMar>
              <w:top w:w="80" w:type="dxa"/>
              <w:start w:w="80" w:type="dxa"/>
              <w:bottom w:w="80" w:type="dxa"/>
              <w:end w:w="80" w:type="dxa"/>
            </w:tcMar>
            <w:shd w:fill="F8F9FA"/>
          </w:tcPr>
          <w:p>
            <w:pPr>
              <w:spacing w:after="0"/>
            </w:pPr>
            <w:r/>
            <w:r>
              <w:rPr>
                <w:rFonts w:ascii="Aptos" w:hAnsi="Aptos"/>
                <w:b w:val="0"/>
                <w:sz w:val="14"/>
              </w:rPr>
              <w:t>Validate current billing, API, export, dataset, reservation, metric or service quotas by project and region; request increases before scale testing</w:t>
            </w:r>
          </w:p>
        </w:tc>
      </w:tr>
      <w:tr>
        <w:tc>
          <w:tcPr>
            <w:tcW w:type="dxa" w:w="2448"/>
            <w:vAlign w:val="top"/>
            <w:tcMar>
              <w:top w:w="80" w:type="dxa"/>
              <w:start w:w="80" w:type="dxa"/>
              <w:bottom w:w="80" w:type="dxa"/>
              <w:end w:w="80" w:type="dxa"/>
            </w:tcMar>
          </w:tcPr>
          <w:p>
            <w:pPr>
              <w:spacing w:after="0"/>
            </w:pPr>
            <w:r/>
            <w:r>
              <w:rPr>
                <w:rFonts w:ascii="Aptos" w:hAnsi="Aptos"/>
                <w:b w:val="0"/>
                <w:sz w:val="14"/>
              </w:rPr>
              <w:t>Regional availability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supported locations; co-locate cost data and telemetry with approved consumers while respecting residency and transfer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High-availability characteristics</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managed service characteristics; design dependent pipelines and dashboards for export lag, API failure and regional constraints</w:t>
            </w:r>
          </w:p>
        </w:tc>
      </w:tr>
      <w:tr>
        <w:tc>
          <w:tcPr>
            <w:tcW w:type="dxa" w:w="2448"/>
            <w:vAlign w:val="top"/>
            <w:tcMar>
              <w:top w:w="80" w:type="dxa"/>
              <w:start w:w="80" w:type="dxa"/>
              <w:bottom w:w="80" w:type="dxa"/>
              <w:end w:w="80" w:type="dxa"/>
            </w:tcMar>
          </w:tcPr>
          <w:p>
            <w:pPr>
              <w:spacing w:after="0"/>
            </w:pPr>
            <w:r/>
            <w:r>
              <w:rPr>
                <w:rFonts w:ascii="Aptos" w:hAnsi="Aptos"/>
                <w:b w:val="0"/>
                <w:sz w:val="14"/>
              </w:rPr>
              <w:t>Disaster-recovery considerations</w:t>
            </w:r>
          </w:p>
        </w:tc>
        <w:tc>
          <w:tcPr>
            <w:tcW w:type="dxa" w:w="7200"/>
            <w:vAlign w:val="top"/>
            <w:tcMar>
              <w:top w:w="80" w:type="dxa"/>
              <w:start w:w="80" w:type="dxa"/>
              <w:bottom w:w="80" w:type="dxa"/>
              <w:end w:w="80" w:type="dxa"/>
            </w:tcMar>
          </w:tcPr>
          <w:p>
            <w:pPr>
              <w:spacing w:after="0"/>
            </w:pPr>
            <w:r/>
            <w:r>
              <w:rPr>
                <w:rFonts w:ascii="Aptos" w:hAnsi="Aptos"/>
                <w:b w:val="0"/>
                <w:sz w:val="14"/>
              </w:rPr>
              <w:t>Preserve source configuration in Terraform, raw export continuity, normalized SQL and dashboard code; test rebuild and regional access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Security model</w:t>
            </w:r>
          </w:p>
        </w:tc>
        <w:tc>
          <w:tcPr>
            <w:tcW w:type="dxa" w:w="7200"/>
            <w:vAlign w:val="top"/>
            <w:tcMar>
              <w:top w:w="80" w:type="dxa"/>
              <w:start w:w="80" w:type="dxa"/>
              <w:bottom w:w="80" w:type="dxa"/>
              <w:end w:w="80" w:type="dxa"/>
            </w:tcMar>
            <w:shd w:fill="F8F9FA"/>
          </w:tcPr>
          <w:p>
            <w:pPr>
              <w:spacing w:after="0"/>
            </w:pPr>
            <w:r/>
            <w:r>
              <w:rPr>
                <w:rFonts w:ascii="Aptos" w:hAnsi="Aptos"/>
                <w:b w:val="0"/>
                <w:sz w:val="14"/>
              </w:rPr>
              <w:t>Model/endpoint IAM, usage metadata, data controls and budget routing</w:t>
            </w:r>
          </w:p>
        </w:tc>
      </w:tr>
      <w:tr>
        <w:tc>
          <w:tcPr>
            <w:tcW w:type="dxa" w:w="2448"/>
            <w:vAlign w:val="top"/>
            <w:tcMar>
              <w:top w:w="80" w:type="dxa"/>
              <w:start w:w="80" w:type="dxa"/>
              <w:bottom w:w="80" w:type="dxa"/>
              <w:end w:w="80" w:type="dxa"/>
            </w:tcMar>
          </w:tcPr>
          <w:p>
            <w:pPr>
              <w:spacing w:after="0"/>
            </w:pPr>
            <w:r/>
            <w:r>
              <w:rPr>
                <w:rFonts w:ascii="Aptos" w:hAnsi="Aptos"/>
                <w:b w:val="0"/>
                <w:sz w:val="14"/>
              </w:rPr>
              <w:t>IAM requirements</w:t>
            </w:r>
          </w:p>
        </w:tc>
        <w:tc>
          <w:tcPr>
            <w:tcW w:type="dxa" w:w="7200"/>
            <w:vAlign w:val="top"/>
            <w:tcMar>
              <w:top w:w="80" w:type="dxa"/>
              <w:start w:w="80" w:type="dxa"/>
              <w:bottom w:w="80" w:type="dxa"/>
              <w:end w:w="80" w:type="dxa"/>
            </w:tcMar>
          </w:tcPr>
          <w:p>
            <w:pPr>
              <w:spacing w:after="0"/>
            </w:pPr>
            <w:r/>
            <w:r>
              <w:rPr>
                <w:rFonts w:ascii="Aptos" w:hAnsi="Aptos"/>
                <w:b w:val="0"/>
                <w:sz w:val="14"/>
              </w:rPr>
              <w:t>Least privilege, group-based access, separation of billing administration, cost viewing, reservation administration and data consumption</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Network requirements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Private access and VPC Service Controls where supported and required; avoid uncontrolled cross-region data paths</w:t>
            </w:r>
          </w:p>
        </w:tc>
      </w:tr>
      <w:tr>
        <w:tc>
          <w:tcPr>
            <w:tcW w:type="dxa" w:w="2448"/>
            <w:vAlign w:val="top"/>
            <w:tcMar>
              <w:top w:w="80" w:type="dxa"/>
              <w:start w:w="80" w:type="dxa"/>
              <w:bottom w:w="80" w:type="dxa"/>
              <w:end w:w="80" w:type="dxa"/>
            </w:tcMar>
          </w:tcPr>
          <w:p>
            <w:pPr>
              <w:spacing w:after="0"/>
            </w:pPr>
            <w:r/>
            <w:r>
              <w:rPr>
                <w:rFonts w:ascii="Aptos" w:hAnsi="Aptos"/>
                <w:b w:val="0"/>
                <w:sz w:val="14"/>
              </w:rPr>
              <w:t>VPC Service Controls considerations</w:t>
            </w:r>
          </w:p>
        </w:tc>
        <w:tc>
          <w:tcPr>
            <w:tcW w:type="dxa" w:w="7200"/>
            <w:vAlign w:val="top"/>
            <w:tcMar>
              <w:top w:w="80" w:type="dxa"/>
              <w:start w:w="80" w:type="dxa"/>
              <w:bottom w:w="80" w:type="dxa"/>
              <w:end w:w="80" w:type="dxa"/>
            </w:tcMar>
          </w:tcPr>
          <w:p>
            <w:pPr>
              <w:spacing w:after="0"/>
            </w:pPr>
            <w:r/>
            <w:r>
              <w:rPr>
                <w:rFonts w:ascii="Aptos" w:hAnsi="Aptos"/>
                <w:b w:val="0"/>
                <w:sz w:val="14"/>
              </w:rPr>
              <w:t>Validate service support and ingress/egress rules, especially for BigQuery billing export and centralized analysis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Encryption capabilities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Google-managed encryption by default; apply CMEK where supported and required by classification</w:t>
            </w:r>
          </w:p>
        </w:tc>
      </w:tr>
      <w:tr>
        <w:tc>
          <w:tcPr>
            <w:tcW w:type="dxa" w:w="2448"/>
            <w:vAlign w:val="top"/>
            <w:tcMar>
              <w:top w:w="80" w:type="dxa"/>
              <w:start w:w="80" w:type="dxa"/>
              <w:bottom w:w="80" w:type="dxa"/>
              <w:end w:w="80" w:type="dxa"/>
            </w:tcMar>
          </w:tcPr>
          <w:p>
            <w:pPr>
              <w:spacing w:after="0"/>
            </w:pPr>
            <w:r/>
            <w:r>
              <w:rPr>
                <w:rFonts w:ascii="Aptos" w:hAnsi="Aptos"/>
                <w:b w:val="0"/>
                <w:sz w:val="14"/>
              </w:rPr>
              <w:t>CMEK support</w:t>
            </w:r>
          </w:p>
        </w:tc>
        <w:tc>
          <w:tcPr>
            <w:tcW w:type="dxa" w:w="7200"/>
            <w:vAlign w:val="top"/>
            <w:tcMar>
              <w:top w:w="80" w:type="dxa"/>
              <w:start w:w="80" w:type="dxa"/>
              <w:bottom w:w="80" w:type="dxa"/>
              <w:end w:w="80" w:type="dxa"/>
            </w:tcMar>
          </w:tcPr>
          <w:p>
            <w:pPr>
              <w:spacing w:after="0"/>
            </w:pPr>
            <w:r/>
            <w:r>
              <w:rPr>
                <w:rFonts w:ascii="Aptos" w:hAnsi="Aptos"/>
                <w:b w:val="0"/>
                <w:sz w:val="14"/>
              </w:rPr>
              <w:t>Validate current service-specific support and regional/key constraints before mandating</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Logging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Enable audit/configuration evidence and application workflow logs without sensitive cost or prompt payload leakage</w:t>
            </w:r>
          </w:p>
        </w:tc>
      </w:tr>
      <w:tr>
        <w:tc>
          <w:tcPr>
            <w:tcW w:type="dxa" w:w="2448"/>
            <w:vAlign w:val="top"/>
            <w:tcMar>
              <w:top w:w="80" w:type="dxa"/>
              <w:start w:w="80" w:type="dxa"/>
              <w:bottom w:w="80" w:type="dxa"/>
              <w:end w:w="80" w:type="dxa"/>
            </w:tcMar>
          </w:tcPr>
          <w:p>
            <w:pPr>
              <w:spacing w:after="0"/>
            </w:pPr>
            <w:r/>
            <w:r>
              <w:rPr>
                <w:rFonts w:ascii="Aptos" w:hAnsi="Aptos"/>
                <w:b w:val="0"/>
                <w:sz w:val="14"/>
              </w:rPr>
              <w:t>Monitoring</w:t>
            </w:r>
          </w:p>
        </w:tc>
        <w:tc>
          <w:tcPr>
            <w:tcW w:type="dxa" w:w="7200"/>
            <w:vAlign w:val="top"/>
            <w:tcMar>
              <w:top w:w="80" w:type="dxa"/>
              <w:start w:w="80" w:type="dxa"/>
              <w:bottom w:w="80" w:type="dxa"/>
              <w:end w:w="80" w:type="dxa"/>
            </w:tcMar>
          </w:tcPr>
          <w:p>
            <w:pPr>
              <w:spacing w:after="0"/>
            </w:pPr>
            <w:r/>
            <w:r>
              <w:rPr>
                <w:rFonts w:ascii="Aptos" w:hAnsi="Aptos"/>
                <w:b w:val="0"/>
                <w:sz w:val="14"/>
              </w:rPr>
              <w:t>Freshness, success, API errors, utilization, allocation coverage, cost drivers and SLO context</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Alerting</w:t>
            </w:r>
          </w:p>
        </w:tc>
        <w:tc>
          <w:tcPr>
            <w:tcW w:type="dxa" w:w="7200"/>
            <w:vAlign w:val="top"/>
            <w:tcMar>
              <w:top w:w="80" w:type="dxa"/>
              <w:start w:w="80" w:type="dxa"/>
              <w:bottom w:w="80" w:type="dxa"/>
              <w:end w:w="80" w:type="dxa"/>
            </w:tcMar>
            <w:shd w:fill="F8F9FA"/>
          </w:tcPr>
          <w:p>
            <w:pPr>
              <w:spacing w:after="0"/>
            </w:pPr>
            <w:r/>
            <w:r>
              <w:rPr>
                <w:rFonts w:ascii="Aptos" w:hAnsi="Aptos"/>
                <w:b w:val="0"/>
                <w:sz w:val="14"/>
              </w:rPr>
              <w:t>Route budget, anomaly, pipeline failure and data-quality conditions to named owners</w:t>
            </w:r>
          </w:p>
        </w:tc>
      </w:tr>
      <w:tr>
        <w:tc>
          <w:tcPr>
            <w:tcW w:type="dxa" w:w="2448"/>
            <w:vAlign w:val="top"/>
            <w:tcMar>
              <w:top w:w="80" w:type="dxa"/>
              <w:start w:w="80" w:type="dxa"/>
              <w:bottom w:w="80" w:type="dxa"/>
              <w:end w:w="80" w:type="dxa"/>
            </w:tcMar>
          </w:tcPr>
          <w:p>
            <w:pPr>
              <w:spacing w:after="0"/>
            </w:pPr>
            <w:r/>
            <w:r>
              <w:rPr>
                <w:rFonts w:ascii="Aptos" w:hAnsi="Aptos"/>
                <w:b w:val="0"/>
                <w:sz w:val="14"/>
              </w:rPr>
              <w:t>Cost drivers</w:t>
            </w:r>
          </w:p>
        </w:tc>
        <w:tc>
          <w:tcPr>
            <w:tcW w:type="dxa" w:w="7200"/>
            <w:vAlign w:val="top"/>
            <w:tcMar>
              <w:top w:w="80" w:type="dxa"/>
              <w:start w:w="80" w:type="dxa"/>
              <w:bottom w:w="80" w:type="dxa"/>
              <w:end w:w="80" w:type="dxa"/>
            </w:tcMar>
          </w:tcPr>
          <w:p>
            <w:pPr>
              <w:spacing w:after="0"/>
            </w:pPr>
            <w:r/>
            <w:r>
              <w:rPr>
                <w:rFonts w:ascii="Aptos" w:hAnsi="Aptos"/>
                <w:b w:val="0"/>
                <w:sz w:val="14"/>
              </w:rPr>
              <w:t>Use the measurable variables in the companion service cost-driver matrix; obtain current effective rates externally</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Cost-optimization techniques</w:t>
            </w:r>
          </w:p>
        </w:tc>
        <w:tc>
          <w:tcPr>
            <w:tcW w:type="dxa" w:w="7200"/>
            <w:vAlign w:val="top"/>
            <w:tcMar>
              <w:top w:w="80" w:type="dxa"/>
              <w:start w:w="80" w:type="dxa"/>
              <w:bottom w:w="80" w:type="dxa"/>
              <w:end w:w="80" w:type="dxa"/>
            </w:tcMar>
            <w:shd w:fill="F8F9FA"/>
          </w:tcPr>
          <w:p>
            <w:pPr>
              <w:spacing w:after="0"/>
            </w:pPr>
            <w:r/>
            <w:r>
              <w:rPr>
                <w:rFonts w:ascii="Aptos" w:hAnsi="Aptos"/>
                <w:b w:val="0"/>
                <w:sz w:val="14"/>
              </w:rPr>
              <w:t>Smallest sufficient model, token budgets, caching/batching where valid and accepted-task economics</w:t>
            </w:r>
          </w:p>
        </w:tc>
      </w:tr>
      <w:tr>
        <w:tc>
          <w:tcPr>
            <w:tcW w:type="dxa" w:w="2448"/>
            <w:vAlign w:val="top"/>
            <w:tcMar>
              <w:top w:w="80" w:type="dxa"/>
              <w:start w:w="80" w:type="dxa"/>
              <w:bottom w:w="80" w:type="dxa"/>
              <w:end w:w="80" w:type="dxa"/>
            </w:tcMar>
          </w:tcPr>
          <w:p>
            <w:pPr>
              <w:spacing w:after="0"/>
            </w:pPr>
            <w:r/>
            <w:r>
              <w:rPr>
                <w:rFonts w:ascii="Aptos" w:hAnsi="Aptos"/>
                <w:b w:val="0"/>
                <w:sz w:val="14"/>
              </w:rPr>
              <w:t>Operational responsibilities</w:t>
            </w:r>
          </w:p>
        </w:tc>
        <w:tc>
          <w:tcPr>
            <w:tcW w:type="dxa" w:w="7200"/>
            <w:vAlign w:val="top"/>
            <w:tcMar>
              <w:top w:w="80" w:type="dxa"/>
              <w:start w:w="80" w:type="dxa"/>
              <w:bottom w:w="80" w:type="dxa"/>
              <w:end w:w="80" w:type="dxa"/>
            </w:tcMar>
          </w:tcPr>
          <w:p>
            <w:pPr>
              <w:spacing w:after="0"/>
            </w:pPr>
            <w:r/>
            <w:r>
              <w:rPr>
                <w:rFonts w:ascii="Aptos" w:hAnsi="Aptos"/>
                <w:b w:val="0"/>
                <w:sz w:val="14"/>
              </w:rPr>
              <w:t>Enterprise FinOps owns policy/data; service owner implements and validates; Finance/Procurement govern commercial decisions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Integration points</w:t>
            </w:r>
          </w:p>
        </w:tc>
        <w:tc>
          <w:tcPr>
            <w:tcW w:type="dxa" w:w="7200"/>
            <w:vAlign w:val="top"/>
            <w:tcMar>
              <w:top w:w="80" w:type="dxa"/>
              <w:start w:w="80" w:type="dxa"/>
              <w:bottom w:w="80" w:type="dxa"/>
              <w:end w:w="80" w:type="dxa"/>
            </w:tcMar>
            <w:shd w:fill="F8F9FA"/>
          </w:tcPr>
          <w:p>
            <w:pPr>
              <w:spacing w:after="0"/>
            </w:pPr>
            <w:r/>
            <w:r>
              <w:rPr>
                <w:rFonts w:ascii="Aptos" w:hAnsi="Aptos"/>
                <w:b w:val="0"/>
                <w:sz w:val="14"/>
              </w:rPr>
              <w:t>Cloud Billing, BigQuery, project registry, product catalog, Finance, SRE, Security, ticketing and CI/CD</w:t>
            </w:r>
          </w:p>
        </w:tc>
      </w:tr>
      <w:tr>
        <w:tc>
          <w:tcPr>
            <w:tcW w:type="dxa" w:w="2448"/>
            <w:vAlign w:val="top"/>
            <w:tcMar>
              <w:top w:w="80" w:type="dxa"/>
              <w:start w:w="80" w:type="dxa"/>
              <w:bottom w:w="80" w:type="dxa"/>
              <w:end w:w="80" w:type="dxa"/>
            </w:tcMar>
          </w:tcPr>
          <w:p>
            <w:pPr>
              <w:spacing w:after="0"/>
            </w:pPr>
            <w:r/>
            <w:r>
              <w:rPr>
                <w:rFonts w:ascii="Aptos" w:hAnsi="Aptos"/>
                <w:b w:val="0"/>
                <w:sz w:val="14"/>
              </w:rPr>
              <w:t>Alternatives</w:t>
            </w:r>
          </w:p>
        </w:tc>
        <w:tc>
          <w:tcPr>
            <w:tcW w:type="dxa" w:w="7200"/>
            <w:vAlign w:val="top"/>
            <w:tcMar>
              <w:top w:w="80" w:type="dxa"/>
              <w:start w:w="80" w:type="dxa"/>
              <w:bottom w:w="80" w:type="dxa"/>
              <w:end w:w="80" w:type="dxa"/>
            </w:tcMar>
          </w:tcPr>
          <w:p>
            <w:pPr>
              <w:spacing w:after="0"/>
            </w:pPr>
            <w:r/>
            <w:r>
              <w:rPr>
                <w:rFonts w:ascii="Aptos" w:hAnsi="Aptos"/>
                <w:b w:val="0"/>
                <w:sz w:val="14"/>
              </w:rPr>
              <w:t>Native reports, third-party FinOps tools, alternate processing/storage patterns; select through requirements and evidence</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Selection criteria</w:t>
            </w:r>
          </w:p>
        </w:tc>
        <w:tc>
          <w:tcPr>
            <w:tcW w:type="dxa" w:w="7200"/>
            <w:vAlign w:val="top"/>
            <w:tcMar>
              <w:top w:w="80" w:type="dxa"/>
              <w:start w:w="80" w:type="dxa"/>
              <w:bottom w:w="80" w:type="dxa"/>
              <w:end w:w="80" w:type="dxa"/>
            </w:tcMar>
            <w:shd w:fill="F8F9FA"/>
          </w:tcPr>
          <w:p>
            <w:pPr>
              <w:spacing w:after="0"/>
            </w:pPr>
            <w:r/>
            <w:r>
              <w:rPr>
                <w:rFonts w:ascii="Aptos" w:hAnsi="Aptos"/>
                <w:b w:val="0"/>
                <w:sz w:val="14"/>
              </w:rPr>
              <w:t>Accuracy, scale, regional support, auditability, operational effort, SLOs, security and net economics</w:t>
            </w:r>
          </w:p>
        </w:tc>
      </w:tr>
      <w:tr>
        <w:tc>
          <w:tcPr>
            <w:tcW w:type="dxa" w:w="2448"/>
            <w:vAlign w:val="top"/>
            <w:tcMar>
              <w:top w:w="80" w:type="dxa"/>
              <w:start w:w="80" w:type="dxa"/>
              <w:bottom w:w="80" w:type="dxa"/>
              <w:end w:w="80" w:type="dxa"/>
            </w:tcMar>
          </w:tcPr>
          <w:p>
            <w:pPr>
              <w:spacing w:after="0"/>
            </w:pPr>
            <w:r/>
            <w:r>
              <w:rPr>
                <w:rFonts w:ascii="Aptos" w:hAnsi="Aptos"/>
                <w:b w:val="0"/>
                <w:sz w:val="14"/>
              </w:rPr>
              <w:t>Best practices</w:t>
            </w:r>
          </w:p>
        </w:tc>
        <w:tc>
          <w:tcPr>
            <w:tcW w:type="dxa" w:w="7200"/>
            <w:vAlign w:val="top"/>
            <w:tcMar>
              <w:top w:w="80" w:type="dxa"/>
              <w:start w:w="80" w:type="dxa"/>
              <w:bottom w:w="80" w:type="dxa"/>
              <w:end w:w="80" w:type="dxa"/>
            </w:tcMar>
          </w:tcPr>
          <w:p>
            <w:pPr>
              <w:spacing w:after="0"/>
            </w:pPr>
            <w:r/>
            <w:r>
              <w:rPr>
                <w:rFonts w:ascii="Aptos" w:hAnsi="Aptos"/>
                <w:b w:val="0"/>
                <w:sz w:val="14"/>
              </w:rPr>
              <w:t>Smallest sufficient model, token budgets, caching/batching where valid and accepted-task economics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Reference architecture</w:t>
            </w:r>
          </w:p>
        </w:tc>
        <w:tc>
          <w:tcPr>
            <w:tcW w:type="dxa" w:w="7200"/>
            <w:vAlign w:val="top"/>
            <w:tcMar>
              <w:top w:w="80" w:type="dxa"/>
              <w:start w:w="80" w:type="dxa"/>
              <w:bottom w:w="80" w:type="dxa"/>
              <w:end w:w="80" w:type="dxa"/>
            </w:tcMar>
            <w:shd w:fill="F8F9FA"/>
          </w:tcPr>
          <w:p>
            <w:pPr>
              <w:spacing w:after="0"/>
            </w:pPr>
            <w:r/>
            <w:r>
              <w:rPr>
                <w:rFonts w:ascii="Aptos" w:hAnsi="Aptos"/>
                <w:b w:val="0"/>
                <w:sz w:val="14"/>
              </w:rPr>
              <w:t>Use the enterprise FinOps reference architecture and service-specific sections of this volume</w:t>
            </w:r>
          </w:p>
        </w:tc>
      </w:tr>
      <w:tr>
        <w:tc>
          <w:tcPr>
            <w:tcW w:type="dxa" w:w="2448"/>
            <w:vAlign w:val="top"/>
            <w:tcMar>
              <w:top w:w="80" w:type="dxa"/>
              <w:start w:w="80" w:type="dxa"/>
              <w:bottom w:w="80" w:type="dxa"/>
              <w:end w:w="80" w:type="dxa"/>
            </w:tcMar>
          </w:tcPr>
          <w:p>
            <w:pPr>
              <w:spacing w:after="0"/>
            </w:pPr>
            <w:r/>
            <w:r>
              <w:rPr>
                <w:rFonts w:ascii="Aptos" w:hAnsi="Aptos"/>
                <w:b w:val="0"/>
                <w:sz w:val="14"/>
              </w:rPr>
              <w:t>Sample configuration</w:t>
            </w:r>
          </w:p>
        </w:tc>
        <w:tc>
          <w:tcPr>
            <w:tcW w:type="dxa" w:w="7200"/>
            <w:vAlign w:val="top"/>
            <w:tcMar>
              <w:top w:w="80" w:type="dxa"/>
              <w:start w:w="80" w:type="dxa"/>
              <w:bottom w:w="80" w:type="dxa"/>
              <w:end w:w="80" w:type="dxa"/>
            </w:tcMar>
          </w:tcPr>
          <w:p>
            <w:pPr>
              <w:spacing w:after="0"/>
            </w:pPr>
            <w:r/>
            <w:r>
              <w:rPr>
                <w:rFonts w:ascii="Aptos" w:hAnsi="Aptos"/>
                <w:b w:val="0"/>
                <w:sz w:val="14"/>
              </w:rPr>
              <w:t>See implementation folder and companion SQL/Terraform/Python examples</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Common pitfalls</w:t>
            </w:r>
          </w:p>
        </w:tc>
        <w:tc>
          <w:tcPr>
            <w:tcW w:type="dxa" w:w="7200"/>
            <w:vAlign w:val="top"/>
            <w:tcMar>
              <w:top w:w="80" w:type="dxa"/>
              <w:start w:w="80" w:type="dxa"/>
              <w:bottom w:w="80" w:type="dxa"/>
              <w:end w:w="80" w:type="dxa"/>
            </w:tcMar>
            <w:shd w:fill="F8F9FA"/>
          </w:tcPr>
          <w:p>
            <w:pPr>
              <w:spacing w:after="0"/>
            </w:pPr>
            <w:r/>
            <w:r>
              <w:rPr>
                <w:rFonts w:ascii="Aptos" w:hAnsi="Aptos"/>
                <w:b w:val="0"/>
                <w:sz w:val="14"/>
              </w:rPr>
              <w:t>Treating estimates as invoices, automating destructive action, stale mappings, duplicate telemetry and ignoring credits/late data</w:t>
            </w:r>
          </w:p>
        </w:tc>
      </w:tr>
      <w:tr>
        <w:tc>
          <w:tcPr>
            <w:tcW w:type="dxa" w:w="2448"/>
            <w:vAlign w:val="top"/>
            <w:tcMar>
              <w:top w:w="80" w:type="dxa"/>
              <w:start w:w="80" w:type="dxa"/>
              <w:bottom w:w="80" w:type="dxa"/>
              <w:end w:w="80" w:type="dxa"/>
            </w:tcMar>
          </w:tcPr>
          <w:p>
            <w:pPr>
              <w:spacing w:after="0"/>
            </w:pPr>
            <w:r/>
            <w:r>
              <w:rPr>
                <w:rFonts w:ascii="Aptos" w:hAnsi="Aptos"/>
                <w:b w:val="0"/>
                <w:sz w:val="14"/>
              </w:rPr>
              <w:t>Anti-patterns</w:t>
            </w:r>
          </w:p>
        </w:tc>
        <w:tc>
          <w:tcPr>
            <w:tcW w:type="dxa" w:w="7200"/>
            <w:vAlign w:val="top"/>
            <w:tcMar>
              <w:top w:w="80" w:type="dxa"/>
              <w:start w:w="80" w:type="dxa"/>
              <w:bottom w:w="80" w:type="dxa"/>
              <w:end w:w="80" w:type="dxa"/>
            </w:tcMar>
          </w:tcPr>
          <w:p>
            <w:pPr>
              <w:spacing w:after="0"/>
            </w:pPr>
            <w:r/>
            <w:r>
              <w:rPr>
                <w:rFonts w:ascii="Aptos" w:hAnsi="Aptos"/>
                <w:b w:val="0"/>
                <w:sz w:val="14"/>
              </w:rPr>
              <w:t>Hardcoded list prices, cost-only decisions, broad ownerless shared pools and manual spreadsheets as the authoritative ledger</w:t>
            </w:r>
          </w:p>
        </w:tc>
      </w:tr>
      <w:tr>
        <w:tc>
          <w:tcPr>
            <w:tcW w:type="dxa" w:w="2448"/>
            <w:vAlign w:val="top"/>
            <w:tcMar>
              <w:top w:w="80" w:type="dxa"/>
              <w:start w:w="80" w:type="dxa"/>
              <w:bottom w:w="80" w:type="dxa"/>
              <w:end w:w="80" w:type="dxa"/>
            </w:tcMar>
            <w:shd w:fill="F8F9FA"/>
          </w:tcPr>
          <w:p>
            <w:pPr>
              <w:spacing w:after="0"/>
            </w:pPr>
            <w:r/>
            <w:r>
              <w:rPr>
                <w:rFonts w:ascii="Aptos" w:hAnsi="Aptos"/>
                <w:b w:val="0"/>
                <w:sz w:val="14"/>
              </w:rPr>
              <w:t>Production-readiness checklist</w:t>
            </w:r>
          </w:p>
        </w:tc>
        <w:tc>
          <w:tcPr>
            <w:tcW w:type="dxa" w:w="7200"/>
            <w:vAlign w:val="top"/>
            <w:tcMar>
              <w:top w:w="80" w:type="dxa"/>
              <w:start w:w="80" w:type="dxa"/>
              <w:bottom w:w="80" w:type="dxa"/>
              <w:end w:w="80" w:type="dxa"/>
            </w:tcMar>
            <w:shd w:fill="F8F9FA"/>
          </w:tcPr>
          <w:p>
            <w:pPr>
              <w:spacing w:after="0"/>
            </w:pPr>
            <w:r/>
            <w:r>
              <w:rPr>
                <w:rFonts w:ascii="Aptos" w:hAnsi="Aptos"/>
                <w:b w:val="0"/>
                <w:sz w:val="14"/>
              </w:rPr>
              <w:t>Current docs validated; IAM approved; data reconciled; owner routing tested; SLO/security regression tests passed; rollback documented</w:t>
            </w:r>
          </w:p>
        </w:tc>
      </w:tr>
    </w:tbl>
    <w:p>
      <w:pPr>
        <w:pStyle w:val="Heading1"/>
      </w:pPr>
      <w:r>
        <w:t>27. Architecture Decision Records</w:t>
      </w:r>
    </w:p>
    <w:p>
      <w:r>
        <w:t>Ten complete ADRs are included in the companion package. The table below summarizes the approved reference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top"/>
            <w:tcMar>
              <w:top w:w="80" w:type="dxa"/>
              <w:start w:w="80" w:type="dxa"/>
              <w:bottom w:w="80" w:type="dxa"/>
              <w:end w:w="80" w:type="dxa"/>
            </w:tcMar>
            <w:shd w:fill="1A73E8"/>
          </w:tcPr>
          <w:p>
            <w:pPr>
              <w:spacing w:after="0"/>
            </w:pPr>
            <w:r/>
            <w:r>
              <w:rPr>
                <w:rFonts w:ascii="Aptos" w:hAnsi="Aptos"/>
                <w:b/>
                <w:color w:val="FFFFFF"/>
                <w:sz w:val="14"/>
              </w:rPr>
              <w:t>ADR</w:t>
            </w:r>
          </w:p>
        </w:tc>
        <w:tc>
          <w:tcPr>
            <w:tcW w:type="dxa" w:w="3888"/>
            <w:vAlign w:val="top"/>
            <w:tcMar>
              <w:top w:w="80" w:type="dxa"/>
              <w:start w:w="80" w:type="dxa"/>
              <w:bottom w:w="80" w:type="dxa"/>
              <w:end w:w="80" w:type="dxa"/>
            </w:tcMar>
            <w:shd w:fill="1A73E8"/>
          </w:tcPr>
          <w:p>
            <w:pPr>
              <w:spacing w:after="0"/>
            </w:pPr>
            <w:r/>
            <w:r>
              <w:rPr>
                <w:rFonts w:ascii="Aptos" w:hAnsi="Aptos"/>
                <w:b/>
                <w:color w:val="FFFFFF"/>
                <w:sz w:val="14"/>
              </w:rPr>
              <w:t>Decision</w:t>
            </w:r>
          </w:p>
        </w:tc>
        <w:tc>
          <w:tcPr>
            <w:tcW w:type="dxa" w:w="4608"/>
            <w:vAlign w:val="top"/>
            <w:tcMar>
              <w:top w:w="80" w:type="dxa"/>
              <w:start w:w="80" w:type="dxa"/>
              <w:bottom w:w="80" w:type="dxa"/>
              <w:end w:w="80" w:type="dxa"/>
            </w:tcMar>
            <w:shd w:fill="1A73E8"/>
          </w:tcPr>
          <w:p>
            <w:pPr>
              <w:spacing w:after="0"/>
            </w:pPr>
            <w:r/>
            <w:r>
              <w:rPr>
                <w:rFonts w:ascii="Aptos" w:hAnsi="Aptos"/>
                <w:b/>
                <w:color w:val="FFFFFF"/>
                <w:sz w:val="14"/>
              </w:rPr>
              <w:t>Reference outcome</w:t>
            </w:r>
          </w:p>
        </w:tc>
      </w:tr>
      <w:tr>
        <w:tc>
          <w:tcPr>
            <w:tcW w:type="dxa" w:w="1440"/>
            <w:vAlign w:val="top"/>
            <w:tcMar>
              <w:top w:w="80" w:type="dxa"/>
              <w:start w:w="80" w:type="dxa"/>
              <w:bottom w:w="80" w:type="dxa"/>
              <w:end w:w="80" w:type="dxa"/>
            </w:tcMar>
          </w:tcPr>
          <w:p>
            <w:pPr>
              <w:spacing w:after="0"/>
            </w:pPr>
            <w:r/>
            <w:r>
              <w:rPr>
                <w:rFonts w:ascii="Aptos" w:hAnsi="Aptos"/>
                <w:b w:val="0"/>
                <w:sz w:val="14"/>
              </w:rPr>
              <w:t>ADR-1001</w:t>
            </w:r>
          </w:p>
        </w:tc>
        <w:tc>
          <w:tcPr>
            <w:tcW w:type="dxa" w:w="3888"/>
            <w:vAlign w:val="top"/>
            <w:tcMar>
              <w:top w:w="80" w:type="dxa"/>
              <w:start w:w="80" w:type="dxa"/>
              <w:bottom w:w="80" w:type="dxa"/>
              <w:end w:w="80" w:type="dxa"/>
            </w:tcMar>
          </w:tcPr>
          <w:p>
            <w:pPr>
              <w:spacing w:after="0"/>
            </w:pPr>
            <w:r/>
            <w:r>
              <w:rPr>
                <w:rFonts w:ascii="Aptos" w:hAnsi="Aptos"/>
                <w:b w:val="0"/>
                <w:sz w:val="14"/>
              </w:rPr>
              <w:t>Adopt a federated FinOps operating model</w:t>
            </w:r>
          </w:p>
        </w:tc>
        <w:tc>
          <w:tcPr>
            <w:tcW w:type="dxa" w:w="4608"/>
            <w:vAlign w:val="top"/>
            <w:tcMar>
              <w:top w:w="80" w:type="dxa"/>
              <w:start w:w="80" w:type="dxa"/>
              <w:bottom w:w="80" w:type="dxa"/>
              <w:end w:w="80" w:type="dxa"/>
            </w:tcMar>
          </w:tcPr>
          <w:p>
            <w:pPr>
              <w:spacing w:after="0"/>
            </w:pPr>
            <w:r/>
            <w:r>
              <w:rPr>
                <w:rFonts w:ascii="Aptos" w:hAnsi="Aptos"/>
                <w:b w:val="0"/>
                <w:sz w:val="14"/>
              </w:rPr>
              <w:t>Establish a central Enterprise FinOps function that owns policy, data products, commitments and enterprise reporting; domain product owners own budgets, forecasts and optimization actions.</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ADR-1002</w:t>
            </w:r>
          </w:p>
        </w:tc>
        <w:tc>
          <w:tcPr>
            <w:tcW w:type="dxa" w:w="3888"/>
            <w:vAlign w:val="top"/>
            <w:tcMar>
              <w:top w:w="80" w:type="dxa"/>
              <w:start w:w="80" w:type="dxa"/>
              <w:bottom w:w="80" w:type="dxa"/>
              <w:end w:w="80" w:type="dxa"/>
            </w:tcMar>
            <w:shd w:fill="F8F9FA"/>
          </w:tcPr>
          <w:p>
            <w:pPr>
              <w:spacing w:after="0"/>
            </w:pPr>
            <w:r/>
            <w:r>
              <w:rPr>
                <w:rFonts w:ascii="Aptos" w:hAnsi="Aptos"/>
                <w:b w:val="0"/>
                <w:sz w:val="14"/>
              </w:rPr>
              <w:t>Use governed Cloud Billing exports in BigQuery as the cost data foundation</w:t>
            </w:r>
          </w:p>
        </w:tc>
        <w:tc>
          <w:tcPr>
            <w:tcW w:type="dxa" w:w="4608"/>
            <w:vAlign w:val="top"/>
            <w:tcMar>
              <w:top w:w="80" w:type="dxa"/>
              <w:start w:w="80" w:type="dxa"/>
              <w:bottom w:w="80" w:type="dxa"/>
              <w:end w:w="80" w:type="dxa"/>
            </w:tcMar>
            <w:shd w:fill="F8F9FA"/>
          </w:tcPr>
          <w:p>
            <w:pPr>
              <w:spacing w:after="0"/>
            </w:pPr>
            <w:r/>
            <w:r>
              <w:rPr>
                <w:rFonts w:ascii="Aptos" w:hAnsi="Aptos"/>
                <w:b w:val="0"/>
                <w:sz w:val="14"/>
              </w:rPr>
              <w:t>Enable FOCUS where appropriate plus detailed usage, pricing and CUD metadata exports; retain immutable raw data and expose schema-stable normalized views.</w:t>
            </w:r>
          </w:p>
        </w:tc>
      </w:tr>
      <w:tr>
        <w:tc>
          <w:tcPr>
            <w:tcW w:type="dxa" w:w="1440"/>
            <w:vAlign w:val="top"/>
            <w:tcMar>
              <w:top w:w="80" w:type="dxa"/>
              <w:start w:w="80" w:type="dxa"/>
              <w:bottom w:w="80" w:type="dxa"/>
              <w:end w:w="80" w:type="dxa"/>
            </w:tcMar>
          </w:tcPr>
          <w:p>
            <w:pPr>
              <w:spacing w:after="0"/>
            </w:pPr>
            <w:r/>
            <w:r>
              <w:rPr>
                <w:rFonts w:ascii="Aptos" w:hAnsi="Aptos"/>
                <w:b w:val="0"/>
                <w:sz w:val="14"/>
              </w:rPr>
              <w:t>ADR-1003</w:t>
            </w:r>
          </w:p>
        </w:tc>
        <w:tc>
          <w:tcPr>
            <w:tcW w:type="dxa" w:w="3888"/>
            <w:vAlign w:val="top"/>
            <w:tcMar>
              <w:top w:w="80" w:type="dxa"/>
              <w:start w:w="80" w:type="dxa"/>
              <w:bottom w:w="80" w:type="dxa"/>
              <w:end w:w="80" w:type="dxa"/>
            </w:tcMar>
          </w:tcPr>
          <w:p>
            <w:pPr>
              <w:spacing w:after="0"/>
            </w:pPr>
            <w:r/>
            <w:r>
              <w:rPr>
                <w:rFonts w:ascii="Aptos" w:hAnsi="Aptos"/>
                <w:b w:val="0"/>
                <w:sz w:val="14"/>
              </w:rPr>
              <w:t>Enforce a mandatory cost-allocation taxonomy</w:t>
            </w:r>
          </w:p>
        </w:tc>
        <w:tc>
          <w:tcPr>
            <w:tcW w:type="dxa" w:w="4608"/>
            <w:vAlign w:val="top"/>
            <w:tcMar>
              <w:top w:w="80" w:type="dxa"/>
              <w:start w:w="80" w:type="dxa"/>
              <w:bottom w:w="80" w:type="dxa"/>
              <w:end w:w="80" w:type="dxa"/>
            </w:tcMar>
          </w:tcPr>
          <w:p>
            <w:pPr>
              <w:spacing w:after="0"/>
            </w:pPr>
            <w:r/>
            <w:r>
              <w:rPr>
                <w:rFonts w:ascii="Aptos" w:hAnsi="Aptos"/>
                <w:b w:val="0"/>
                <w:sz w:val="14"/>
              </w:rPr>
              <w:t>Require project mapping and a standard label/tag taxonomy with automated validation, unallocated queues and approved fallbacks.</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ADR-1004</w:t>
            </w:r>
          </w:p>
        </w:tc>
        <w:tc>
          <w:tcPr>
            <w:tcW w:type="dxa" w:w="3888"/>
            <w:vAlign w:val="top"/>
            <w:tcMar>
              <w:top w:w="80" w:type="dxa"/>
              <w:start w:w="80" w:type="dxa"/>
              <w:bottom w:w="80" w:type="dxa"/>
              <w:end w:w="80" w:type="dxa"/>
            </w:tcMar>
            <w:shd w:fill="F8F9FA"/>
          </w:tcPr>
          <w:p>
            <w:pPr>
              <w:spacing w:after="0"/>
            </w:pPr>
            <w:r/>
            <w:r>
              <w:rPr>
                <w:rFonts w:ascii="Aptos" w:hAnsi="Aptos"/>
                <w:b w:val="0"/>
                <w:sz w:val="14"/>
              </w:rPr>
              <w:t>Introduce showback before financial chargeback</w:t>
            </w:r>
          </w:p>
        </w:tc>
        <w:tc>
          <w:tcPr>
            <w:tcW w:type="dxa" w:w="4608"/>
            <w:vAlign w:val="top"/>
            <w:tcMar>
              <w:top w:w="80" w:type="dxa"/>
              <w:start w:w="80" w:type="dxa"/>
              <w:bottom w:w="80" w:type="dxa"/>
              <w:end w:w="80" w:type="dxa"/>
            </w:tcMar>
            <w:shd w:fill="F8F9FA"/>
          </w:tcPr>
          <w:p>
            <w:pPr>
              <w:spacing w:after="0"/>
            </w:pPr>
            <w:r/>
            <w:r>
              <w:rPr>
                <w:rFonts w:ascii="Aptos" w:hAnsi="Aptos"/>
                <w:b w:val="0"/>
                <w:sz w:val="14"/>
              </w:rPr>
              <w:t>Operate showback for at least two stable reporting cycles, then activate chargeback for approved pools when allocation coverage, reconciliation and dispute controls pass thresholds.</w:t>
            </w:r>
          </w:p>
        </w:tc>
      </w:tr>
      <w:tr>
        <w:tc>
          <w:tcPr>
            <w:tcW w:type="dxa" w:w="1440"/>
            <w:vAlign w:val="top"/>
            <w:tcMar>
              <w:top w:w="80" w:type="dxa"/>
              <w:start w:w="80" w:type="dxa"/>
              <w:bottom w:w="80" w:type="dxa"/>
              <w:end w:w="80" w:type="dxa"/>
            </w:tcMar>
          </w:tcPr>
          <w:p>
            <w:pPr>
              <w:spacing w:after="0"/>
            </w:pPr>
            <w:r/>
            <w:r>
              <w:rPr>
                <w:rFonts w:ascii="Aptos" w:hAnsi="Aptos"/>
                <w:b w:val="0"/>
                <w:sz w:val="14"/>
              </w:rPr>
              <w:t>ADR-1005</w:t>
            </w:r>
          </w:p>
        </w:tc>
        <w:tc>
          <w:tcPr>
            <w:tcW w:type="dxa" w:w="3888"/>
            <w:vAlign w:val="top"/>
            <w:tcMar>
              <w:top w:w="80" w:type="dxa"/>
              <w:start w:w="80" w:type="dxa"/>
              <w:bottom w:w="80" w:type="dxa"/>
              <w:end w:w="80" w:type="dxa"/>
            </w:tcMar>
          </w:tcPr>
          <w:p>
            <w:pPr>
              <w:spacing w:after="0"/>
            </w:pPr>
            <w:r/>
            <w:r>
              <w:rPr>
                <w:rFonts w:ascii="Aptos" w:hAnsi="Aptos"/>
                <w:b w:val="0"/>
                <w:sz w:val="14"/>
              </w:rPr>
              <w:t>Use a hybrid BigQuery pricing and reservation strategy</w:t>
            </w:r>
          </w:p>
        </w:tc>
        <w:tc>
          <w:tcPr>
            <w:tcW w:type="dxa" w:w="4608"/>
            <w:vAlign w:val="top"/>
            <w:tcMar>
              <w:top w:w="80" w:type="dxa"/>
              <w:start w:w="80" w:type="dxa"/>
              <w:bottom w:w="80" w:type="dxa"/>
              <w:end w:w="80" w:type="dxa"/>
            </w:tcMar>
          </w:tcPr>
          <w:p>
            <w:pPr>
              <w:spacing w:after="0"/>
            </w:pPr>
            <w:r/>
            <w:r>
              <w:rPr>
                <w:rFonts w:ascii="Aptos" w:hAnsi="Aptos"/>
                <w:b w:val="0"/>
                <w:sz w:val="14"/>
              </w:rPr>
              <w:t>Use capacity-based reservations with autoscaling and workload isolation for predictable production demand; retain on-demand for low-volume, uncertain or short-lived workloads. Purchase commitments only after utilization evidence.</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ADR-1006</w:t>
            </w:r>
          </w:p>
        </w:tc>
        <w:tc>
          <w:tcPr>
            <w:tcW w:type="dxa" w:w="3888"/>
            <w:vAlign w:val="top"/>
            <w:tcMar>
              <w:top w:w="80" w:type="dxa"/>
              <w:start w:w="80" w:type="dxa"/>
              <w:bottom w:w="80" w:type="dxa"/>
              <w:end w:w="80" w:type="dxa"/>
            </w:tcMar>
            <w:shd w:fill="F8F9FA"/>
          </w:tcPr>
          <w:p>
            <w:pPr>
              <w:spacing w:after="0"/>
            </w:pPr>
            <w:r/>
            <w:r>
              <w:rPr>
                <w:rFonts w:ascii="Aptos" w:hAnsi="Aptos"/>
                <w:b w:val="0"/>
                <w:sz w:val="14"/>
              </w:rPr>
              <w:t>Manage commitments as a portfolio, not per project</w:t>
            </w:r>
          </w:p>
        </w:tc>
        <w:tc>
          <w:tcPr>
            <w:tcW w:type="dxa" w:w="4608"/>
            <w:vAlign w:val="top"/>
            <w:tcMar>
              <w:top w:w="80" w:type="dxa"/>
              <w:start w:w="80" w:type="dxa"/>
              <w:bottom w:w="80" w:type="dxa"/>
              <w:end w:w="80" w:type="dxa"/>
            </w:tcMar>
            <w:shd w:fill="F8F9FA"/>
          </w:tcPr>
          <w:p>
            <w:pPr>
              <w:spacing w:after="0"/>
            </w:pPr>
            <w:r/>
            <w:r>
              <w:rPr>
                <w:rFonts w:ascii="Aptos" w:hAnsi="Aptos"/>
                <w:b w:val="0"/>
                <w:sz w:val="14"/>
              </w:rPr>
              <w:t>Centralize commitment scenario analysis, approval and performance tracking at billing-account or portfolio level, with consumption allocated to beneficiaries.</w:t>
            </w:r>
          </w:p>
        </w:tc>
      </w:tr>
      <w:tr>
        <w:tc>
          <w:tcPr>
            <w:tcW w:type="dxa" w:w="1440"/>
            <w:vAlign w:val="top"/>
            <w:tcMar>
              <w:top w:w="80" w:type="dxa"/>
              <w:start w:w="80" w:type="dxa"/>
              <w:bottom w:w="80" w:type="dxa"/>
              <w:end w:w="80" w:type="dxa"/>
            </w:tcMar>
          </w:tcPr>
          <w:p>
            <w:pPr>
              <w:spacing w:after="0"/>
            </w:pPr>
            <w:r/>
            <w:r>
              <w:rPr>
                <w:rFonts w:ascii="Aptos" w:hAnsi="Aptos"/>
                <w:b w:val="0"/>
                <w:sz w:val="14"/>
              </w:rPr>
              <w:t>ADR-1007</w:t>
            </w:r>
          </w:p>
        </w:tc>
        <w:tc>
          <w:tcPr>
            <w:tcW w:type="dxa" w:w="3888"/>
            <w:vAlign w:val="top"/>
            <w:tcMar>
              <w:top w:w="80" w:type="dxa"/>
              <w:start w:w="80" w:type="dxa"/>
              <w:bottom w:w="80" w:type="dxa"/>
              <w:end w:w="80" w:type="dxa"/>
            </w:tcMar>
          </w:tcPr>
          <w:p>
            <w:pPr>
              <w:spacing w:after="0"/>
            </w:pPr>
            <w:r/>
            <w:r>
              <w:rPr>
                <w:rFonts w:ascii="Aptos" w:hAnsi="Aptos"/>
                <w:b w:val="0"/>
                <w:sz w:val="14"/>
              </w:rPr>
              <w:t>Use quality-adjusted unit economics as the primary optimization outcome</w:t>
            </w:r>
          </w:p>
        </w:tc>
        <w:tc>
          <w:tcPr>
            <w:tcW w:type="dxa" w:w="4608"/>
            <w:vAlign w:val="top"/>
            <w:tcMar>
              <w:top w:w="80" w:type="dxa"/>
              <w:start w:w="80" w:type="dxa"/>
              <w:bottom w:w="80" w:type="dxa"/>
              <w:end w:w="80" w:type="dxa"/>
            </w:tcMar>
          </w:tcPr>
          <w:p>
            <w:pPr>
              <w:spacing w:after="0"/>
            </w:pPr>
            <w:r/>
            <w:r>
              <w:rPr>
                <w:rFonts w:ascii="Aptos" w:hAnsi="Aptos"/>
                <w:b w:val="0"/>
                <w:sz w:val="14"/>
              </w:rPr>
              <w:t>Track cost per successful business unit together with SLO, quality, security and business-value indicators.</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ADR-1008</w:t>
            </w:r>
          </w:p>
        </w:tc>
        <w:tc>
          <w:tcPr>
            <w:tcW w:type="dxa" w:w="3888"/>
            <w:vAlign w:val="top"/>
            <w:tcMar>
              <w:top w:w="80" w:type="dxa"/>
              <w:start w:w="80" w:type="dxa"/>
              <w:bottom w:w="80" w:type="dxa"/>
              <w:end w:w="80" w:type="dxa"/>
            </w:tcMar>
            <w:shd w:fill="F8F9FA"/>
          </w:tcPr>
          <w:p>
            <w:pPr>
              <w:spacing w:after="0"/>
            </w:pPr>
            <w:r/>
            <w:r>
              <w:rPr>
                <w:rFonts w:ascii="Aptos" w:hAnsi="Aptos"/>
                <w:b w:val="0"/>
                <w:sz w:val="14"/>
              </w:rPr>
              <w:t>Automate budget and anomaly notifications without automatic destructive shutdown</w:t>
            </w:r>
          </w:p>
        </w:tc>
        <w:tc>
          <w:tcPr>
            <w:tcW w:type="dxa" w:w="4608"/>
            <w:vAlign w:val="top"/>
            <w:tcMar>
              <w:top w:w="80" w:type="dxa"/>
              <w:start w:w="80" w:type="dxa"/>
              <w:bottom w:w="80" w:type="dxa"/>
              <w:end w:w="80" w:type="dxa"/>
            </w:tcMar>
            <w:shd w:fill="F8F9FA"/>
          </w:tcPr>
          <w:p>
            <w:pPr>
              <w:spacing w:after="0"/>
            </w:pPr>
            <w:r/>
            <w:r>
              <w:rPr>
                <w:rFonts w:ascii="Aptos" w:hAnsi="Aptos"/>
                <w:b w:val="0"/>
                <w:sz w:val="14"/>
              </w:rPr>
              <w:t>Publish budget and anomaly events to Pub/Sub, create idempotent workflow tickets, and require policy-based human approval for destructive actions.</w:t>
            </w:r>
          </w:p>
        </w:tc>
      </w:tr>
      <w:tr>
        <w:tc>
          <w:tcPr>
            <w:tcW w:type="dxa" w:w="1440"/>
            <w:vAlign w:val="top"/>
            <w:tcMar>
              <w:top w:w="80" w:type="dxa"/>
              <w:start w:w="80" w:type="dxa"/>
              <w:bottom w:w="80" w:type="dxa"/>
              <w:end w:w="80" w:type="dxa"/>
            </w:tcMar>
          </w:tcPr>
          <w:p>
            <w:pPr>
              <w:spacing w:after="0"/>
            </w:pPr>
            <w:r/>
            <w:r>
              <w:rPr>
                <w:rFonts w:ascii="Aptos" w:hAnsi="Aptos"/>
                <w:b w:val="0"/>
                <w:sz w:val="14"/>
              </w:rPr>
              <w:t>ADR-1009</w:t>
            </w:r>
          </w:p>
        </w:tc>
        <w:tc>
          <w:tcPr>
            <w:tcW w:type="dxa" w:w="3888"/>
            <w:vAlign w:val="top"/>
            <w:tcMar>
              <w:top w:w="80" w:type="dxa"/>
              <w:start w:w="80" w:type="dxa"/>
              <w:bottom w:w="80" w:type="dxa"/>
              <w:end w:w="80" w:type="dxa"/>
            </w:tcMar>
          </w:tcPr>
          <w:p>
            <w:pPr>
              <w:spacing w:after="0"/>
            </w:pPr>
            <w:r/>
            <w:r>
              <w:rPr>
                <w:rFonts w:ascii="Aptos" w:hAnsi="Aptos"/>
                <w:b w:val="0"/>
                <w:sz w:val="14"/>
              </w:rPr>
              <w:t>Apply evidence-based storage lifecycle and log retention policies</w:t>
            </w:r>
          </w:p>
        </w:tc>
        <w:tc>
          <w:tcPr>
            <w:tcW w:type="dxa" w:w="4608"/>
            <w:vAlign w:val="top"/>
            <w:tcMar>
              <w:top w:w="80" w:type="dxa"/>
              <w:start w:w="80" w:type="dxa"/>
              <w:bottom w:w="80" w:type="dxa"/>
              <w:end w:w="80" w:type="dxa"/>
            </w:tcMar>
          </w:tcPr>
          <w:p>
            <w:pPr>
              <w:spacing w:after="0"/>
            </w:pPr>
            <w:r/>
            <w:r>
              <w:rPr>
                <w:rFonts w:ascii="Aptos" w:hAnsi="Aptos"/>
                <w:b w:val="0"/>
                <w:sz w:val="14"/>
              </w:rPr>
              <w:t>Use lifecycle rules or Autoclass where workload access patterns fit; preserve legal holds, required audit evidence, privacy deletion and recovery objectives.</w:t>
            </w:r>
          </w:p>
        </w:tc>
      </w:tr>
      <w:tr>
        <w:tc>
          <w:tcPr>
            <w:tcW w:type="dxa" w:w="1440"/>
            <w:vAlign w:val="top"/>
            <w:tcMar>
              <w:top w:w="80" w:type="dxa"/>
              <w:start w:w="80" w:type="dxa"/>
              <w:bottom w:w="80" w:type="dxa"/>
              <w:end w:w="80" w:type="dxa"/>
            </w:tcMar>
            <w:shd w:fill="F8F9FA"/>
          </w:tcPr>
          <w:p>
            <w:pPr>
              <w:spacing w:after="0"/>
            </w:pPr>
            <w:r/>
            <w:r>
              <w:rPr>
                <w:rFonts w:ascii="Aptos" w:hAnsi="Aptos"/>
                <w:b w:val="0"/>
                <w:sz w:val="14"/>
              </w:rPr>
              <w:t>ADR-1010</w:t>
            </w:r>
          </w:p>
        </w:tc>
        <w:tc>
          <w:tcPr>
            <w:tcW w:type="dxa" w:w="3888"/>
            <w:vAlign w:val="top"/>
            <w:tcMar>
              <w:top w:w="80" w:type="dxa"/>
              <w:start w:w="80" w:type="dxa"/>
              <w:bottom w:w="80" w:type="dxa"/>
              <w:end w:w="80" w:type="dxa"/>
            </w:tcMar>
            <w:shd w:fill="F8F9FA"/>
          </w:tcPr>
          <w:p>
            <w:pPr>
              <w:spacing w:after="0"/>
            </w:pPr>
            <w:r/>
            <w:r>
              <w:rPr>
                <w:rFonts w:ascii="Aptos" w:hAnsi="Aptos"/>
                <w:b w:val="0"/>
                <w:sz w:val="14"/>
              </w:rPr>
              <w:t>Govern AI cost through model routing and token budgets</w:t>
            </w:r>
          </w:p>
        </w:tc>
        <w:tc>
          <w:tcPr>
            <w:tcW w:type="dxa" w:w="4608"/>
            <w:vAlign w:val="top"/>
            <w:tcMar>
              <w:top w:w="80" w:type="dxa"/>
              <w:start w:w="80" w:type="dxa"/>
              <w:bottom w:w="80" w:type="dxa"/>
              <w:end w:w="80" w:type="dxa"/>
            </w:tcMar>
            <w:shd w:fill="F8F9FA"/>
          </w:tcPr>
          <w:p>
            <w:pPr>
              <w:spacing w:after="0"/>
            </w:pPr>
            <w:r/>
            <w:r>
              <w:rPr>
                <w:rFonts w:ascii="Aptos" w:hAnsi="Aptos"/>
                <w:b w:val="0"/>
                <w:sz w:val="14"/>
              </w:rPr>
              <w:t>Use approved model aliases, smallest-sufficient-model routing, prompt/retrieval budgets, token metering, context caching where safe, and cost per accepted task.</w:t>
            </w:r>
          </w:p>
        </w:tc>
      </w:tr>
    </w:tbl>
    <w:p>
      <w:r>
        <w:t>Each companion ADR contains the complete master-prompt fields: context, drivers, constraints, assumptions, alternatives, criteria, rationale, benefits, tradeoffs, consequences, risks, mitigations, implementation, cost, security, operations and review triggers.</w:t>
      </w:r>
    </w:p>
    <w:p>
      <w:pPr>
        <w:pStyle w:val="Heading1"/>
      </w:pPr>
      <w:r>
        <w:t>28. Risks and Mitigations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864"/>
            <w:vAlign w:val="top"/>
            <w:tcMar>
              <w:top w:w="80" w:type="dxa"/>
              <w:start w:w="80" w:type="dxa"/>
              <w:bottom w:w="80" w:type="dxa"/>
              <w:end w:w="80" w:type="dxa"/>
            </w:tcMar>
            <w:shd w:fill="1A73E8"/>
          </w:tcPr>
          <w:p>
            <w:pPr>
              <w:spacing w:after="0"/>
            </w:pPr>
            <w:r/>
            <w:r>
              <w:rPr>
                <w:rFonts w:ascii="Aptos" w:hAnsi="Aptos"/>
                <w:b/>
                <w:color w:val="FFFFFF"/>
                <w:sz w:val="14"/>
              </w:rPr>
              <w:t>ID</w:t>
            </w:r>
          </w:p>
        </w:tc>
        <w:tc>
          <w:tcPr>
            <w:tcW w:type="dxa" w:w="3024"/>
            <w:vAlign w:val="top"/>
            <w:tcMar>
              <w:top w:w="80" w:type="dxa"/>
              <w:start w:w="80" w:type="dxa"/>
              <w:bottom w:w="80" w:type="dxa"/>
              <w:end w:w="80" w:type="dxa"/>
            </w:tcMar>
            <w:shd w:fill="1A73E8"/>
          </w:tcPr>
          <w:p>
            <w:pPr>
              <w:spacing w:after="0"/>
            </w:pPr>
            <w:r/>
            <w:r>
              <w:rPr>
                <w:rFonts w:ascii="Aptos" w:hAnsi="Aptos"/>
                <w:b/>
                <w:color w:val="FFFFFF"/>
                <w:sz w:val="14"/>
              </w:rPr>
              <w:t>Risk</w:t>
            </w:r>
          </w:p>
        </w:tc>
        <w:tc>
          <w:tcPr>
            <w:tcW w:type="dxa" w:w="1152"/>
            <w:vAlign w:val="top"/>
            <w:tcMar>
              <w:top w:w="80" w:type="dxa"/>
              <w:start w:w="80" w:type="dxa"/>
              <w:bottom w:w="80" w:type="dxa"/>
              <w:end w:w="80" w:type="dxa"/>
            </w:tcMar>
            <w:shd w:fill="1A73E8"/>
          </w:tcPr>
          <w:p>
            <w:pPr>
              <w:spacing w:after="0"/>
            </w:pPr>
            <w:r/>
            <w:r>
              <w:rPr>
                <w:rFonts w:ascii="Aptos" w:hAnsi="Aptos"/>
                <w:b/>
                <w:color w:val="FFFFFF"/>
                <w:sz w:val="14"/>
              </w:rPr>
              <w:t>Impact</w:t>
            </w:r>
          </w:p>
        </w:tc>
        <w:tc>
          <w:tcPr>
            <w:tcW w:type="dxa" w:w="3888"/>
            <w:vAlign w:val="top"/>
            <w:tcMar>
              <w:top w:w="80" w:type="dxa"/>
              <w:start w:w="80" w:type="dxa"/>
              <w:bottom w:w="80" w:type="dxa"/>
              <w:end w:w="80" w:type="dxa"/>
            </w:tcMar>
            <w:shd w:fill="1A73E8"/>
          </w:tcPr>
          <w:p>
            <w:pPr>
              <w:spacing w:after="0"/>
            </w:pPr>
            <w:r/>
            <w:r>
              <w:rPr>
                <w:rFonts w:ascii="Aptos" w:hAnsi="Aptos"/>
                <w:b/>
                <w:color w:val="FFFFFF"/>
                <w:sz w:val="14"/>
              </w:rPr>
              <w:t>Mitigation</w:t>
            </w:r>
          </w:p>
        </w:tc>
        <w:tc>
          <w:tcPr>
            <w:tcW w:type="dxa" w:w="1440"/>
            <w:vAlign w:val="top"/>
            <w:tcMar>
              <w:top w:w="80" w:type="dxa"/>
              <w:start w:w="80" w:type="dxa"/>
              <w:bottom w:w="80" w:type="dxa"/>
              <w:end w:w="80" w:type="dxa"/>
            </w:tcMar>
            <w:shd w:fill="1A73E8"/>
          </w:tcPr>
          <w:p>
            <w:pPr>
              <w:spacing w:after="0"/>
            </w:pPr>
            <w:r/>
            <w:r>
              <w:rPr>
                <w:rFonts w:ascii="Aptos" w:hAnsi="Aptos"/>
                <w:b/>
                <w:color w:val="FFFFFF"/>
                <w:sz w:val="14"/>
              </w:rPr>
              <w:t>Owner</w:t>
            </w:r>
          </w:p>
        </w:tc>
      </w:tr>
      <w:tr>
        <w:tc>
          <w:tcPr>
            <w:tcW w:type="dxa" w:w="864"/>
            <w:vAlign w:val="top"/>
            <w:tcMar>
              <w:top w:w="80" w:type="dxa"/>
              <w:start w:w="80" w:type="dxa"/>
              <w:bottom w:w="80" w:type="dxa"/>
              <w:end w:w="80" w:type="dxa"/>
            </w:tcMar>
          </w:tcPr>
          <w:p>
            <w:pPr>
              <w:spacing w:after="0"/>
            </w:pPr>
            <w:r/>
            <w:r>
              <w:rPr>
                <w:rFonts w:ascii="Aptos" w:hAnsi="Aptos"/>
                <w:b w:val="0"/>
                <w:sz w:val="14"/>
              </w:rPr>
              <w:t>FIN-01</w:t>
            </w:r>
          </w:p>
        </w:tc>
        <w:tc>
          <w:tcPr>
            <w:tcW w:type="dxa" w:w="3024"/>
            <w:vAlign w:val="top"/>
            <w:tcMar>
              <w:top w:w="80" w:type="dxa"/>
              <w:start w:w="80" w:type="dxa"/>
              <w:bottom w:w="80" w:type="dxa"/>
              <w:end w:w="80" w:type="dxa"/>
            </w:tcMar>
          </w:tcPr>
          <w:p>
            <w:pPr>
              <w:spacing w:after="0"/>
            </w:pPr>
            <w:r/>
            <w:r>
              <w:rPr>
                <w:rFonts w:ascii="Aptos" w:hAnsi="Aptos"/>
                <w:b w:val="0"/>
                <w:sz w:val="14"/>
              </w:rPr>
              <w:t>Unallocated spend undermines accountability</w:t>
            </w:r>
          </w:p>
        </w:tc>
        <w:tc>
          <w:tcPr>
            <w:tcW w:type="dxa" w:w="1152"/>
            <w:vAlign w:val="top"/>
            <w:tcMar>
              <w:top w:w="80" w:type="dxa"/>
              <w:start w:w="80" w:type="dxa"/>
              <w:bottom w:w="80" w:type="dxa"/>
              <w:end w:w="80" w:type="dxa"/>
            </w:tcMar>
          </w:tcPr>
          <w:p>
            <w:pPr>
              <w:spacing w:after="0"/>
            </w:pPr>
            <w:r/>
            <w:r>
              <w:rPr>
                <w:rFonts w:ascii="Aptos" w:hAnsi="Aptos"/>
                <w:b w:val="0"/>
                <w:sz w:val="14"/>
              </w:rPr>
              <w:t>High</w:t>
            </w:r>
          </w:p>
        </w:tc>
        <w:tc>
          <w:tcPr>
            <w:tcW w:type="dxa" w:w="3888"/>
            <w:vAlign w:val="top"/>
            <w:tcMar>
              <w:top w:w="80" w:type="dxa"/>
              <w:start w:w="80" w:type="dxa"/>
              <w:bottom w:w="80" w:type="dxa"/>
              <w:end w:w="80" w:type="dxa"/>
            </w:tcMar>
          </w:tcPr>
          <w:p>
            <w:pPr>
              <w:spacing w:after="0"/>
            </w:pPr>
            <w:r/>
            <w:r>
              <w:rPr>
                <w:rFonts w:ascii="Aptos" w:hAnsi="Aptos"/>
                <w:b w:val="0"/>
                <w:sz w:val="14"/>
              </w:rPr>
              <w:t>mandatory project mapping, label policy, unallocated queue and executive KPI</w:t>
            </w:r>
          </w:p>
        </w:tc>
        <w:tc>
          <w:tcPr>
            <w:tcW w:type="dxa" w:w="1440"/>
            <w:vAlign w:val="top"/>
            <w:tcMar>
              <w:top w:w="80" w:type="dxa"/>
              <w:start w:w="80" w:type="dxa"/>
              <w:bottom w:w="80" w:type="dxa"/>
              <w:end w:w="80" w:type="dxa"/>
            </w:tcMar>
          </w:tcPr>
          <w:p>
            <w:pPr>
              <w:spacing w:after="0"/>
            </w:pPr>
            <w:r/>
            <w:r>
              <w:rPr>
                <w:rFonts w:ascii="Aptos" w:hAnsi="Aptos"/>
                <w:b w:val="0"/>
                <w:sz w:val="14"/>
              </w:rPr>
              <w:t>Enterprise FinOps</w:t>
            </w:r>
          </w:p>
        </w:tc>
      </w:tr>
      <w:tr>
        <w:tc>
          <w:tcPr>
            <w:tcW w:type="dxa" w:w="864"/>
            <w:vAlign w:val="top"/>
            <w:tcMar>
              <w:top w:w="80" w:type="dxa"/>
              <w:start w:w="80" w:type="dxa"/>
              <w:bottom w:w="80" w:type="dxa"/>
              <w:end w:w="80" w:type="dxa"/>
            </w:tcMar>
            <w:shd w:fill="F8F9FA"/>
          </w:tcPr>
          <w:p>
            <w:pPr>
              <w:spacing w:after="0"/>
            </w:pPr>
            <w:r/>
            <w:r>
              <w:rPr>
                <w:rFonts w:ascii="Aptos" w:hAnsi="Aptos"/>
                <w:b w:val="0"/>
                <w:sz w:val="14"/>
              </w:rPr>
              <w:t>FIN-02</w:t>
            </w:r>
          </w:p>
        </w:tc>
        <w:tc>
          <w:tcPr>
            <w:tcW w:type="dxa" w:w="3024"/>
            <w:vAlign w:val="top"/>
            <w:tcMar>
              <w:top w:w="80" w:type="dxa"/>
              <w:start w:w="80" w:type="dxa"/>
              <w:bottom w:w="80" w:type="dxa"/>
              <w:end w:w="80" w:type="dxa"/>
            </w:tcMar>
            <w:shd w:fill="F8F9FA"/>
          </w:tcPr>
          <w:p>
            <w:pPr>
              <w:spacing w:after="0"/>
            </w:pPr>
            <w:r/>
            <w:r>
              <w:rPr>
                <w:rFonts w:ascii="Aptos" w:hAnsi="Aptos"/>
                <w:b w:val="0"/>
                <w:sz w:val="14"/>
              </w:rPr>
              <w:t>Premature commitments create stranded cost</w:t>
            </w:r>
          </w:p>
        </w:tc>
        <w:tc>
          <w:tcPr>
            <w:tcW w:type="dxa" w:w="1152"/>
            <w:vAlign w:val="top"/>
            <w:tcMar>
              <w:top w:w="80" w:type="dxa"/>
              <w:start w:w="80" w:type="dxa"/>
              <w:bottom w:w="80" w:type="dxa"/>
              <w:end w:w="80" w:type="dxa"/>
            </w:tcMar>
            <w:shd w:fill="F8F9FA"/>
          </w:tcPr>
          <w:p>
            <w:pPr>
              <w:spacing w:after="0"/>
            </w:pPr>
            <w:r/>
            <w:r>
              <w:rPr>
                <w:rFonts w:ascii="Aptos" w:hAnsi="Aptos"/>
                <w:b w:val="0"/>
                <w:sz w:val="14"/>
              </w:rPr>
              <w:t>High</w:t>
            </w:r>
          </w:p>
        </w:tc>
        <w:tc>
          <w:tcPr>
            <w:tcW w:type="dxa" w:w="3888"/>
            <w:vAlign w:val="top"/>
            <w:tcMar>
              <w:top w:w="80" w:type="dxa"/>
              <w:start w:w="80" w:type="dxa"/>
              <w:bottom w:w="80" w:type="dxa"/>
              <w:end w:w="80" w:type="dxa"/>
            </w:tcMar>
            <w:shd w:fill="F8F9FA"/>
          </w:tcPr>
          <w:p>
            <w:pPr>
              <w:spacing w:after="0"/>
            </w:pPr>
            <w:r/>
            <w:r>
              <w:rPr>
                <w:rFonts w:ascii="Aptos" w:hAnsi="Aptos"/>
                <w:b w:val="0"/>
                <w:sz w:val="14"/>
              </w:rPr>
              <w:t>purchase only after stable utilization evidence and scenario analysis</w:t>
            </w:r>
          </w:p>
        </w:tc>
        <w:tc>
          <w:tcPr>
            <w:tcW w:type="dxa" w:w="1440"/>
            <w:vAlign w:val="top"/>
            <w:tcMar>
              <w:top w:w="80" w:type="dxa"/>
              <w:start w:w="80" w:type="dxa"/>
              <w:bottom w:w="80" w:type="dxa"/>
              <w:end w:w="80" w:type="dxa"/>
            </w:tcMar>
            <w:shd w:fill="F8F9FA"/>
          </w:tcPr>
          <w:p>
            <w:pPr>
              <w:spacing w:after="0"/>
            </w:pPr>
            <w:r/>
            <w:r>
              <w:rPr>
                <w:rFonts w:ascii="Aptos" w:hAnsi="Aptos"/>
                <w:b w:val="0"/>
                <w:sz w:val="14"/>
              </w:rPr>
              <w:t>Finance/FinOps</w:t>
            </w:r>
          </w:p>
        </w:tc>
      </w:tr>
      <w:tr>
        <w:tc>
          <w:tcPr>
            <w:tcW w:type="dxa" w:w="864"/>
            <w:vAlign w:val="top"/>
            <w:tcMar>
              <w:top w:w="80" w:type="dxa"/>
              <w:start w:w="80" w:type="dxa"/>
              <w:bottom w:w="80" w:type="dxa"/>
              <w:end w:w="80" w:type="dxa"/>
            </w:tcMar>
          </w:tcPr>
          <w:p>
            <w:pPr>
              <w:spacing w:after="0"/>
            </w:pPr>
            <w:r/>
            <w:r>
              <w:rPr>
                <w:rFonts w:ascii="Aptos" w:hAnsi="Aptos"/>
                <w:b w:val="0"/>
                <w:sz w:val="14"/>
              </w:rPr>
              <w:t>FIN-03</w:t>
            </w:r>
          </w:p>
        </w:tc>
        <w:tc>
          <w:tcPr>
            <w:tcW w:type="dxa" w:w="3024"/>
            <w:vAlign w:val="top"/>
            <w:tcMar>
              <w:top w:w="80" w:type="dxa"/>
              <w:start w:w="80" w:type="dxa"/>
              <w:bottom w:w="80" w:type="dxa"/>
              <w:end w:w="80" w:type="dxa"/>
            </w:tcMar>
          </w:tcPr>
          <w:p>
            <w:pPr>
              <w:spacing w:after="0"/>
            </w:pPr>
            <w:r/>
            <w:r>
              <w:rPr>
                <w:rFonts w:ascii="Aptos" w:hAnsi="Aptos"/>
                <w:b w:val="0"/>
                <w:sz w:val="14"/>
              </w:rPr>
              <w:t>Optimization reduces SLO or control effectiveness</w:t>
            </w:r>
          </w:p>
        </w:tc>
        <w:tc>
          <w:tcPr>
            <w:tcW w:type="dxa" w:w="1152"/>
            <w:vAlign w:val="top"/>
            <w:tcMar>
              <w:top w:w="80" w:type="dxa"/>
              <w:start w:w="80" w:type="dxa"/>
              <w:bottom w:w="80" w:type="dxa"/>
              <w:end w:w="80" w:type="dxa"/>
            </w:tcMar>
          </w:tcPr>
          <w:p>
            <w:pPr>
              <w:spacing w:after="0"/>
            </w:pPr>
            <w:r/>
            <w:r>
              <w:rPr>
                <w:rFonts w:ascii="Aptos" w:hAnsi="Aptos"/>
                <w:b w:val="0"/>
                <w:sz w:val="14"/>
              </w:rPr>
              <w:t>Critical</w:t>
            </w:r>
          </w:p>
        </w:tc>
        <w:tc>
          <w:tcPr>
            <w:tcW w:type="dxa" w:w="3888"/>
            <w:vAlign w:val="top"/>
            <w:tcMar>
              <w:top w:w="80" w:type="dxa"/>
              <w:start w:w="80" w:type="dxa"/>
              <w:bottom w:w="80" w:type="dxa"/>
              <w:end w:w="80" w:type="dxa"/>
            </w:tcMar>
          </w:tcPr>
          <w:p>
            <w:pPr>
              <w:spacing w:after="0"/>
            </w:pPr>
            <w:r/>
            <w:r>
              <w:rPr>
                <w:rFonts w:ascii="Aptos" w:hAnsi="Aptos"/>
                <w:b w:val="0"/>
                <w:sz w:val="14"/>
              </w:rPr>
              <w:t>SLO, security, privacy and DR validation for every change</w:t>
            </w:r>
          </w:p>
        </w:tc>
        <w:tc>
          <w:tcPr>
            <w:tcW w:type="dxa" w:w="1440"/>
            <w:vAlign w:val="top"/>
            <w:tcMar>
              <w:top w:w="80" w:type="dxa"/>
              <w:start w:w="80" w:type="dxa"/>
              <w:bottom w:w="80" w:type="dxa"/>
              <w:end w:w="80" w:type="dxa"/>
            </w:tcMar>
          </w:tcPr>
          <w:p>
            <w:pPr>
              <w:spacing w:after="0"/>
            </w:pPr>
            <w:r/>
            <w:r>
              <w:rPr>
                <w:rFonts w:ascii="Aptos" w:hAnsi="Aptos"/>
                <w:b w:val="0"/>
                <w:sz w:val="14"/>
              </w:rPr>
              <w:t>Service Owner</w:t>
            </w:r>
          </w:p>
        </w:tc>
      </w:tr>
      <w:tr>
        <w:tc>
          <w:tcPr>
            <w:tcW w:type="dxa" w:w="864"/>
            <w:vAlign w:val="top"/>
            <w:tcMar>
              <w:top w:w="80" w:type="dxa"/>
              <w:start w:w="80" w:type="dxa"/>
              <w:bottom w:w="80" w:type="dxa"/>
              <w:end w:w="80" w:type="dxa"/>
            </w:tcMar>
            <w:shd w:fill="F8F9FA"/>
          </w:tcPr>
          <w:p>
            <w:pPr>
              <w:spacing w:after="0"/>
            </w:pPr>
            <w:r/>
            <w:r>
              <w:rPr>
                <w:rFonts w:ascii="Aptos" w:hAnsi="Aptos"/>
                <w:b w:val="0"/>
                <w:sz w:val="14"/>
              </w:rPr>
              <w:t>FIN-04</w:t>
            </w:r>
          </w:p>
        </w:tc>
        <w:tc>
          <w:tcPr>
            <w:tcW w:type="dxa" w:w="3024"/>
            <w:vAlign w:val="top"/>
            <w:tcMar>
              <w:top w:w="80" w:type="dxa"/>
              <w:start w:w="80" w:type="dxa"/>
              <w:bottom w:w="80" w:type="dxa"/>
              <w:end w:w="80" w:type="dxa"/>
            </w:tcMar>
            <w:shd w:fill="F8F9FA"/>
          </w:tcPr>
          <w:p>
            <w:pPr>
              <w:spacing w:after="0"/>
            </w:pPr>
            <w:r/>
            <w:r>
              <w:rPr>
                <w:rFonts w:ascii="Aptos" w:hAnsi="Aptos"/>
                <w:b w:val="0"/>
                <w:sz w:val="14"/>
              </w:rPr>
              <w:t>Billing export delay causes false alerts or reconciliation gaps</w:t>
            </w:r>
          </w:p>
        </w:tc>
        <w:tc>
          <w:tcPr>
            <w:tcW w:type="dxa" w:w="1152"/>
            <w:vAlign w:val="top"/>
            <w:tcMar>
              <w:top w:w="80" w:type="dxa"/>
              <w:start w:w="80" w:type="dxa"/>
              <w:bottom w:w="80" w:type="dxa"/>
              <w:end w:w="80" w:type="dxa"/>
            </w:tcMar>
            <w:shd w:fill="F8F9FA"/>
          </w:tcPr>
          <w:p>
            <w:pPr>
              <w:spacing w:after="0"/>
            </w:pPr>
            <w:r/>
            <w:r>
              <w:rPr>
                <w:rFonts w:ascii="Aptos" w:hAnsi="Aptos"/>
                <w:b w:val="0"/>
                <w:sz w:val="14"/>
              </w:rPr>
              <w:t>Medium</w:t>
            </w:r>
          </w:p>
        </w:tc>
        <w:tc>
          <w:tcPr>
            <w:tcW w:type="dxa" w:w="3888"/>
            <w:vAlign w:val="top"/>
            <w:tcMar>
              <w:top w:w="80" w:type="dxa"/>
              <w:start w:w="80" w:type="dxa"/>
              <w:bottom w:w="80" w:type="dxa"/>
              <w:end w:w="80" w:type="dxa"/>
            </w:tcMar>
            <w:shd w:fill="F8F9FA"/>
          </w:tcPr>
          <w:p>
            <w:pPr>
              <w:spacing w:after="0"/>
            </w:pPr>
            <w:r/>
            <w:r>
              <w:rPr>
                <w:rFonts w:ascii="Aptos" w:hAnsi="Aptos"/>
                <w:b w:val="0"/>
                <w:sz w:val="14"/>
              </w:rPr>
              <w:t>freshness watermark, late-data restatement and invoice reconciliation</w:t>
            </w:r>
          </w:p>
        </w:tc>
        <w:tc>
          <w:tcPr>
            <w:tcW w:type="dxa" w:w="1440"/>
            <w:vAlign w:val="top"/>
            <w:tcMar>
              <w:top w:w="80" w:type="dxa"/>
              <w:start w:w="80" w:type="dxa"/>
              <w:bottom w:w="80" w:type="dxa"/>
              <w:end w:w="80" w:type="dxa"/>
            </w:tcMar>
            <w:shd w:fill="F8F9FA"/>
          </w:tcPr>
          <w:p>
            <w:pPr>
              <w:spacing w:after="0"/>
            </w:pPr>
            <w:r/>
            <w:r>
              <w:rPr>
                <w:rFonts w:ascii="Aptos" w:hAnsi="Aptos"/>
                <w:b w:val="0"/>
                <w:sz w:val="14"/>
              </w:rPr>
              <w:t>FinOps Data Product</w:t>
            </w:r>
          </w:p>
        </w:tc>
      </w:tr>
      <w:tr>
        <w:tc>
          <w:tcPr>
            <w:tcW w:type="dxa" w:w="864"/>
            <w:vAlign w:val="top"/>
            <w:tcMar>
              <w:top w:w="80" w:type="dxa"/>
              <w:start w:w="80" w:type="dxa"/>
              <w:bottom w:w="80" w:type="dxa"/>
              <w:end w:w="80" w:type="dxa"/>
            </w:tcMar>
          </w:tcPr>
          <w:p>
            <w:pPr>
              <w:spacing w:after="0"/>
            </w:pPr>
            <w:r/>
            <w:r>
              <w:rPr>
                <w:rFonts w:ascii="Aptos" w:hAnsi="Aptos"/>
                <w:b w:val="0"/>
                <w:sz w:val="14"/>
              </w:rPr>
              <w:t>FIN-05</w:t>
            </w:r>
          </w:p>
        </w:tc>
        <w:tc>
          <w:tcPr>
            <w:tcW w:type="dxa" w:w="3024"/>
            <w:vAlign w:val="top"/>
            <w:tcMar>
              <w:top w:w="80" w:type="dxa"/>
              <w:start w:w="80" w:type="dxa"/>
              <w:bottom w:w="80" w:type="dxa"/>
              <w:end w:w="80" w:type="dxa"/>
            </w:tcMar>
          </w:tcPr>
          <w:p>
            <w:pPr>
              <w:spacing w:after="0"/>
            </w:pPr>
            <w:r/>
            <w:r>
              <w:rPr>
                <w:rFonts w:ascii="Aptos" w:hAnsi="Aptos"/>
                <w:b w:val="0"/>
                <w:sz w:val="14"/>
              </w:rPr>
              <w:t>Chargeback disputes erode trust</w:t>
            </w:r>
          </w:p>
        </w:tc>
        <w:tc>
          <w:tcPr>
            <w:tcW w:type="dxa" w:w="1152"/>
            <w:vAlign w:val="top"/>
            <w:tcMar>
              <w:top w:w="80" w:type="dxa"/>
              <w:start w:w="80" w:type="dxa"/>
              <w:bottom w:w="80" w:type="dxa"/>
              <w:end w:w="80" w:type="dxa"/>
            </w:tcMar>
          </w:tcPr>
          <w:p>
            <w:pPr>
              <w:spacing w:after="0"/>
            </w:pPr>
            <w:r/>
            <w:r>
              <w:rPr>
                <w:rFonts w:ascii="Aptos" w:hAnsi="Aptos"/>
                <w:b w:val="0"/>
                <w:sz w:val="14"/>
              </w:rPr>
              <w:t>High</w:t>
            </w:r>
          </w:p>
        </w:tc>
        <w:tc>
          <w:tcPr>
            <w:tcW w:type="dxa" w:w="3888"/>
            <w:vAlign w:val="top"/>
            <w:tcMar>
              <w:top w:w="80" w:type="dxa"/>
              <w:start w:w="80" w:type="dxa"/>
              <w:bottom w:w="80" w:type="dxa"/>
              <w:end w:w="80" w:type="dxa"/>
            </w:tcMar>
          </w:tcPr>
          <w:p>
            <w:pPr>
              <w:spacing w:after="0"/>
            </w:pPr>
            <w:r/>
            <w:r>
              <w:rPr>
                <w:rFonts w:ascii="Aptos" w:hAnsi="Aptos"/>
                <w:b w:val="0"/>
                <w:sz w:val="14"/>
              </w:rPr>
              <w:t>transparent rules, reproducible statements and dispute workflow</w:t>
            </w:r>
          </w:p>
        </w:tc>
        <w:tc>
          <w:tcPr>
            <w:tcW w:type="dxa" w:w="1440"/>
            <w:vAlign w:val="top"/>
            <w:tcMar>
              <w:top w:w="80" w:type="dxa"/>
              <w:start w:w="80" w:type="dxa"/>
              <w:bottom w:w="80" w:type="dxa"/>
              <w:end w:w="80" w:type="dxa"/>
            </w:tcMar>
          </w:tcPr>
          <w:p>
            <w:pPr>
              <w:spacing w:after="0"/>
            </w:pPr>
            <w:r/>
            <w:r>
              <w:rPr>
                <w:rFonts w:ascii="Aptos" w:hAnsi="Aptos"/>
                <w:b w:val="0"/>
                <w:sz w:val="14"/>
              </w:rPr>
              <w:t>Finance</w:t>
            </w:r>
          </w:p>
        </w:tc>
      </w:tr>
      <w:tr>
        <w:tc>
          <w:tcPr>
            <w:tcW w:type="dxa" w:w="864"/>
            <w:vAlign w:val="top"/>
            <w:tcMar>
              <w:top w:w="80" w:type="dxa"/>
              <w:start w:w="80" w:type="dxa"/>
              <w:bottom w:w="80" w:type="dxa"/>
              <w:end w:w="80" w:type="dxa"/>
            </w:tcMar>
            <w:shd w:fill="F8F9FA"/>
          </w:tcPr>
          <w:p>
            <w:pPr>
              <w:spacing w:after="0"/>
            </w:pPr>
            <w:r/>
            <w:r>
              <w:rPr>
                <w:rFonts w:ascii="Aptos" w:hAnsi="Aptos"/>
                <w:b w:val="0"/>
                <w:sz w:val="14"/>
              </w:rPr>
              <w:t>FIN-06</w:t>
            </w:r>
          </w:p>
        </w:tc>
        <w:tc>
          <w:tcPr>
            <w:tcW w:type="dxa" w:w="3024"/>
            <w:vAlign w:val="top"/>
            <w:tcMar>
              <w:top w:w="80" w:type="dxa"/>
              <w:start w:w="80" w:type="dxa"/>
              <w:bottom w:w="80" w:type="dxa"/>
              <w:end w:w="80" w:type="dxa"/>
            </w:tcMar>
            <w:shd w:fill="F8F9FA"/>
          </w:tcPr>
          <w:p>
            <w:pPr>
              <w:spacing w:after="0"/>
            </w:pPr>
            <w:r/>
            <w:r>
              <w:rPr>
                <w:rFonts w:ascii="Aptos" w:hAnsi="Aptos"/>
                <w:b w:val="0"/>
                <w:sz w:val="14"/>
              </w:rPr>
              <w:t>BigQuery workload contention raises cost and latency</w:t>
            </w:r>
          </w:p>
        </w:tc>
        <w:tc>
          <w:tcPr>
            <w:tcW w:type="dxa" w:w="1152"/>
            <w:vAlign w:val="top"/>
            <w:tcMar>
              <w:top w:w="80" w:type="dxa"/>
              <w:start w:w="80" w:type="dxa"/>
              <w:bottom w:w="80" w:type="dxa"/>
              <w:end w:w="80" w:type="dxa"/>
            </w:tcMar>
            <w:shd w:fill="F8F9FA"/>
          </w:tcPr>
          <w:p>
            <w:pPr>
              <w:spacing w:after="0"/>
            </w:pPr>
            <w:r/>
            <w:r>
              <w:rPr>
                <w:rFonts w:ascii="Aptos" w:hAnsi="Aptos"/>
                <w:b w:val="0"/>
                <w:sz w:val="14"/>
              </w:rPr>
              <w:t>High</w:t>
            </w:r>
          </w:p>
        </w:tc>
        <w:tc>
          <w:tcPr>
            <w:tcW w:type="dxa" w:w="3888"/>
            <w:vAlign w:val="top"/>
            <w:tcMar>
              <w:top w:w="80" w:type="dxa"/>
              <w:start w:w="80" w:type="dxa"/>
              <w:bottom w:w="80" w:type="dxa"/>
              <w:end w:w="80" w:type="dxa"/>
            </w:tcMar>
            <w:shd w:fill="F8F9FA"/>
          </w:tcPr>
          <w:p>
            <w:pPr>
              <w:spacing w:after="0"/>
            </w:pPr>
            <w:r/>
            <w:r>
              <w:rPr>
                <w:rFonts w:ascii="Aptos" w:hAnsi="Aptos"/>
                <w:b w:val="0"/>
                <w:sz w:val="14"/>
              </w:rPr>
              <w:t>reservation isolation, caps, assignments and telemetry</w:t>
            </w:r>
          </w:p>
        </w:tc>
        <w:tc>
          <w:tcPr>
            <w:tcW w:type="dxa" w:w="1440"/>
            <w:vAlign w:val="top"/>
            <w:tcMar>
              <w:top w:w="80" w:type="dxa"/>
              <w:start w:w="80" w:type="dxa"/>
              <w:bottom w:w="80" w:type="dxa"/>
              <w:end w:w="80" w:type="dxa"/>
            </w:tcMar>
            <w:shd w:fill="F8F9FA"/>
          </w:tcPr>
          <w:p>
            <w:pPr>
              <w:spacing w:after="0"/>
            </w:pPr>
            <w:r/>
            <w:r>
              <w:rPr>
                <w:rFonts w:ascii="Aptos" w:hAnsi="Aptos"/>
                <w:b w:val="0"/>
                <w:sz w:val="14"/>
              </w:rPr>
              <w:t>Analytics Platform</w:t>
            </w:r>
          </w:p>
        </w:tc>
      </w:tr>
      <w:tr>
        <w:tc>
          <w:tcPr>
            <w:tcW w:type="dxa" w:w="864"/>
            <w:vAlign w:val="top"/>
            <w:tcMar>
              <w:top w:w="80" w:type="dxa"/>
              <w:start w:w="80" w:type="dxa"/>
              <w:bottom w:w="80" w:type="dxa"/>
              <w:end w:w="80" w:type="dxa"/>
            </w:tcMar>
          </w:tcPr>
          <w:p>
            <w:pPr>
              <w:spacing w:after="0"/>
            </w:pPr>
            <w:r/>
            <w:r>
              <w:rPr>
                <w:rFonts w:ascii="Aptos" w:hAnsi="Aptos"/>
                <w:b w:val="0"/>
                <w:sz w:val="14"/>
              </w:rPr>
              <w:t>FIN-07</w:t>
            </w:r>
          </w:p>
        </w:tc>
        <w:tc>
          <w:tcPr>
            <w:tcW w:type="dxa" w:w="3024"/>
            <w:vAlign w:val="top"/>
            <w:tcMar>
              <w:top w:w="80" w:type="dxa"/>
              <w:start w:w="80" w:type="dxa"/>
              <w:bottom w:w="80" w:type="dxa"/>
              <w:end w:w="80" w:type="dxa"/>
            </w:tcMar>
          </w:tcPr>
          <w:p>
            <w:pPr>
              <w:spacing w:after="0"/>
            </w:pPr>
            <w:r/>
            <w:r>
              <w:rPr>
                <w:rFonts w:ascii="Aptos" w:hAnsi="Aptos"/>
                <w:b w:val="0"/>
                <w:sz w:val="14"/>
              </w:rPr>
              <w:t>Logging reductions remove required evidence</w:t>
            </w:r>
          </w:p>
        </w:tc>
        <w:tc>
          <w:tcPr>
            <w:tcW w:type="dxa" w:w="1152"/>
            <w:vAlign w:val="top"/>
            <w:tcMar>
              <w:top w:w="80" w:type="dxa"/>
              <w:start w:w="80" w:type="dxa"/>
              <w:bottom w:w="80" w:type="dxa"/>
              <w:end w:w="80" w:type="dxa"/>
            </w:tcMar>
          </w:tcPr>
          <w:p>
            <w:pPr>
              <w:spacing w:after="0"/>
            </w:pPr>
            <w:r/>
            <w:r>
              <w:rPr>
                <w:rFonts w:ascii="Aptos" w:hAnsi="Aptos"/>
                <w:b w:val="0"/>
                <w:sz w:val="14"/>
              </w:rPr>
              <w:t>Critical</w:t>
            </w:r>
          </w:p>
        </w:tc>
        <w:tc>
          <w:tcPr>
            <w:tcW w:type="dxa" w:w="3888"/>
            <w:vAlign w:val="top"/>
            <w:tcMar>
              <w:top w:w="80" w:type="dxa"/>
              <w:start w:w="80" w:type="dxa"/>
              <w:bottom w:w="80" w:type="dxa"/>
              <w:end w:w="80" w:type="dxa"/>
            </w:tcMar>
          </w:tcPr>
          <w:p>
            <w:pPr>
              <w:spacing w:after="0"/>
            </w:pPr>
            <w:r/>
            <w:r>
              <w:rPr>
                <w:rFonts w:ascii="Aptos" w:hAnsi="Aptos"/>
                <w:b w:val="0"/>
                <w:sz w:val="14"/>
              </w:rPr>
              <w:t>mandatory log classes, approval and negative testing</w:t>
            </w:r>
          </w:p>
        </w:tc>
        <w:tc>
          <w:tcPr>
            <w:tcW w:type="dxa" w:w="1440"/>
            <w:vAlign w:val="top"/>
            <w:tcMar>
              <w:top w:w="80" w:type="dxa"/>
              <w:start w:w="80" w:type="dxa"/>
              <w:bottom w:w="80" w:type="dxa"/>
              <w:end w:w="80" w:type="dxa"/>
            </w:tcMar>
          </w:tcPr>
          <w:p>
            <w:pPr>
              <w:spacing w:after="0"/>
            </w:pPr>
            <w:r/>
            <w:r>
              <w:rPr>
                <w:rFonts w:ascii="Aptos" w:hAnsi="Aptos"/>
                <w:b w:val="0"/>
                <w:sz w:val="14"/>
              </w:rPr>
              <w:t>Security/SRE</w:t>
            </w:r>
          </w:p>
        </w:tc>
      </w:tr>
      <w:tr>
        <w:tc>
          <w:tcPr>
            <w:tcW w:type="dxa" w:w="864"/>
            <w:vAlign w:val="top"/>
            <w:tcMar>
              <w:top w:w="80" w:type="dxa"/>
              <w:start w:w="80" w:type="dxa"/>
              <w:bottom w:w="80" w:type="dxa"/>
              <w:end w:w="80" w:type="dxa"/>
            </w:tcMar>
            <w:shd w:fill="F8F9FA"/>
          </w:tcPr>
          <w:p>
            <w:pPr>
              <w:spacing w:after="0"/>
            </w:pPr>
            <w:r/>
            <w:r>
              <w:rPr>
                <w:rFonts w:ascii="Aptos" w:hAnsi="Aptos"/>
                <w:b w:val="0"/>
                <w:sz w:val="14"/>
              </w:rPr>
              <w:t>FIN-08</w:t>
            </w:r>
          </w:p>
        </w:tc>
        <w:tc>
          <w:tcPr>
            <w:tcW w:type="dxa" w:w="3024"/>
            <w:vAlign w:val="top"/>
            <w:tcMar>
              <w:top w:w="80" w:type="dxa"/>
              <w:start w:w="80" w:type="dxa"/>
              <w:bottom w:w="80" w:type="dxa"/>
              <w:end w:w="80" w:type="dxa"/>
            </w:tcMar>
            <w:shd w:fill="F8F9FA"/>
          </w:tcPr>
          <w:p>
            <w:pPr>
              <w:spacing w:after="0"/>
            </w:pPr>
            <w:r/>
            <w:r>
              <w:rPr>
                <w:rFonts w:ascii="Aptos" w:hAnsi="Aptos"/>
                <w:b w:val="0"/>
                <w:sz w:val="14"/>
              </w:rPr>
              <w:t>AI token growth is disconnected from value</w:t>
            </w:r>
          </w:p>
        </w:tc>
        <w:tc>
          <w:tcPr>
            <w:tcW w:type="dxa" w:w="1152"/>
            <w:vAlign w:val="top"/>
            <w:tcMar>
              <w:top w:w="80" w:type="dxa"/>
              <w:start w:w="80" w:type="dxa"/>
              <w:bottom w:w="80" w:type="dxa"/>
              <w:end w:w="80" w:type="dxa"/>
            </w:tcMar>
            <w:shd w:fill="F8F9FA"/>
          </w:tcPr>
          <w:p>
            <w:pPr>
              <w:spacing w:after="0"/>
            </w:pPr>
            <w:r/>
            <w:r>
              <w:rPr>
                <w:rFonts w:ascii="Aptos" w:hAnsi="Aptos"/>
                <w:b w:val="0"/>
                <w:sz w:val="14"/>
              </w:rPr>
              <w:t>High</w:t>
            </w:r>
          </w:p>
        </w:tc>
        <w:tc>
          <w:tcPr>
            <w:tcW w:type="dxa" w:w="3888"/>
            <w:vAlign w:val="top"/>
            <w:tcMar>
              <w:top w:w="80" w:type="dxa"/>
              <w:start w:w="80" w:type="dxa"/>
              <w:bottom w:w="80" w:type="dxa"/>
              <w:end w:w="80" w:type="dxa"/>
            </w:tcMar>
            <w:shd w:fill="F8F9FA"/>
          </w:tcPr>
          <w:p>
            <w:pPr>
              <w:spacing w:after="0"/>
            </w:pPr>
            <w:r/>
            <w:r>
              <w:rPr>
                <w:rFonts w:ascii="Aptos" w:hAnsi="Aptos"/>
                <w:b w:val="0"/>
                <w:sz w:val="14"/>
              </w:rPr>
              <w:t>token budgets, model routing and cost per accepted task</w:t>
            </w:r>
          </w:p>
        </w:tc>
        <w:tc>
          <w:tcPr>
            <w:tcW w:type="dxa" w:w="1440"/>
            <w:vAlign w:val="top"/>
            <w:tcMar>
              <w:top w:w="80" w:type="dxa"/>
              <w:start w:w="80" w:type="dxa"/>
              <w:bottom w:w="80" w:type="dxa"/>
              <w:end w:w="80" w:type="dxa"/>
            </w:tcMar>
            <w:shd w:fill="F8F9FA"/>
          </w:tcPr>
          <w:p>
            <w:pPr>
              <w:spacing w:after="0"/>
            </w:pPr>
            <w:r/>
            <w:r>
              <w:rPr>
                <w:rFonts w:ascii="Aptos" w:hAnsi="Aptos"/>
                <w:b w:val="0"/>
                <w:sz w:val="14"/>
              </w:rPr>
              <w:t>AI Platform</w:t>
            </w:r>
          </w:p>
        </w:tc>
      </w:tr>
      <w:tr>
        <w:tc>
          <w:tcPr>
            <w:tcW w:type="dxa" w:w="864"/>
            <w:vAlign w:val="top"/>
            <w:tcMar>
              <w:top w:w="80" w:type="dxa"/>
              <w:start w:w="80" w:type="dxa"/>
              <w:bottom w:w="80" w:type="dxa"/>
              <w:end w:w="80" w:type="dxa"/>
            </w:tcMar>
          </w:tcPr>
          <w:p>
            <w:pPr>
              <w:spacing w:after="0"/>
            </w:pPr>
            <w:r/>
            <w:r>
              <w:rPr>
                <w:rFonts w:ascii="Aptos" w:hAnsi="Aptos"/>
                <w:b w:val="0"/>
                <w:sz w:val="14"/>
              </w:rPr>
              <w:t>FIN-09</w:t>
            </w:r>
          </w:p>
        </w:tc>
        <w:tc>
          <w:tcPr>
            <w:tcW w:type="dxa" w:w="3024"/>
            <w:vAlign w:val="top"/>
            <w:tcMar>
              <w:top w:w="80" w:type="dxa"/>
              <w:start w:w="80" w:type="dxa"/>
              <w:bottom w:w="80" w:type="dxa"/>
              <w:end w:w="80" w:type="dxa"/>
            </w:tcMar>
          </w:tcPr>
          <w:p>
            <w:pPr>
              <w:spacing w:after="0"/>
            </w:pPr>
            <w:r/>
            <w:r>
              <w:rPr>
                <w:rFonts w:ascii="Aptos" w:hAnsi="Aptos"/>
                <w:b w:val="0"/>
                <w:sz w:val="14"/>
              </w:rPr>
              <w:t>Shared allocation drivers become stale</w:t>
            </w:r>
          </w:p>
        </w:tc>
        <w:tc>
          <w:tcPr>
            <w:tcW w:type="dxa" w:w="1152"/>
            <w:vAlign w:val="top"/>
            <w:tcMar>
              <w:top w:w="80" w:type="dxa"/>
              <w:start w:w="80" w:type="dxa"/>
              <w:bottom w:w="80" w:type="dxa"/>
              <w:end w:w="80" w:type="dxa"/>
            </w:tcMar>
          </w:tcPr>
          <w:p>
            <w:pPr>
              <w:spacing w:after="0"/>
            </w:pPr>
            <w:r/>
            <w:r>
              <w:rPr>
                <w:rFonts w:ascii="Aptos" w:hAnsi="Aptos"/>
                <w:b w:val="0"/>
                <w:sz w:val="14"/>
              </w:rPr>
              <w:t>Medium</w:t>
            </w:r>
          </w:p>
        </w:tc>
        <w:tc>
          <w:tcPr>
            <w:tcW w:type="dxa" w:w="3888"/>
            <w:vAlign w:val="top"/>
            <w:tcMar>
              <w:top w:w="80" w:type="dxa"/>
              <w:start w:w="80" w:type="dxa"/>
              <w:bottom w:w="80" w:type="dxa"/>
              <w:end w:w="80" w:type="dxa"/>
            </w:tcMar>
          </w:tcPr>
          <w:p>
            <w:pPr>
              <w:spacing w:after="0"/>
            </w:pPr>
            <w:r/>
            <w:r>
              <w:rPr>
                <w:rFonts w:ascii="Aptos" w:hAnsi="Aptos"/>
                <w:b w:val="0"/>
                <w:sz w:val="14"/>
              </w:rPr>
              <w:t>quarterly driver review and effective-dated rules</w:t>
            </w:r>
          </w:p>
        </w:tc>
        <w:tc>
          <w:tcPr>
            <w:tcW w:type="dxa" w:w="1440"/>
            <w:vAlign w:val="top"/>
            <w:tcMar>
              <w:top w:w="80" w:type="dxa"/>
              <w:start w:w="80" w:type="dxa"/>
              <w:bottom w:w="80" w:type="dxa"/>
              <w:end w:w="80" w:type="dxa"/>
            </w:tcMar>
          </w:tcPr>
          <w:p>
            <w:pPr>
              <w:spacing w:after="0"/>
            </w:pPr>
            <w:r/>
            <w:r>
              <w:rPr>
                <w:rFonts w:ascii="Aptos" w:hAnsi="Aptos"/>
                <w:b w:val="0"/>
                <w:sz w:val="14"/>
              </w:rPr>
              <w:t>FinOps Council</w:t>
            </w:r>
          </w:p>
        </w:tc>
      </w:tr>
      <w:tr>
        <w:tc>
          <w:tcPr>
            <w:tcW w:type="dxa" w:w="864"/>
            <w:vAlign w:val="top"/>
            <w:tcMar>
              <w:top w:w="80" w:type="dxa"/>
              <w:start w:w="80" w:type="dxa"/>
              <w:bottom w:w="80" w:type="dxa"/>
              <w:end w:w="80" w:type="dxa"/>
            </w:tcMar>
            <w:shd w:fill="F8F9FA"/>
          </w:tcPr>
          <w:p>
            <w:pPr>
              <w:spacing w:after="0"/>
            </w:pPr>
            <w:r/>
            <w:r>
              <w:rPr>
                <w:rFonts w:ascii="Aptos" w:hAnsi="Aptos"/>
                <w:b w:val="0"/>
                <w:sz w:val="14"/>
              </w:rPr>
              <w:t>FIN-10</w:t>
            </w:r>
          </w:p>
        </w:tc>
        <w:tc>
          <w:tcPr>
            <w:tcW w:type="dxa" w:w="3024"/>
            <w:vAlign w:val="top"/>
            <w:tcMar>
              <w:top w:w="80" w:type="dxa"/>
              <w:start w:w="80" w:type="dxa"/>
              <w:bottom w:w="80" w:type="dxa"/>
              <w:end w:w="80" w:type="dxa"/>
            </w:tcMar>
            <w:shd w:fill="F8F9FA"/>
          </w:tcPr>
          <w:p>
            <w:pPr>
              <w:spacing w:after="0"/>
            </w:pPr>
            <w:r/>
            <w:r>
              <w:rPr>
                <w:rFonts w:ascii="Aptos" w:hAnsi="Aptos"/>
                <w:b w:val="0"/>
                <w:sz w:val="14"/>
              </w:rPr>
              <w:t>Product/pricing changes invalidate assumptions</w:t>
            </w:r>
          </w:p>
        </w:tc>
        <w:tc>
          <w:tcPr>
            <w:tcW w:type="dxa" w:w="1152"/>
            <w:vAlign w:val="top"/>
            <w:tcMar>
              <w:top w:w="80" w:type="dxa"/>
              <w:start w:w="80" w:type="dxa"/>
              <w:bottom w:w="80" w:type="dxa"/>
              <w:end w:w="80" w:type="dxa"/>
            </w:tcMar>
            <w:shd w:fill="F8F9FA"/>
          </w:tcPr>
          <w:p>
            <w:pPr>
              <w:spacing w:after="0"/>
            </w:pPr>
            <w:r/>
            <w:r>
              <w:rPr>
                <w:rFonts w:ascii="Aptos" w:hAnsi="Aptos"/>
                <w:b w:val="0"/>
                <w:sz w:val="14"/>
              </w:rPr>
              <w:t>High</w:t>
            </w:r>
          </w:p>
        </w:tc>
        <w:tc>
          <w:tcPr>
            <w:tcW w:type="dxa" w:w="3888"/>
            <w:vAlign w:val="top"/>
            <w:tcMar>
              <w:top w:w="80" w:type="dxa"/>
              <w:start w:w="80" w:type="dxa"/>
              <w:bottom w:w="80" w:type="dxa"/>
              <w:end w:w="80" w:type="dxa"/>
            </w:tcMar>
            <w:shd w:fill="F8F9FA"/>
          </w:tcPr>
          <w:p>
            <w:pPr>
              <w:spacing w:after="0"/>
            </w:pPr>
            <w:r/>
            <w:r>
              <w:rPr>
                <w:rFonts w:ascii="Aptos" w:hAnsi="Aptos"/>
                <w:b w:val="0"/>
                <w:sz w:val="14"/>
              </w:rPr>
              <w:t>current calculator and contract inputs; no embedded prices</w:t>
            </w:r>
          </w:p>
        </w:tc>
        <w:tc>
          <w:tcPr>
            <w:tcW w:type="dxa" w:w="1440"/>
            <w:vAlign w:val="top"/>
            <w:tcMar>
              <w:top w:w="80" w:type="dxa"/>
              <w:start w:w="80" w:type="dxa"/>
              <w:bottom w:w="80" w:type="dxa"/>
              <w:end w:w="80" w:type="dxa"/>
            </w:tcMar>
            <w:shd w:fill="F8F9FA"/>
          </w:tcPr>
          <w:p>
            <w:pPr>
              <w:spacing w:after="0"/>
            </w:pPr>
            <w:r/>
            <w:r>
              <w:rPr>
                <w:rFonts w:ascii="Aptos" w:hAnsi="Aptos"/>
                <w:b w:val="0"/>
                <w:sz w:val="14"/>
              </w:rPr>
              <w:t>Enterprise FinOps</w:t>
            </w:r>
          </w:p>
        </w:tc>
      </w:tr>
    </w:tbl>
    <w:p>
      <w:pPr>
        <w:pStyle w:val="Heading1"/>
      </w:pPr>
      <w:r>
        <w:t>29. Implementation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4"/>
              </w:rPr>
              <w:t>Phase</w:t>
            </w:r>
          </w:p>
        </w:tc>
        <w:tc>
          <w:tcPr>
            <w:tcW w:type="dxa" w:w="1584"/>
            <w:vAlign w:val="top"/>
            <w:tcMar>
              <w:top w:w="80" w:type="dxa"/>
              <w:start w:w="80" w:type="dxa"/>
              <w:bottom w:w="80" w:type="dxa"/>
              <w:end w:w="80" w:type="dxa"/>
            </w:tcMar>
            <w:shd w:fill="1A73E8"/>
          </w:tcPr>
          <w:p>
            <w:pPr>
              <w:spacing w:after="0"/>
            </w:pPr>
            <w:r/>
            <w:r>
              <w:rPr>
                <w:rFonts w:ascii="Aptos" w:hAnsi="Aptos"/>
                <w:b/>
                <w:color w:val="FFFFFF"/>
                <w:sz w:val="14"/>
              </w:rPr>
              <w:t>Indicative duration</w:t>
            </w:r>
          </w:p>
        </w:tc>
        <w:tc>
          <w:tcPr>
            <w:tcW w:type="dxa" w:w="4464"/>
            <w:vAlign w:val="top"/>
            <w:tcMar>
              <w:top w:w="80" w:type="dxa"/>
              <w:start w:w="80" w:type="dxa"/>
              <w:bottom w:w="80" w:type="dxa"/>
              <w:end w:w="80" w:type="dxa"/>
            </w:tcMar>
            <w:shd w:fill="1A73E8"/>
          </w:tcPr>
          <w:p>
            <w:pPr>
              <w:spacing w:after="0"/>
            </w:pPr>
            <w:r/>
            <w:r>
              <w:rPr>
                <w:rFonts w:ascii="Aptos" w:hAnsi="Aptos"/>
                <w:b/>
                <w:color w:val="FFFFFF"/>
                <w:sz w:val="14"/>
              </w:rPr>
              <w:t>Key outcomes</w:t>
            </w:r>
          </w:p>
        </w:tc>
        <w:tc>
          <w:tcPr>
            <w:tcW w:type="dxa" w:w="2160"/>
            <w:vAlign w:val="top"/>
            <w:tcMar>
              <w:top w:w="80" w:type="dxa"/>
              <w:start w:w="80" w:type="dxa"/>
              <w:bottom w:w="80" w:type="dxa"/>
              <w:end w:w="80" w:type="dxa"/>
            </w:tcMar>
            <w:shd w:fill="1A73E8"/>
          </w:tcPr>
          <w:p>
            <w:pPr>
              <w:spacing w:after="0"/>
            </w:pPr>
            <w:r/>
            <w:r>
              <w:rPr>
                <w:rFonts w:ascii="Aptos" w:hAnsi="Aptos"/>
                <w:b/>
                <w:color w:val="FFFFFF"/>
                <w:sz w:val="14"/>
              </w:rPr>
              <w:t>Exit criteria</w:t>
            </w:r>
          </w:p>
        </w:tc>
      </w:tr>
      <w:tr>
        <w:tc>
          <w:tcPr>
            <w:tcW w:type="dxa" w:w="1728"/>
            <w:vAlign w:val="top"/>
            <w:tcMar>
              <w:top w:w="80" w:type="dxa"/>
              <w:start w:w="80" w:type="dxa"/>
              <w:bottom w:w="80" w:type="dxa"/>
              <w:end w:w="80" w:type="dxa"/>
            </w:tcMar>
          </w:tcPr>
          <w:p>
            <w:pPr>
              <w:spacing w:after="0"/>
            </w:pPr>
            <w:r/>
            <w:r>
              <w:rPr>
                <w:rFonts w:ascii="Aptos" w:hAnsi="Aptos"/>
                <w:b w:val="0"/>
                <w:sz w:val="14"/>
              </w:rPr>
              <w:t>0 - Mobilize</w:t>
            </w:r>
          </w:p>
        </w:tc>
        <w:tc>
          <w:tcPr>
            <w:tcW w:type="dxa" w:w="1584"/>
            <w:vAlign w:val="top"/>
            <w:tcMar>
              <w:top w:w="80" w:type="dxa"/>
              <w:start w:w="80" w:type="dxa"/>
              <w:bottom w:w="80" w:type="dxa"/>
              <w:end w:w="80" w:type="dxa"/>
            </w:tcMar>
          </w:tcPr>
          <w:p>
            <w:pPr>
              <w:spacing w:after="0"/>
            </w:pPr>
            <w:r/>
            <w:r>
              <w:rPr>
                <w:rFonts w:ascii="Aptos" w:hAnsi="Aptos"/>
                <w:b w:val="0"/>
                <w:sz w:val="14"/>
              </w:rPr>
              <w:t>2-4 weeks</w:t>
            </w:r>
          </w:p>
        </w:tc>
        <w:tc>
          <w:tcPr>
            <w:tcW w:type="dxa" w:w="4464"/>
            <w:vAlign w:val="top"/>
            <w:tcMar>
              <w:top w:w="80" w:type="dxa"/>
              <w:start w:w="80" w:type="dxa"/>
              <w:bottom w:w="80" w:type="dxa"/>
              <w:end w:w="80" w:type="dxa"/>
            </w:tcMar>
          </w:tcPr>
          <w:p>
            <w:pPr>
              <w:spacing w:after="0"/>
            </w:pPr>
            <w:r/>
            <w:r>
              <w:rPr>
                <w:rFonts w:ascii="Aptos" w:hAnsi="Aptos"/>
                <w:b w:val="0"/>
                <w:sz w:val="14"/>
              </w:rPr>
              <w:t>inventory billing accounts, exports, contracts, projects, owners and current reports</w:t>
            </w:r>
          </w:p>
        </w:tc>
        <w:tc>
          <w:tcPr>
            <w:tcW w:type="dxa" w:w="2160"/>
            <w:vAlign w:val="top"/>
            <w:tcMar>
              <w:top w:w="80" w:type="dxa"/>
              <w:start w:w="80" w:type="dxa"/>
              <w:bottom w:w="80" w:type="dxa"/>
              <w:end w:w="80" w:type="dxa"/>
            </w:tcMar>
          </w:tcPr>
          <w:p>
            <w:pPr>
              <w:spacing w:after="0"/>
            </w:pPr>
            <w:r/>
            <w:r>
              <w:rPr>
                <w:rFonts w:ascii="Aptos" w:hAnsi="Aptos"/>
                <w:b w:val="0"/>
                <w:sz w:val="14"/>
              </w:rPr>
              <w:t>scope, owners, data classification and decision backlog approved</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1 - Cost data foundation</w:t>
            </w:r>
          </w:p>
        </w:tc>
        <w:tc>
          <w:tcPr>
            <w:tcW w:type="dxa" w:w="1584"/>
            <w:vAlign w:val="top"/>
            <w:tcMar>
              <w:top w:w="80" w:type="dxa"/>
              <w:start w:w="80" w:type="dxa"/>
              <w:bottom w:w="80" w:type="dxa"/>
              <w:end w:w="80" w:type="dxa"/>
            </w:tcMar>
            <w:shd w:fill="F8F9FA"/>
          </w:tcPr>
          <w:p>
            <w:pPr>
              <w:spacing w:after="0"/>
            </w:pPr>
            <w:r/>
            <w:r>
              <w:rPr>
                <w:rFonts w:ascii="Aptos" w:hAnsi="Aptos"/>
                <w:b w:val="0"/>
                <w:sz w:val="14"/>
              </w:rPr>
              <w:t>4-8 weeks</w:t>
            </w:r>
          </w:p>
        </w:tc>
        <w:tc>
          <w:tcPr>
            <w:tcW w:type="dxa" w:w="4464"/>
            <w:vAlign w:val="top"/>
            <w:tcMar>
              <w:top w:w="80" w:type="dxa"/>
              <w:start w:w="80" w:type="dxa"/>
              <w:bottom w:w="80" w:type="dxa"/>
              <w:end w:w="80" w:type="dxa"/>
            </w:tcMar>
            <w:shd w:fill="F8F9FA"/>
          </w:tcPr>
          <w:p>
            <w:pPr>
              <w:spacing w:after="0"/>
            </w:pPr>
            <w:r/>
            <w:r>
              <w:rPr>
                <w:rFonts w:ascii="Aptos" w:hAnsi="Aptos"/>
                <w:b w:val="0"/>
                <w:sz w:val="14"/>
              </w:rPr>
              <w:t>enable exports, raw datasets, normalized views, mappings and reconciliation</w:t>
            </w:r>
          </w:p>
        </w:tc>
        <w:tc>
          <w:tcPr>
            <w:tcW w:type="dxa" w:w="2160"/>
            <w:vAlign w:val="top"/>
            <w:tcMar>
              <w:top w:w="80" w:type="dxa"/>
              <w:start w:w="80" w:type="dxa"/>
              <w:bottom w:w="80" w:type="dxa"/>
              <w:end w:w="80" w:type="dxa"/>
            </w:tcMar>
            <w:shd w:fill="F8F9FA"/>
          </w:tcPr>
          <w:p>
            <w:pPr>
              <w:spacing w:after="0"/>
            </w:pPr>
            <w:r/>
            <w:r>
              <w:rPr>
                <w:rFonts w:ascii="Aptos" w:hAnsi="Aptos"/>
                <w:b w:val="0"/>
                <w:sz w:val="14"/>
              </w:rPr>
              <w:t>daily data SLO and invoice reconciliation proven</w:t>
            </w:r>
          </w:p>
        </w:tc>
      </w:tr>
      <w:tr>
        <w:tc>
          <w:tcPr>
            <w:tcW w:type="dxa" w:w="1728"/>
            <w:vAlign w:val="top"/>
            <w:tcMar>
              <w:top w:w="80" w:type="dxa"/>
              <w:start w:w="80" w:type="dxa"/>
              <w:bottom w:w="80" w:type="dxa"/>
              <w:end w:w="80" w:type="dxa"/>
            </w:tcMar>
          </w:tcPr>
          <w:p>
            <w:pPr>
              <w:spacing w:after="0"/>
            </w:pPr>
            <w:r/>
            <w:r>
              <w:rPr>
                <w:rFonts w:ascii="Aptos" w:hAnsi="Aptos"/>
                <w:b w:val="0"/>
                <w:sz w:val="14"/>
              </w:rPr>
              <w:t>2 - Visibility and budgets</w:t>
            </w:r>
          </w:p>
        </w:tc>
        <w:tc>
          <w:tcPr>
            <w:tcW w:type="dxa" w:w="1584"/>
            <w:vAlign w:val="top"/>
            <w:tcMar>
              <w:top w:w="80" w:type="dxa"/>
              <w:start w:w="80" w:type="dxa"/>
              <w:bottom w:w="80" w:type="dxa"/>
              <w:end w:w="80" w:type="dxa"/>
            </w:tcMar>
          </w:tcPr>
          <w:p>
            <w:pPr>
              <w:spacing w:after="0"/>
            </w:pPr>
            <w:r/>
            <w:r>
              <w:rPr>
                <w:rFonts w:ascii="Aptos" w:hAnsi="Aptos"/>
                <w:b w:val="0"/>
                <w:sz w:val="14"/>
              </w:rPr>
              <w:t>4-6 weeks</w:t>
            </w:r>
          </w:p>
        </w:tc>
        <w:tc>
          <w:tcPr>
            <w:tcW w:type="dxa" w:w="4464"/>
            <w:vAlign w:val="top"/>
            <w:tcMar>
              <w:top w:w="80" w:type="dxa"/>
              <w:start w:w="80" w:type="dxa"/>
              <w:bottom w:w="80" w:type="dxa"/>
              <w:end w:w="80" w:type="dxa"/>
            </w:tcMar>
          </w:tcPr>
          <w:p>
            <w:pPr>
              <w:spacing w:after="0"/>
            </w:pPr>
            <w:r/>
            <w:r>
              <w:rPr>
                <w:rFonts w:ascii="Aptos" w:hAnsi="Aptos"/>
                <w:b w:val="0"/>
                <w:sz w:val="14"/>
              </w:rPr>
              <w:t>dashboards, budgets, programmatic alerts and anomaly workflow</w:t>
            </w:r>
          </w:p>
        </w:tc>
        <w:tc>
          <w:tcPr>
            <w:tcW w:type="dxa" w:w="2160"/>
            <w:vAlign w:val="top"/>
            <w:tcMar>
              <w:top w:w="80" w:type="dxa"/>
              <w:start w:w="80" w:type="dxa"/>
              <w:bottom w:w="80" w:type="dxa"/>
              <w:end w:w="80" w:type="dxa"/>
            </w:tcMar>
          </w:tcPr>
          <w:p>
            <w:pPr>
              <w:spacing w:after="0"/>
            </w:pPr>
            <w:r/>
            <w:r>
              <w:rPr>
                <w:rFonts w:ascii="Aptos" w:hAnsi="Aptos"/>
                <w:b w:val="0"/>
                <w:sz w:val="14"/>
              </w:rPr>
              <w:t>all production owners receive actionable statements</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3 - Allocation and showback</w:t>
            </w:r>
          </w:p>
        </w:tc>
        <w:tc>
          <w:tcPr>
            <w:tcW w:type="dxa" w:w="1584"/>
            <w:vAlign w:val="top"/>
            <w:tcMar>
              <w:top w:w="80" w:type="dxa"/>
              <w:start w:w="80" w:type="dxa"/>
              <w:bottom w:w="80" w:type="dxa"/>
              <w:end w:w="80" w:type="dxa"/>
            </w:tcMar>
            <w:shd w:fill="F8F9FA"/>
          </w:tcPr>
          <w:p>
            <w:pPr>
              <w:spacing w:after="0"/>
            </w:pPr>
            <w:r/>
            <w:r>
              <w:rPr>
                <w:rFonts w:ascii="Aptos" w:hAnsi="Aptos"/>
                <w:b w:val="0"/>
                <w:sz w:val="14"/>
              </w:rPr>
              <w:t>6-10 weeks</w:t>
            </w:r>
          </w:p>
        </w:tc>
        <w:tc>
          <w:tcPr>
            <w:tcW w:type="dxa" w:w="4464"/>
            <w:vAlign w:val="top"/>
            <w:tcMar>
              <w:top w:w="80" w:type="dxa"/>
              <w:start w:w="80" w:type="dxa"/>
              <w:bottom w:w="80" w:type="dxa"/>
              <w:end w:w="80" w:type="dxa"/>
            </w:tcMar>
            <w:shd w:fill="F8F9FA"/>
          </w:tcPr>
          <w:p>
            <w:pPr>
              <w:spacing w:after="0"/>
            </w:pPr>
            <w:r/>
            <w:r>
              <w:rPr>
                <w:rFonts w:ascii="Aptos" w:hAnsi="Aptos"/>
                <w:b w:val="0"/>
                <w:sz w:val="14"/>
              </w:rPr>
              <w:t>direct/shared rules, unit metrics and dispute workflow</w:t>
            </w:r>
          </w:p>
        </w:tc>
        <w:tc>
          <w:tcPr>
            <w:tcW w:type="dxa" w:w="2160"/>
            <w:vAlign w:val="top"/>
            <w:tcMar>
              <w:top w:w="80" w:type="dxa"/>
              <w:start w:w="80" w:type="dxa"/>
              <w:bottom w:w="80" w:type="dxa"/>
              <w:end w:w="80" w:type="dxa"/>
            </w:tcMar>
            <w:shd w:fill="F8F9FA"/>
          </w:tcPr>
          <w:p>
            <w:pPr>
              <w:spacing w:after="0"/>
            </w:pPr>
            <w:r/>
            <w:r>
              <w:rPr>
                <w:rFonts w:ascii="Aptos" w:hAnsi="Aptos"/>
                <w:b w:val="0"/>
                <w:sz w:val="14"/>
              </w:rPr>
              <w:t>allocation coverage threshold and two stable showback cycles</w:t>
            </w:r>
          </w:p>
        </w:tc>
      </w:tr>
      <w:tr>
        <w:tc>
          <w:tcPr>
            <w:tcW w:type="dxa" w:w="1728"/>
            <w:vAlign w:val="top"/>
            <w:tcMar>
              <w:top w:w="80" w:type="dxa"/>
              <w:start w:w="80" w:type="dxa"/>
              <w:bottom w:w="80" w:type="dxa"/>
              <w:end w:w="80" w:type="dxa"/>
            </w:tcMar>
          </w:tcPr>
          <w:p>
            <w:pPr>
              <w:spacing w:after="0"/>
            </w:pPr>
            <w:r/>
            <w:r>
              <w:rPr>
                <w:rFonts w:ascii="Aptos" w:hAnsi="Aptos"/>
                <w:b w:val="0"/>
                <w:sz w:val="14"/>
              </w:rPr>
              <w:t>4 - Service optimization</w:t>
            </w:r>
          </w:p>
        </w:tc>
        <w:tc>
          <w:tcPr>
            <w:tcW w:type="dxa" w:w="1584"/>
            <w:vAlign w:val="top"/>
            <w:tcMar>
              <w:top w:w="80" w:type="dxa"/>
              <w:start w:w="80" w:type="dxa"/>
              <w:bottom w:w="80" w:type="dxa"/>
              <w:end w:w="80" w:type="dxa"/>
            </w:tcMar>
          </w:tcPr>
          <w:p>
            <w:pPr>
              <w:spacing w:after="0"/>
            </w:pPr>
            <w:r/>
            <w:r>
              <w:rPr>
                <w:rFonts w:ascii="Aptos" w:hAnsi="Aptos"/>
                <w:b w:val="0"/>
                <w:sz w:val="14"/>
              </w:rPr>
              <w:t>8-16 weeks</w:t>
            </w:r>
          </w:p>
        </w:tc>
        <w:tc>
          <w:tcPr>
            <w:tcW w:type="dxa" w:w="4464"/>
            <w:vAlign w:val="top"/>
            <w:tcMar>
              <w:top w:w="80" w:type="dxa"/>
              <w:start w:w="80" w:type="dxa"/>
              <w:bottom w:w="80" w:type="dxa"/>
              <w:end w:w="80" w:type="dxa"/>
            </w:tcMar>
          </w:tcPr>
          <w:p>
            <w:pPr>
              <w:spacing w:after="0"/>
            </w:pPr>
            <w:r/>
            <w:r>
              <w:rPr>
                <w:rFonts w:ascii="Aptos" w:hAnsi="Aptos"/>
                <w:b w:val="0"/>
                <w:sz w:val="14"/>
              </w:rPr>
              <w:t>BigQuery reservations, storage lifecycle, pipeline, observability and AI controls</w:t>
            </w:r>
          </w:p>
        </w:tc>
        <w:tc>
          <w:tcPr>
            <w:tcW w:type="dxa" w:w="2160"/>
            <w:vAlign w:val="top"/>
            <w:tcMar>
              <w:top w:w="80" w:type="dxa"/>
              <w:start w:w="80" w:type="dxa"/>
              <w:bottom w:w="80" w:type="dxa"/>
              <w:end w:w="80" w:type="dxa"/>
            </w:tcMar>
          </w:tcPr>
          <w:p>
            <w:pPr>
              <w:spacing w:after="0"/>
            </w:pPr>
            <w:r/>
            <w:r>
              <w:rPr>
                <w:rFonts w:ascii="Aptos" w:hAnsi="Aptos"/>
                <w:b w:val="0"/>
                <w:sz w:val="14"/>
              </w:rPr>
              <w:t>measured benefits with SLO/security validation</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5 - Chargeback and commitments</w:t>
            </w:r>
          </w:p>
        </w:tc>
        <w:tc>
          <w:tcPr>
            <w:tcW w:type="dxa" w:w="1584"/>
            <w:vAlign w:val="top"/>
            <w:tcMar>
              <w:top w:w="80" w:type="dxa"/>
              <w:start w:w="80" w:type="dxa"/>
              <w:bottom w:w="80" w:type="dxa"/>
              <w:end w:w="80" w:type="dxa"/>
            </w:tcMar>
            <w:shd w:fill="F8F9FA"/>
          </w:tcPr>
          <w:p>
            <w:pPr>
              <w:spacing w:after="0"/>
            </w:pPr>
            <w:r/>
            <w:r>
              <w:rPr>
                <w:rFonts w:ascii="Aptos" w:hAnsi="Aptos"/>
                <w:b w:val="0"/>
                <w:sz w:val="14"/>
              </w:rPr>
              <w:t>6-12 weeks</w:t>
            </w:r>
          </w:p>
        </w:tc>
        <w:tc>
          <w:tcPr>
            <w:tcW w:type="dxa" w:w="4464"/>
            <w:vAlign w:val="top"/>
            <w:tcMar>
              <w:top w:w="80" w:type="dxa"/>
              <w:start w:w="80" w:type="dxa"/>
              <w:bottom w:w="80" w:type="dxa"/>
              <w:end w:w="80" w:type="dxa"/>
            </w:tcMar>
            <w:shd w:fill="F8F9FA"/>
          </w:tcPr>
          <w:p>
            <w:pPr>
              <w:spacing w:after="0"/>
            </w:pPr>
            <w:r/>
            <w:r>
              <w:rPr>
                <w:rFonts w:ascii="Aptos" w:hAnsi="Aptos"/>
                <w:b w:val="0"/>
                <w:sz w:val="14"/>
              </w:rPr>
              <w:t>selective chargeback and commitment portfolio</w:t>
            </w:r>
          </w:p>
        </w:tc>
        <w:tc>
          <w:tcPr>
            <w:tcW w:type="dxa" w:w="2160"/>
            <w:vAlign w:val="top"/>
            <w:tcMar>
              <w:top w:w="80" w:type="dxa"/>
              <w:start w:w="80" w:type="dxa"/>
              <w:bottom w:w="80" w:type="dxa"/>
              <w:end w:w="80" w:type="dxa"/>
            </w:tcMar>
            <w:shd w:fill="F8F9FA"/>
          </w:tcPr>
          <w:p>
            <w:pPr>
              <w:spacing w:after="0"/>
            </w:pPr>
            <w:r/>
            <w:r>
              <w:rPr>
                <w:rFonts w:ascii="Aptos" w:hAnsi="Aptos"/>
                <w:b w:val="0"/>
                <w:sz w:val="14"/>
              </w:rPr>
              <w:t>Finance approval, reconciliation and utilization controls</w:t>
            </w:r>
          </w:p>
        </w:tc>
      </w:tr>
      <w:tr>
        <w:tc>
          <w:tcPr>
            <w:tcW w:type="dxa" w:w="1728"/>
            <w:vAlign w:val="top"/>
            <w:tcMar>
              <w:top w:w="80" w:type="dxa"/>
              <w:start w:w="80" w:type="dxa"/>
              <w:bottom w:w="80" w:type="dxa"/>
              <w:end w:w="80" w:type="dxa"/>
            </w:tcMar>
          </w:tcPr>
          <w:p>
            <w:pPr>
              <w:spacing w:after="0"/>
            </w:pPr>
            <w:r/>
            <w:r>
              <w:rPr>
                <w:rFonts w:ascii="Aptos" w:hAnsi="Aptos"/>
                <w:b w:val="0"/>
                <w:sz w:val="14"/>
              </w:rPr>
              <w:t>6 - Continuous optimization</w:t>
            </w:r>
          </w:p>
        </w:tc>
        <w:tc>
          <w:tcPr>
            <w:tcW w:type="dxa" w:w="1584"/>
            <w:vAlign w:val="top"/>
            <w:tcMar>
              <w:top w:w="80" w:type="dxa"/>
              <w:start w:w="80" w:type="dxa"/>
              <w:bottom w:w="80" w:type="dxa"/>
              <w:end w:w="80" w:type="dxa"/>
            </w:tcMar>
          </w:tcPr>
          <w:p>
            <w:pPr>
              <w:spacing w:after="0"/>
            </w:pPr>
            <w:r/>
            <w:r>
              <w:rPr>
                <w:rFonts w:ascii="Aptos" w:hAnsi="Aptos"/>
                <w:b w:val="0"/>
                <w:sz w:val="14"/>
              </w:rPr>
              <w:t>ongoing</w:t>
            </w:r>
          </w:p>
        </w:tc>
        <w:tc>
          <w:tcPr>
            <w:tcW w:type="dxa" w:w="4464"/>
            <w:vAlign w:val="top"/>
            <w:tcMar>
              <w:top w:w="80" w:type="dxa"/>
              <w:start w:w="80" w:type="dxa"/>
              <w:bottom w:w="80" w:type="dxa"/>
              <w:end w:w="80" w:type="dxa"/>
            </w:tcMar>
          </w:tcPr>
          <w:p>
            <w:pPr>
              <w:spacing w:after="0"/>
            </w:pPr>
            <w:r/>
            <w:r>
              <w:rPr>
                <w:rFonts w:ascii="Aptos" w:hAnsi="Aptos"/>
                <w:b w:val="0"/>
                <w:sz w:val="14"/>
              </w:rPr>
              <w:t>monthly/quarterly governance, automation and maturity improvement</w:t>
            </w:r>
          </w:p>
        </w:tc>
        <w:tc>
          <w:tcPr>
            <w:tcW w:type="dxa" w:w="2160"/>
            <w:vAlign w:val="top"/>
            <w:tcMar>
              <w:top w:w="80" w:type="dxa"/>
              <w:start w:w="80" w:type="dxa"/>
              <w:bottom w:w="80" w:type="dxa"/>
              <w:end w:w="80" w:type="dxa"/>
            </w:tcMar>
          </w:tcPr>
          <w:p>
            <w:pPr>
              <w:spacing w:after="0"/>
            </w:pPr>
            <w:r/>
            <w:r>
              <w:rPr>
                <w:rFonts w:ascii="Aptos" w:hAnsi="Aptos"/>
                <w:b w:val="0"/>
                <w:sz w:val="14"/>
              </w:rPr>
              <w:t>targets reviewed and operating cadence sustained</w:t>
            </w:r>
          </w:p>
        </w:tc>
      </w:tr>
    </w:tbl>
    <w:p>
      <w:pPr>
        <w:pStyle w:val="Heading2"/>
      </w:pPr>
      <w:r>
        <w:t>29.1 Workstreams</w:t>
      </w:r>
    </w:p>
    <w:p>
      <w:pPr>
        <w:pStyle w:val="ListBullet"/>
      </w:pPr>
      <w:r>
        <w:t>FinOps data product and semantic model</w:t>
      </w:r>
    </w:p>
    <w:p>
      <w:pPr>
        <w:pStyle w:val="ListBullet"/>
      </w:pPr>
      <w:r>
        <w:t>project/product/finance master-data integration</w:t>
      </w:r>
    </w:p>
    <w:p>
      <w:pPr>
        <w:pStyle w:val="ListBullet"/>
      </w:pPr>
      <w:r>
        <w:t>budget and anomaly workflow</w:t>
      </w:r>
    </w:p>
    <w:p>
      <w:pPr>
        <w:pStyle w:val="ListBullet"/>
      </w:pPr>
      <w:r>
        <w:t>BigQuery workload and reservation engineering</w:t>
      </w:r>
    </w:p>
    <w:p>
      <w:pPr>
        <w:pStyle w:val="ListBullet"/>
      </w:pPr>
      <w:r>
        <w:t>storage and data-lifecycle optimization</w:t>
      </w:r>
    </w:p>
    <w:p>
      <w:pPr>
        <w:pStyle w:val="ListBullet"/>
      </w:pPr>
      <w:r>
        <w:t>pipeline and streaming unit economics</w:t>
      </w:r>
    </w:p>
    <w:p>
      <w:pPr>
        <w:pStyle w:val="ListBullet"/>
      </w:pPr>
      <w:r>
        <w:t>observability signal governance</w:t>
      </w:r>
    </w:p>
    <w:p>
      <w:pPr>
        <w:pStyle w:val="ListBullet"/>
      </w:pPr>
      <w:r>
        <w:t>AI token and endpoint economics</w:t>
      </w:r>
    </w:p>
    <w:p>
      <w:pPr>
        <w:pStyle w:val="ListBullet"/>
      </w:pPr>
      <w:r>
        <w:t>showback/chargeback and finance integration</w:t>
      </w:r>
    </w:p>
    <w:p>
      <w:pPr>
        <w:pStyle w:val="ListBullet"/>
      </w:pPr>
      <w:r>
        <w:t>policy as code, dashboards and operating-model adoption</w:t>
      </w:r>
    </w:p>
    <w:p>
      <w:pPr>
        <w:pStyle w:val="Heading1"/>
      </w:pPr>
      <w:r>
        <w:t>30. Validation Criteria and Acceptance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top"/>
            <w:tcMar>
              <w:top w:w="80" w:type="dxa"/>
              <w:start w:w="80" w:type="dxa"/>
              <w:bottom w:w="80" w:type="dxa"/>
              <w:end w:w="80" w:type="dxa"/>
            </w:tcMar>
            <w:shd w:fill="1A73E8"/>
          </w:tcPr>
          <w:p>
            <w:pPr>
              <w:spacing w:after="0"/>
            </w:pPr>
            <w:r/>
            <w:r>
              <w:rPr>
                <w:rFonts w:ascii="Aptos" w:hAnsi="Aptos"/>
                <w:b/>
                <w:color w:val="FFFFFF"/>
                <w:sz w:val="14"/>
              </w:rPr>
              <w:t>Test domain</w:t>
            </w:r>
          </w:p>
        </w:tc>
        <w:tc>
          <w:tcPr>
            <w:tcW w:type="dxa" w:w="5472"/>
            <w:vAlign w:val="top"/>
            <w:tcMar>
              <w:top w:w="80" w:type="dxa"/>
              <w:start w:w="80" w:type="dxa"/>
              <w:bottom w:w="80" w:type="dxa"/>
              <w:end w:w="80" w:type="dxa"/>
            </w:tcMar>
            <w:shd w:fill="1A73E8"/>
          </w:tcPr>
          <w:p>
            <w:pPr>
              <w:spacing w:after="0"/>
            </w:pPr>
            <w:r/>
            <w:r>
              <w:rPr>
                <w:rFonts w:ascii="Aptos" w:hAnsi="Aptos"/>
                <w:b/>
                <w:color w:val="FFFFFF"/>
                <w:sz w:val="14"/>
              </w:rPr>
              <w:t>Acceptance criteria</w:t>
            </w:r>
          </w:p>
        </w:tc>
        <w:tc>
          <w:tcPr>
            <w:tcW w:type="dxa" w:w="2592"/>
            <w:vAlign w:val="top"/>
            <w:tcMar>
              <w:top w:w="80" w:type="dxa"/>
              <w:start w:w="80" w:type="dxa"/>
              <w:bottom w:w="80" w:type="dxa"/>
              <w:end w:w="80" w:type="dxa"/>
            </w:tcMar>
            <w:shd w:fill="1A73E8"/>
          </w:tcPr>
          <w:p>
            <w:pPr>
              <w:spacing w:after="0"/>
            </w:pPr>
            <w:r/>
            <w:r>
              <w:rPr>
                <w:rFonts w:ascii="Aptos" w:hAnsi="Aptos"/>
                <w:b/>
                <w:color w:val="FFFFFF"/>
                <w:sz w:val="14"/>
              </w:rPr>
              <w:t>Evidence</w:t>
            </w:r>
          </w:p>
        </w:tc>
      </w:tr>
      <w:tr>
        <w:tc>
          <w:tcPr>
            <w:tcW w:type="dxa" w:w="1728"/>
            <w:vAlign w:val="top"/>
            <w:tcMar>
              <w:top w:w="80" w:type="dxa"/>
              <w:start w:w="80" w:type="dxa"/>
              <w:bottom w:w="80" w:type="dxa"/>
              <w:end w:w="80" w:type="dxa"/>
            </w:tcMar>
          </w:tcPr>
          <w:p>
            <w:pPr>
              <w:spacing w:after="0"/>
            </w:pPr>
            <w:r/>
            <w:r>
              <w:rPr>
                <w:rFonts w:ascii="Aptos" w:hAnsi="Aptos"/>
                <w:b w:val="0"/>
                <w:sz w:val="14"/>
              </w:rPr>
              <w:t>Billing data</w:t>
            </w:r>
          </w:p>
        </w:tc>
        <w:tc>
          <w:tcPr>
            <w:tcW w:type="dxa" w:w="5472"/>
            <w:vAlign w:val="top"/>
            <w:tcMar>
              <w:top w:w="80" w:type="dxa"/>
              <w:start w:w="80" w:type="dxa"/>
              <w:bottom w:w="80" w:type="dxa"/>
              <w:end w:w="80" w:type="dxa"/>
            </w:tcMar>
          </w:tcPr>
          <w:p>
            <w:pPr>
              <w:spacing w:after="0"/>
            </w:pPr>
            <w:r/>
            <w:r>
              <w:rPr>
                <w:rFonts w:ascii="Aptos" w:hAnsi="Aptos"/>
                <w:b w:val="0"/>
                <w:sz w:val="14"/>
              </w:rPr>
              <w:t>exports arrive within documented SLO; daily and invoice-month totals reconcile after allowed latency</w:t>
            </w:r>
          </w:p>
        </w:tc>
        <w:tc>
          <w:tcPr>
            <w:tcW w:type="dxa" w:w="2592"/>
            <w:vAlign w:val="top"/>
            <w:tcMar>
              <w:top w:w="80" w:type="dxa"/>
              <w:start w:w="80" w:type="dxa"/>
              <w:bottom w:w="80" w:type="dxa"/>
              <w:end w:w="80" w:type="dxa"/>
            </w:tcMar>
          </w:tcPr>
          <w:p>
            <w:pPr>
              <w:spacing w:after="0"/>
            </w:pPr>
            <w:r/>
            <w:r>
              <w:rPr>
                <w:rFonts w:ascii="Aptos" w:hAnsi="Aptos"/>
                <w:b w:val="0"/>
                <w:sz w:val="14"/>
              </w:rPr>
              <w:t>freshness dashboard and signed reconciliation</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Allocation</w:t>
            </w:r>
          </w:p>
        </w:tc>
        <w:tc>
          <w:tcPr>
            <w:tcW w:type="dxa" w:w="5472"/>
            <w:vAlign w:val="top"/>
            <w:tcMar>
              <w:top w:w="80" w:type="dxa"/>
              <w:start w:w="80" w:type="dxa"/>
              <w:bottom w:w="80" w:type="dxa"/>
              <w:end w:w="80" w:type="dxa"/>
            </w:tcMar>
            <w:shd w:fill="F8F9FA"/>
          </w:tcPr>
          <w:p>
            <w:pPr>
              <w:spacing w:after="0"/>
            </w:pPr>
            <w:r/>
            <w:r>
              <w:rPr>
                <w:rFonts w:ascii="Aptos" w:hAnsi="Aptos"/>
                <w:b w:val="0"/>
                <w:sz w:val="14"/>
              </w:rPr>
              <w:t>&gt;=98% production net cost mapped; totals reconcile to ledger</w:t>
            </w:r>
          </w:p>
        </w:tc>
        <w:tc>
          <w:tcPr>
            <w:tcW w:type="dxa" w:w="2592"/>
            <w:vAlign w:val="top"/>
            <w:tcMar>
              <w:top w:w="80" w:type="dxa"/>
              <w:start w:w="80" w:type="dxa"/>
              <w:bottom w:w="80" w:type="dxa"/>
              <w:end w:w="80" w:type="dxa"/>
            </w:tcMar>
            <w:shd w:fill="F8F9FA"/>
          </w:tcPr>
          <w:p>
            <w:pPr>
              <w:spacing w:after="0"/>
            </w:pPr>
            <w:r/>
            <w:r>
              <w:rPr>
                <w:rFonts w:ascii="Aptos" w:hAnsi="Aptos"/>
                <w:b w:val="0"/>
                <w:sz w:val="14"/>
              </w:rPr>
              <w:t>allocation test report</w:t>
            </w:r>
          </w:p>
        </w:tc>
      </w:tr>
      <w:tr>
        <w:tc>
          <w:tcPr>
            <w:tcW w:type="dxa" w:w="1728"/>
            <w:vAlign w:val="top"/>
            <w:tcMar>
              <w:top w:w="80" w:type="dxa"/>
              <w:start w:w="80" w:type="dxa"/>
              <w:bottom w:w="80" w:type="dxa"/>
              <w:end w:w="80" w:type="dxa"/>
            </w:tcMar>
          </w:tcPr>
          <w:p>
            <w:pPr>
              <w:spacing w:after="0"/>
            </w:pPr>
            <w:r/>
            <w:r>
              <w:rPr>
                <w:rFonts w:ascii="Aptos" w:hAnsi="Aptos"/>
                <w:b w:val="0"/>
                <w:sz w:val="14"/>
              </w:rPr>
              <w:t>Budgets</w:t>
            </w:r>
          </w:p>
        </w:tc>
        <w:tc>
          <w:tcPr>
            <w:tcW w:type="dxa" w:w="5472"/>
            <w:vAlign w:val="top"/>
            <w:tcMar>
              <w:top w:w="80" w:type="dxa"/>
              <w:start w:w="80" w:type="dxa"/>
              <w:bottom w:w="80" w:type="dxa"/>
              <w:end w:w="80" w:type="dxa"/>
            </w:tcMar>
          </w:tcPr>
          <w:p>
            <w:pPr>
              <w:spacing w:after="0"/>
            </w:pPr>
            <w:r/>
            <w:r>
              <w:rPr>
                <w:rFonts w:ascii="Aptos" w:hAnsi="Aptos"/>
                <w:b w:val="0"/>
                <w:sz w:val="14"/>
              </w:rPr>
              <w:t>test notifications reach correct owner and workflow; duplicates are idempotent</w:t>
            </w:r>
          </w:p>
        </w:tc>
        <w:tc>
          <w:tcPr>
            <w:tcW w:type="dxa" w:w="2592"/>
            <w:vAlign w:val="top"/>
            <w:tcMar>
              <w:top w:w="80" w:type="dxa"/>
              <w:start w:w="80" w:type="dxa"/>
              <w:bottom w:w="80" w:type="dxa"/>
              <w:end w:w="80" w:type="dxa"/>
            </w:tcMar>
          </w:tcPr>
          <w:p>
            <w:pPr>
              <w:spacing w:after="0"/>
            </w:pPr>
            <w:r/>
            <w:r>
              <w:rPr>
                <w:rFonts w:ascii="Aptos" w:hAnsi="Aptos"/>
                <w:b w:val="0"/>
                <w:sz w:val="14"/>
              </w:rPr>
              <w:t>notification replay evidence</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Forecast</w:t>
            </w:r>
          </w:p>
        </w:tc>
        <w:tc>
          <w:tcPr>
            <w:tcW w:type="dxa" w:w="5472"/>
            <w:vAlign w:val="top"/>
            <w:tcMar>
              <w:top w:w="80" w:type="dxa"/>
              <w:start w:w="80" w:type="dxa"/>
              <w:bottom w:w="80" w:type="dxa"/>
              <w:end w:w="80" w:type="dxa"/>
            </w:tcMar>
            <w:shd w:fill="F8F9FA"/>
          </w:tcPr>
          <w:p>
            <w:pPr>
              <w:spacing w:after="0"/>
            </w:pPr>
            <w:r/>
            <w:r>
              <w:rPr>
                <w:rFonts w:ascii="Aptos" w:hAnsi="Aptos"/>
                <w:b w:val="0"/>
                <w:sz w:val="14"/>
              </w:rPr>
              <w:t>model inputs trace to source; prior forecast accuracy measured</w:t>
            </w:r>
          </w:p>
        </w:tc>
        <w:tc>
          <w:tcPr>
            <w:tcW w:type="dxa" w:w="2592"/>
            <w:vAlign w:val="top"/>
            <w:tcMar>
              <w:top w:w="80" w:type="dxa"/>
              <w:start w:w="80" w:type="dxa"/>
              <w:bottom w:w="80" w:type="dxa"/>
              <w:end w:w="80" w:type="dxa"/>
            </w:tcMar>
            <w:shd w:fill="F8F9FA"/>
          </w:tcPr>
          <w:p>
            <w:pPr>
              <w:spacing w:after="0"/>
            </w:pPr>
            <w:r/>
            <w:r>
              <w:rPr>
                <w:rFonts w:ascii="Aptos" w:hAnsi="Aptos"/>
                <w:b w:val="0"/>
                <w:sz w:val="14"/>
              </w:rPr>
              <w:t>forecast workbook/model and variance report</w:t>
            </w:r>
          </w:p>
        </w:tc>
      </w:tr>
      <w:tr>
        <w:tc>
          <w:tcPr>
            <w:tcW w:type="dxa" w:w="1728"/>
            <w:vAlign w:val="top"/>
            <w:tcMar>
              <w:top w:w="80" w:type="dxa"/>
              <w:start w:w="80" w:type="dxa"/>
              <w:bottom w:w="80" w:type="dxa"/>
              <w:end w:w="80" w:type="dxa"/>
            </w:tcMar>
          </w:tcPr>
          <w:p>
            <w:pPr>
              <w:spacing w:after="0"/>
            </w:pPr>
            <w:r/>
            <w:r>
              <w:rPr>
                <w:rFonts w:ascii="Aptos" w:hAnsi="Aptos"/>
                <w:b w:val="0"/>
                <w:sz w:val="14"/>
              </w:rPr>
              <w:t>BigQuery</w:t>
            </w:r>
          </w:p>
        </w:tc>
        <w:tc>
          <w:tcPr>
            <w:tcW w:type="dxa" w:w="5472"/>
            <w:vAlign w:val="top"/>
            <w:tcMar>
              <w:top w:w="80" w:type="dxa"/>
              <w:start w:w="80" w:type="dxa"/>
              <w:bottom w:w="80" w:type="dxa"/>
              <w:end w:w="80" w:type="dxa"/>
            </w:tcMar>
          </w:tcPr>
          <w:p>
            <w:pPr>
              <w:spacing w:after="0"/>
            </w:pPr>
            <w:r/>
            <w:r>
              <w:rPr>
                <w:rFonts w:ascii="Aptos" w:hAnsi="Aptos"/>
                <w:b w:val="0"/>
                <w:sz w:val="14"/>
              </w:rPr>
              <w:t>normal/peak/backfill tests meet SLO at approved scenario; assignments and caps verified</w:t>
            </w:r>
          </w:p>
        </w:tc>
        <w:tc>
          <w:tcPr>
            <w:tcW w:type="dxa" w:w="2592"/>
            <w:vAlign w:val="top"/>
            <w:tcMar>
              <w:top w:w="80" w:type="dxa"/>
              <w:start w:w="80" w:type="dxa"/>
              <w:bottom w:w="80" w:type="dxa"/>
              <w:end w:w="80" w:type="dxa"/>
            </w:tcMar>
          </w:tcPr>
          <w:p>
            <w:pPr>
              <w:spacing w:after="0"/>
            </w:pPr>
            <w:r/>
            <w:r>
              <w:rPr>
                <w:rFonts w:ascii="Aptos" w:hAnsi="Aptos"/>
                <w:b w:val="0"/>
                <w:sz w:val="14"/>
              </w:rPr>
              <w:t>load-test and slot telemetry</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Storage</w:t>
            </w:r>
          </w:p>
        </w:tc>
        <w:tc>
          <w:tcPr>
            <w:tcW w:type="dxa" w:w="5472"/>
            <w:vAlign w:val="top"/>
            <w:tcMar>
              <w:top w:w="80" w:type="dxa"/>
              <w:start w:w="80" w:type="dxa"/>
              <w:bottom w:w="80" w:type="dxa"/>
              <w:end w:w="80" w:type="dxa"/>
            </w:tcMar>
            <w:shd w:fill="F8F9FA"/>
          </w:tcPr>
          <w:p>
            <w:pPr>
              <w:spacing w:after="0"/>
            </w:pPr>
            <w:r/>
            <w:r>
              <w:rPr>
                <w:rFonts w:ascii="Aptos" w:hAnsi="Aptos"/>
                <w:b w:val="0"/>
                <w:sz w:val="14"/>
              </w:rPr>
              <w:t>lifecycle and restore tests meet retention, legal and recovery requirements</w:t>
            </w:r>
          </w:p>
        </w:tc>
        <w:tc>
          <w:tcPr>
            <w:tcW w:type="dxa" w:w="2592"/>
            <w:vAlign w:val="top"/>
            <w:tcMar>
              <w:top w:w="80" w:type="dxa"/>
              <w:start w:w="80" w:type="dxa"/>
              <w:bottom w:w="80" w:type="dxa"/>
              <w:end w:w="80" w:type="dxa"/>
            </w:tcMar>
            <w:shd w:fill="F8F9FA"/>
          </w:tcPr>
          <w:p>
            <w:pPr>
              <w:spacing w:after="0"/>
            </w:pPr>
            <w:r/>
            <w:r>
              <w:rPr>
                <w:rFonts w:ascii="Aptos" w:hAnsi="Aptos"/>
                <w:b w:val="0"/>
                <w:sz w:val="14"/>
              </w:rPr>
              <w:t>object test and approval</w:t>
            </w:r>
          </w:p>
        </w:tc>
      </w:tr>
      <w:tr>
        <w:tc>
          <w:tcPr>
            <w:tcW w:type="dxa" w:w="1728"/>
            <w:vAlign w:val="top"/>
            <w:tcMar>
              <w:top w:w="80" w:type="dxa"/>
              <w:start w:w="80" w:type="dxa"/>
              <w:bottom w:w="80" w:type="dxa"/>
              <w:end w:w="80" w:type="dxa"/>
            </w:tcMar>
          </w:tcPr>
          <w:p>
            <w:pPr>
              <w:spacing w:after="0"/>
            </w:pPr>
            <w:r/>
            <w:r>
              <w:rPr>
                <w:rFonts w:ascii="Aptos" w:hAnsi="Aptos"/>
                <w:b w:val="0"/>
                <w:sz w:val="14"/>
              </w:rPr>
              <w:t>Dataflow/Dataproc/Pub/Sub</w:t>
            </w:r>
          </w:p>
        </w:tc>
        <w:tc>
          <w:tcPr>
            <w:tcW w:type="dxa" w:w="5472"/>
            <w:vAlign w:val="top"/>
            <w:tcMar>
              <w:top w:w="80" w:type="dxa"/>
              <w:start w:w="80" w:type="dxa"/>
              <w:bottom w:w="80" w:type="dxa"/>
              <w:end w:w="80" w:type="dxa"/>
            </w:tcMar>
          </w:tcPr>
          <w:p>
            <w:pPr>
              <w:spacing w:after="0"/>
            </w:pPr>
            <w:r/>
            <w:r>
              <w:rPr>
                <w:rFonts w:ascii="Aptos" w:hAnsi="Aptos"/>
                <w:b w:val="0"/>
                <w:sz w:val="14"/>
              </w:rPr>
              <w:t>unit costs and throughput measured before/after changes</w:t>
            </w:r>
          </w:p>
        </w:tc>
        <w:tc>
          <w:tcPr>
            <w:tcW w:type="dxa" w:w="2592"/>
            <w:vAlign w:val="top"/>
            <w:tcMar>
              <w:top w:w="80" w:type="dxa"/>
              <w:start w:w="80" w:type="dxa"/>
              <w:bottom w:w="80" w:type="dxa"/>
              <w:end w:w="80" w:type="dxa"/>
            </w:tcMar>
          </w:tcPr>
          <w:p>
            <w:pPr>
              <w:spacing w:after="0"/>
            </w:pPr>
            <w:r/>
            <w:r>
              <w:rPr>
                <w:rFonts w:ascii="Aptos" w:hAnsi="Aptos"/>
                <w:b w:val="0"/>
                <w:sz w:val="14"/>
              </w:rPr>
              <w:t>benchmark and job telemetry</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Logging/Monitoring</w:t>
            </w:r>
          </w:p>
        </w:tc>
        <w:tc>
          <w:tcPr>
            <w:tcW w:type="dxa" w:w="5472"/>
            <w:vAlign w:val="top"/>
            <w:tcMar>
              <w:top w:w="80" w:type="dxa"/>
              <w:start w:w="80" w:type="dxa"/>
              <w:bottom w:w="80" w:type="dxa"/>
              <w:end w:w="80" w:type="dxa"/>
            </w:tcMar>
            <w:shd w:fill="F8F9FA"/>
          </w:tcPr>
          <w:p>
            <w:pPr>
              <w:spacing w:after="0"/>
            </w:pPr>
            <w:r/>
            <w:r>
              <w:rPr>
                <w:rFonts w:ascii="Aptos" w:hAnsi="Aptos"/>
                <w:b w:val="0"/>
                <w:sz w:val="14"/>
              </w:rPr>
              <w:t>required evidence preserved; exclusions and cardinality controls tested</w:t>
            </w:r>
          </w:p>
        </w:tc>
        <w:tc>
          <w:tcPr>
            <w:tcW w:type="dxa" w:w="2592"/>
            <w:vAlign w:val="top"/>
            <w:tcMar>
              <w:top w:w="80" w:type="dxa"/>
              <w:start w:w="80" w:type="dxa"/>
              <w:bottom w:w="80" w:type="dxa"/>
              <w:end w:w="80" w:type="dxa"/>
            </w:tcMar>
            <w:shd w:fill="F8F9FA"/>
          </w:tcPr>
          <w:p>
            <w:pPr>
              <w:spacing w:after="0"/>
            </w:pPr>
            <w:r/>
            <w:r>
              <w:rPr>
                <w:rFonts w:ascii="Aptos" w:hAnsi="Aptos"/>
                <w:b w:val="0"/>
                <w:sz w:val="14"/>
              </w:rPr>
              <w:t>negative tests and security sign-off</w:t>
            </w:r>
          </w:p>
        </w:tc>
      </w:tr>
      <w:tr>
        <w:tc>
          <w:tcPr>
            <w:tcW w:type="dxa" w:w="1728"/>
            <w:vAlign w:val="top"/>
            <w:tcMar>
              <w:top w:w="80" w:type="dxa"/>
              <w:start w:w="80" w:type="dxa"/>
              <w:bottom w:w="80" w:type="dxa"/>
              <w:end w:w="80" w:type="dxa"/>
            </w:tcMar>
          </w:tcPr>
          <w:p>
            <w:pPr>
              <w:spacing w:after="0"/>
            </w:pPr>
            <w:r/>
            <w:r>
              <w:rPr>
                <w:rFonts w:ascii="Aptos" w:hAnsi="Aptos"/>
                <w:b w:val="0"/>
                <w:sz w:val="14"/>
              </w:rPr>
              <w:t>AI</w:t>
            </w:r>
          </w:p>
        </w:tc>
        <w:tc>
          <w:tcPr>
            <w:tcW w:type="dxa" w:w="5472"/>
            <w:vAlign w:val="top"/>
            <w:tcMar>
              <w:top w:w="80" w:type="dxa"/>
              <w:start w:w="80" w:type="dxa"/>
              <w:bottom w:w="80" w:type="dxa"/>
              <w:end w:w="80" w:type="dxa"/>
            </w:tcMar>
          </w:tcPr>
          <w:p>
            <w:pPr>
              <w:spacing w:after="0"/>
            </w:pPr>
            <w:r/>
            <w:r>
              <w:rPr>
                <w:rFonts w:ascii="Aptos" w:hAnsi="Aptos"/>
                <w:b w:val="0"/>
                <w:sz w:val="14"/>
              </w:rPr>
              <w:t>tokens, cost, quality, safety and accepted-task metrics reconcile</w:t>
            </w:r>
          </w:p>
        </w:tc>
        <w:tc>
          <w:tcPr>
            <w:tcW w:type="dxa" w:w="2592"/>
            <w:vAlign w:val="top"/>
            <w:tcMar>
              <w:top w:w="80" w:type="dxa"/>
              <w:start w:w="80" w:type="dxa"/>
              <w:bottom w:w="80" w:type="dxa"/>
              <w:end w:w="80" w:type="dxa"/>
            </w:tcMar>
          </w:tcPr>
          <w:p>
            <w:pPr>
              <w:spacing w:after="0"/>
            </w:pPr>
            <w:r/>
            <w:r>
              <w:rPr>
                <w:rFonts w:ascii="Aptos" w:hAnsi="Aptos"/>
                <w:b w:val="0"/>
                <w:sz w:val="14"/>
              </w:rPr>
              <w:t>AI evaluation and usage ledger</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Chargeback</w:t>
            </w:r>
          </w:p>
        </w:tc>
        <w:tc>
          <w:tcPr>
            <w:tcW w:type="dxa" w:w="5472"/>
            <w:vAlign w:val="top"/>
            <w:tcMar>
              <w:top w:w="80" w:type="dxa"/>
              <w:start w:w="80" w:type="dxa"/>
              <w:bottom w:w="80" w:type="dxa"/>
              <w:end w:w="80" w:type="dxa"/>
            </w:tcMar>
            <w:shd w:fill="F8F9FA"/>
          </w:tcPr>
          <w:p>
            <w:pPr>
              <w:spacing w:after="0"/>
            </w:pPr>
            <w:r/>
            <w:r>
              <w:rPr>
                <w:rFonts w:ascii="Aptos" w:hAnsi="Aptos"/>
                <w:b w:val="0"/>
                <w:sz w:val="14"/>
              </w:rPr>
              <w:t>statement reproduces from versioned rules and reconciles to Finance tolerance</w:t>
            </w:r>
          </w:p>
        </w:tc>
        <w:tc>
          <w:tcPr>
            <w:tcW w:type="dxa" w:w="2592"/>
            <w:vAlign w:val="top"/>
            <w:tcMar>
              <w:top w:w="80" w:type="dxa"/>
              <w:start w:w="80" w:type="dxa"/>
              <w:bottom w:w="80" w:type="dxa"/>
              <w:end w:w="80" w:type="dxa"/>
            </w:tcMar>
            <w:shd w:fill="F8F9FA"/>
          </w:tcPr>
          <w:p>
            <w:pPr>
              <w:spacing w:after="0"/>
            </w:pPr>
            <w:r/>
            <w:r>
              <w:rPr>
                <w:rFonts w:ascii="Aptos" w:hAnsi="Aptos"/>
                <w:b w:val="0"/>
                <w:sz w:val="14"/>
              </w:rPr>
              <w:t>audit rerun and journal validation</w:t>
            </w:r>
          </w:p>
        </w:tc>
      </w:tr>
      <w:tr>
        <w:tc>
          <w:tcPr>
            <w:tcW w:type="dxa" w:w="1728"/>
            <w:vAlign w:val="top"/>
            <w:tcMar>
              <w:top w:w="80" w:type="dxa"/>
              <w:start w:w="80" w:type="dxa"/>
              <w:bottom w:w="80" w:type="dxa"/>
              <w:end w:w="80" w:type="dxa"/>
            </w:tcMar>
          </w:tcPr>
          <w:p>
            <w:pPr>
              <w:spacing w:after="0"/>
            </w:pPr>
            <w:r/>
            <w:r>
              <w:rPr>
                <w:rFonts w:ascii="Aptos" w:hAnsi="Aptos"/>
                <w:b w:val="0"/>
                <w:sz w:val="14"/>
              </w:rPr>
              <w:t>Security</w:t>
            </w:r>
          </w:p>
        </w:tc>
        <w:tc>
          <w:tcPr>
            <w:tcW w:type="dxa" w:w="5472"/>
            <w:vAlign w:val="top"/>
            <w:tcMar>
              <w:top w:w="80" w:type="dxa"/>
              <w:start w:w="80" w:type="dxa"/>
              <w:bottom w:w="80" w:type="dxa"/>
              <w:end w:w="80" w:type="dxa"/>
            </w:tcMar>
          </w:tcPr>
          <w:p>
            <w:pPr>
              <w:spacing w:after="0"/>
            </w:pPr>
            <w:r/>
            <w:r>
              <w:rPr>
                <w:rFonts w:ascii="Aptos" w:hAnsi="Aptos"/>
                <w:b w:val="0"/>
                <w:sz w:val="14"/>
              </w:rPr>
              <w:t>billing data least privilege, audit logging and VPC SC behavior validated</w:t>
            </w:r>
          </w:p>
        </w:tc>
        <w:tc>
          <w:tcPr>
            <w:tcW w:type="dxa" w:w="2592"/>
            <w:vAlign w:val="top"/>
            <w:tcMar>
              <w:top w:w="80" w:type="dxa"/>
              <w:start w:w="80" w:type="dxa"/>
              <w:bottom w:w="80" w:type="dxa"/>
              <w:end w:w="80" w:type="dxa"/>
            </w:tcMar>
          </w:tcPr>
          <w:p>
            <w:pPr>
              <w:spacing w:after="0"/>
            </w:pPr>
            <w:r/>
            <w:r>
              <w:rPr>
                <w:rFonts w:ascii="Aptos" w:hAnsi="Aptos"/>
                <w:b w:val="0"/>
                <w:sz w:val="14"/>
              </w:rPr>
              <w:t>access test and audit evidence</w:t>
            </w:r>
          </w:p>
        </w:tc>
      </w:tr>
      <w:tr>
        <w:tc>
          <w:tcPr>
            <w:tcW w:type="dxa" w:w="1728"/>
            <w:vAlign w:val="top"/>
            <w:tcMar>
              <w:top w:w="80" w:type="dxa"/>
              <w:start w:w="80" w:type="dxa"/>
              <w:bottom w:w="80" w:type="dxa"/>
              <w:end w:w="80" w:type="dxa"/>
            </w:tcMar>
            <w:shd w:fill="F8F9FA"/>
          </w:tcPr>
          <w:p>
            <w:pPr>
              <w:spacing w:after="0"/>
            </w:pPr>
            <w:r/>
            <w:r>
              <w:rPr>
                <w:rFonts w:ascii="Aptos" w:hAnsi="Aptos"/>
                <w:b w:val="0"/>
                <w:sz w:val="14"/>
              </w:rPr>
              <w:t>Rollback</w:t>
            </w:r>
          </w:p>
        </w:tc>
        <w:tc>
          <w:tcPr>
            <w:tcW w:type="dxa" w:w="5472"/>
            <w:vAlign w:val="top"/>
            <w:tcMar>
              <w:top w:w="80" w:type="dxa"/>
              <w:start w:w="80" w:type="dxa"/>
              <w:bottom w:w="80" w:type="dxa"/>
              <w:end w:w="80" w:type="dxa"/>
            </w:tcMar>
            <w:shd w:fill="F8F9FA"/>
          </w:tcPr>
          <w:p>
            <w:pPr>
              <w:spacing w:after="0"/>
            </w:pPr>
            <w:r/>
            <w:r>
              <w:rPr>
                <w:rFonts w:ascii="Aptos" w:hAnsi="Aptos"/>
                <w:b w:val="0"/>
                <w:sz w:val="14"/>
              </w:rPr>
              <w:t>reservation, lifecycle, routing and allocation changes have tested rollback</w:t>
            </w:r>
          </w:p>
        </w:tc>
        <w:tc>
          <w:tcPr>
            <w:tcW w:type="dxa" w:w="2592"/>
            <w:vAlign w:val="top"/>
            <w:tcMar>
              <w:top w:w="80" w:type="dxa"/>
              <w:start w:w="80" w:type="dxa"/>
              <w:bottom w:w="80" w:type="dxa"/>
              <w:end w:w="80" w:type="dxa"/>
            </w:tcMar>
            <w:shd w:fill="F8F9FA"/>
          </w:tcPr>
          <w:p>
            <w:pPr>
              <w:spacing w:after="0"/>
            </w:pPr>
            <w:r/>
            <w:r>
              <w:rPr>
                <w:rFonts w:ascii="Aptos" w:hAnsi="Aptos"/>
                <w:b w:val="0"/>
                <w:sz w:val="14"/>
              </w:rPr>
              <w:t>runbook and exercise record</w:t>
            </w:r>
          </w:p>
        </w:tc>
      </w:tr>
    </w:tbl>
    <w:p>
      <w:pPr>
        <w:pStyle w:val="Heading1"/>
      </w:pPr>
      <w:r>
        <w:t>31. Production Readiness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76"/>
            <w:vAlign w:val="top"/>
            <w:tcMar>
              <w:top w:w="80" w:type="dxa"/>
              <w:start w:w="80" w:type="dxa"/>
              <w:bottom w:w="80" w:type="dxa"/>
              <w:end w:w="80" w:type="dxa"/>
            </w:tcMar>
            <w:shd w:fill="1A73E8"/>
          </w:tcPr>
          <w:p>
            <w:pPr>
              <w:spacing w:after="0"/>
            </w:pPr>
            <w:r/>
            <w:r>
              <w:rPr>
                <w:rFonts w:ascii="Aptos" w:hAnsi="Aptos"/>
                <w:b/>
                <w:color w:val="FFFFFF"/>
                <w:sz w:val="14"/>
              </w:rPr>
              <w:t>#</w:t>
            </w:r>
          </w:p>
        </w:tc>
        <w:tc>
          <w:tcPr>
            <w:tcW w:type="dxa" w:w="7200"/>
            <w:vAlign w:val="top"/>
            <w:tcMar>
              <w:top w:w="80" w:type="dxa"/>
              <w:start w:w="80" w:type="dxa"/>
              <w:bottom w:w="80" w:type="dxa"/>
              <w:end w:w="80" w:type="dxa"/>
            </w:tcMar>
            <w:shd w:fill="1A73E8"/>
          </w:tcPr>
          <w:p>
            <w:pPr>
              <w:spacing w:after="0"/>
            </w:pPr>
            <w:r/>
            <w:r>
              <w:rPr>
                <w:rFonts w:ascii="Aptos" w:hAnsi="Aptos"/>
                <w:b/>
                <w:color w:val="FFFFFF"/>
                <w:sz w:val="14"/>
              </w:rPr>
              <w:t>Readiness item</w:t>
            </w:r>
          </w:p>
        </w:tc>
        <w:tc>
          <w:tcPr>
            <w:tcW w:type="dxa" w:w="2016"/>
            <w:vAlign w:val="top"/>
            <w:tcMar>
              <w:top w:w="80" w:type="dxa"/>
              <w:start w:w="80" w:type="dxa"/>
              <w:bottom w:w="80" w:type="dxa"/>
              <w:end w:w="80" w:type="dxa"/>
            </w:tcMar>
            <w:shd w:fill="1A73E8"/>
          </w:tcPr>
          <w:p>
            <w:pPr>
              <w:spacing w:after="0"/>
            </w:pPr>
            <w:r/>
            <w:r>
              <w:rPr>
                <w:rFonts w:ascii="Aptos" w:hAnsi="Aptos"/>
                <w:b/>
                <w:color w:val="FFFFFF"/>
                <w:sz w:val="14"/>
              </w:rPr>
              <w:t>Status / evidence</w:t>
            </w:r>
          </w:p>
        </w:tc>
      </w:tr>
      <w:tr>
        <w:tc>
          <w:tcPr>
            <w:tcW w:type="dxa" w:w="576"/>
            <w:vAlign w:val="top"/>
            <w:tcMar>
              <w:top w:w="80" w:type="dxa"/>
              <w:start w:w="80" w:type="dxa"/>
              <w:bottom w:w="80" w:type="dxa"/>
              <w:end w:w="80" w:type="dxa"/>
            </w:tcMar>
          </w:tcPr>
          <w:p>
            <w:pPr>
              <w:spacing w:after="0"/>
            </w:pPr>
            <w:r/>
            <w:r>
              <w:rPr>
                <w:rFonts w:ascii="Aptos" w:hAnsi="Aptos"/>
                <w:b w:val="0"/>
                <w:sz w:val="14"/>
              </w:rPr>
              <w:t>1</w:t>
            </w:r>
          </w:p>
        </w:tc>
        <w:tc>
          <w:tcPr>
            <w:tcW w:type="dxa" w:w="7200"/>
            <w:vAlign w:val="top"/>
            <w:tcMar>
              <w:top w:w="80" w:type="dxa"/>
              <w:start w:w="80" w:type="dxa"/>
              <w:bottom w:w="80" w:type="dxa"/>
              <w:end w:w="80" w:type="dxa"/>
            </w:tcMar>
          </w:tcPr>
          <w:p>
            <w:pPr>
              <w:spacing w:after="0"/>
            </w:pPr>
            <w:r/>
            <w:r>
              <w:rPr>
                <w:rFonts w:ascii="Aptos" w:hAnsi="Aptos"/>
                <w:b w:val="0"/>
                <w:sz w:val="14"/>
              </w:rPr>
              <w:t>Billing-account boundaries and administrators approved.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2</w:t>
            </w:r>
          </w:p>
        </w:tc>
        <w:tc>
          <w:tcPr>
            <w:tcW w:type="dxa" w:w="7200"/>
            <w:vAlign w:val="top"/>
            <w:tcMar>
              <w:top w:w="80" w:type="dxa"/>
              <w:start w:w="80" w:type="dxa"/>
              <w:bottom w:w="80" w:type="dxa"/>
              <w:end w:w="80" w:type="dxa"/>
            </w:tcMar>
            <w:shd w:fill="F8F9FA"/>
          </w:tcPr>
          <w:p>
            <w:pPr>
              <w:spacing w:after="0"/>
            </w:pPr>
            <w:r/>
            <w:r>
              <w:rPr>
                <w:rFonts w:ascii="Aptos" w:hAnsi="Aptos"/>
                <w:b w:val="0"/>
                <w:sz w:val="14"/>
              </w:rPr>
              <w:t>FOCUS/standard/detailed/pricing/CUD exports selected and enabled where appropriate.</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3</w:t>
            </w:r>
          </w:p>
        </w:tc>
        <w:tc>
          <w:tcPr>
            <w:tcW w:type="dxa" w:w="7200"/>
            <w:vAlign w:val="top"/>
            <w:tcMar>
              <w:top w:w="80" w:type="dxa"/>
              <w:start w:w="80" w:type="dxa"/>
              <w:bottom w:w="80" w:type="dxa"/>
              <w:end w:w="80" w:type="dxa"/>
            </w:tcMar>
          </w:tcPr>
          <w:p>
            <w:pPr>
              <w:spacing w:after="0"/>
            </w:pPr>
            <w:r/>
            <w:r>
              <w:rPr>
                <w:rFonts w:ascii="Aptos" w:hAnsi="Aptos"/>
                <w:b w:val="0"/>
                <w:sz w:val="14"/>
              </w:rPr>
              <w:t>Export dataset location, classification, IAM, VPC Service Controls and retention approved.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4</w:t>
            </w:r>
          </w:p>
        </w:tc>
        <w:tc>
          <w:tcPr>
            <w:tcW w:type="dxa" w:w="7200"/>
            <w:vAlign w:val="top"/>
            <w:tcMar>
              <w:top w:w="80" w:type="dxa"/>
              <w:start w:w="80" w:type="dxa"/>
              <w:bottom w:w="80" w:type="dxa"/>
              <w:end w:w="80" w:type="dxa"/>
            </w:tcMar>
            <w:shd w:fill="F8F9FA"/>
          </w:tcPr>
          <w:p>
            <w:pPr>
              <w:spacing w:after="0"/>
            </w:pPr>
            <w:r/>
            <w:r>
              <w:rPr>
                <w:rFonts w:ascii="Aptos" w:hAnsi="Aptos"/>
                <w:b w:val="0"/>
                <w:sz w:val="14"/>
              </w:rPr>
              <w:t>Normalized views shield consumers from provider schema changes.</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5</w:t>
            </w:r>
          </w:p>
        </w:tc>
        <w:tc>
          <w:tcPr>
            <w:tcW w:type="dxa" w:w="7200"/>
            <w:vAlign w:val="top"/>
            <w:tcMar>
              <w:top w:w="80" w:type="dxa"/>
              <w:start w:w="80" w:type="dxa"/>
              <w:bottom w:w="80" w:type="dxa"/>
              <w:end w:w="80" w:type="dxa"/>
            </w:tcMar>
          </w:tcPr>
          <w:p>
            <w:pPr>
              <w:spacing w:after="0"/>
            </w:pPr>
            <w:r/>
            <w:r>
              <w:rPr>
                <w:rFonts w:ascii="Aptos" w:hAnsi="Aptos"/>
                <w:b w:val="0"/>
                <w:sz w:val="14"/>
              </w:rPr>
              <w:t>Daily freshness and invoice reconciliation controls pass.</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6</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Project, cost-center, owner, domain and product registries are authoritative and effective-dated.</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7</w:t>
            </w:r>
          </w:p>
        </w:tc>
        <w:tc>
          <w:tcPr>
            <w:tcW w:type="dxa" w:w="7200"/>
            <w:vAlign w:val="top"/>
            <w:tcMar>
              <w:top w:w="80" w:type="dxa"/>
              <w:start w:w="80" w:type="dxa"/>
              <w:bottom w:w="80" w:type="dxa"/>
              <w:end w:w="80" w:type="dxa"/>
            </w:tcMar>
          </w:tcPr>
          <w:p>
            <w:pPr>
              <w:spacing w:after="0"/>
            </w:pPr>
            <w:r/>
            <w:r>
              <w:rPr>
                <w:rFonts w:ascii="Aptos" w:hAnsi="Aptos"/>
                <w:b w:val="0"/>
                <w:sz w:val="14"/>
              </w:rPr>
              <w:t>Mandatory labels/tags and CI/CD validation are deployed.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8</w:t>
            </w:r>
          </w:p>
        </w:tc>
        <w:tc>
          <w:tcPr>
            <w:tcW w:type="dxa" w:w="7200"/>
            <w:vAlign w:val="top"/>
            <w:tcMar>
              <w:top w:w="80" w:type="dxa"/>
              <w:start w:w="80" w:type="dxa"/>
              <w:bottom w:w="80" w:type="dxa"/>
              <w:end w:w="80" w:type="dxa"/>
            </w:tcMar>
            <w:shd w:fill="F8F9FA"/>
          </w:tcPr>
          <w:p>
            <w:pPr>
              <w:spacing w:after="0"/>
            </w:pPr>
            <w:r/>
            <w:r>
              <w:rPr>
                <w:rFonts w:ascii="Aptos" w:hAnsi="Aptos"/>
                <w:b w:val="0"/>
                <w:sz w:val="14"/>
              </w:rPr>
              <w:t>Unallocated cost queue, KPI and escalation are operational.</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9</w:t>
            </w:r>
          </w:p>
        </w:tc>
        <w:tc>
          <w:tcPr>
            <w:tcW w:type="dxa" w:w="7200"/>
            <w:vAlign w:val="top"/>
            <w:tcMar>
              <w:top w:w="80" w:type="dxa"/>
              <w:start w:w="80" w:type="dxa"/>
              <w:bottom w:w="80" w:type="dxa"/>
              <w:end w:w="80" w:type="dxa"/>
            </w:tcMar>
          </w:tcPr>
          <w:p>
            <w:pPr>
              <w:spacing w:after="0"/>
            </w:pPr>
            <w:r/>
            <w:r>
              <w:rPr>
                <w:rFonts w:ascii="Aptos" w:hAnsi="Aptos"/>
                <w:b w:val="0"/>
                <w:sz w:val="14"/>
              </w:rPr>
              <w:t>Budgets exist for production products and shared platforms.</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10</w:t>
            </w:r>
          </w:p>
        </w:tc>
        <w:tc>
          <w:tcPr>
            <w:tcW w:type="dxa" w:w="7200"/>
            <w:vAlign w:val="top"/>
            <w:tcMar>
              <w:top w:w="80" w:type="dxa"/>
              <w:start w:w="80" w:type="dxa"/>
              <w:bottom w:w="80" w:type="dxa"/>
              <w:end w:w="80" w:type="dxa"/>
            </w:tcMar>
            <w:shd w:fill="F8F9FA"/>
          </w:tcPr>
          <w:p>
            <w:pPr>
              <w:spacing w:after="0"/>
            </w:pPr>
            <w:r/>
            <w:r>
              <w:rPr>
                <w:rFonts w:ascii="Aptos" w:hAnsi="Aptos"/>
                <w:b w:val="0"/>
                <w:sz w:val="14"/>
              </w:rPr>
              <w:t>Programmatic budget/anomaly notifications are tested end to end.</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11</w:t>
            </w:r>
          </w:p>
        </w:tc>
        <w:tc>
          <w:tcPr>
            <w:tcW w:type="dxa" w:w="7200"/>
            <w:vAlign w:val="top"/>
            <w:tcMar>
              <w:top w:w="80" w:type="dxa"/>
              <w:start w:w="80" w:type="dxa"/>
              <w:bottom w:w="80" w:type="dxa"/>
              <w:end w:w="80" w:type="dxa"/>
            </w:tcMar>
          </w:tcPr>
          <w:p>
            <w:pPr>
              <w:spacing w:after="0"/>
            </w:pPr>
            <w:r/>
            <w:r>
              <w:rPr>
                <w:rFonts w:ascii="Aptos" w:hAnsi="Aptos"/>
                <w:b w:val="0"/>
                <w:sz w:val="14"/>
              </w:rPr>
              <w:t>Forecast methodology, assumptions and owner commentary are documented.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12</w:t>
            </w:r>
          </w:p>
        </w:tc>
        <w:tc>
          <w:tcPr>
            <w:tcW w:type="dxa" w:w="7200"/>
            <w:vAlign w:val="top"/>
            <w:tcMar>
              <w:top w:w="80" w:type="dxa"/>
              <w:start w:w="80" w:type="dxa"/>
              <w:bottom w:w="80" w:type="dxa"/>
              <w:end w:w="80" w:type="dxa"/>
            </w:tcMar>
            <w:shd w:fill="F8F9FA"/>
          </w:tcPr>
          <w:p>
            <w:pPr>
              <w:spacing w:after="0"/>
            </w:pPr>
            <w:r/>
            <w:r>
              <w:rPr>
                <w:rFonts w:ascii="Aptos" w:hAnsi="Aptos"/>
                <w:b w:val="0"/>
                <w:sz w:val="14"/>
              </w:rPr>
              <w:t>Showback statement and dispute workflow have completed at least two stable cycles before chargeback.</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13</w:t>
            </w:r>
          </w:p>
        </w:tc>
        <w:tc>
          <w:tcPr>
            <w:tcW w:type="dxa" w:w="7200"/>
            <w:vAlign w:val="top"/>
            <w:tcMar>
              <w:top w:w="80" w:type="dxa"/>
              <w:start w:w="80" w:type="dxa"/>
              <w:bottom w:w="80" w:type="dxa"/>
              <w:end w:w="80" w:type="dxa"/>
            </w:tcMar>
          </w:tcPr>
          <w:p>
            <w:pPr>
              <w:spacing w:after="0"/>
            </w:pPr>
            <w:r/>
            <w:r>
              <w:rPr>
                <w:rFonts w:ascii="Aptos" w:hAnsi="Aptos"/>
                <w:b w:val="0"/>
                <w:sz w:val="14"/>
              </w:rPr>
              <w:t>BigQuery workload tests, reservations, assignments, autoscaling caps and rollback are validated.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14</w:t>
            </w:r>
          </w:p>
        </w:tc>
        <w:tc>
          <w:tcPr>
            <w:tcW w:type="dxa" w:w="7200"/>
            <w:vAlign w:val="top"/>
            <w:tcMar>
              <w:top w:w="80" w:type="dxa"/>
              <w:start w:w="80" w:type="dxa"/>
              <w:bottom w:w="80" w:type="dxa"/>
              <w:end w:w="80" w:type="dxa"/>
            </w:tcMar>
            <w:shd w:fill="F8F9FA"/>
          </w:tcPr>
          <w:p>
            <w:pPr>
              <w:spacing w:after="0"/>
            </w:pPr>
            <w:r/>
            <w:r>
              <w:rPr>
                <w:rFonts w:ascii="Aptos" w:hAnsi="Aptos"/>
                <w:b w:val="0"/>
                <w:sz w:val="14"/>
              </w:rPr>
              <w:t>Commitment purchases have Finance/Procurement approval and conservative utilization evidence.</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15</w:t>
            </w:r>
          </w:p>
        </w:tc>
        <w:tc>
          <w:tcPr>
            <w:tcW w:type="dxa" w:w="7200"/>
            <w:vAlign w:val="top"/>
            <w:tcMar>
              <w:top w:w="80" w:type="dxa"/>
              <w:start w:w="80" w:type="dxa"/>
              <w:bottom w:w="80" w:type="dxa"/>
              <w:end w:w="80" w:type="dxa"/>
            </w:tcMar>
          </w:tcPr>
          <w:p>
            <w:pPr>
              <w:spacing w:after="0"/>
            </w:pPr>
            <w:r/>
            <w:r>
              <w:rPr>
                <w:rFonts w:ascii="Aptos" w:hAnsi="Aptos"/>
                <w:b w:val="0"/>
                <w:sz w:val="14"/>
              </w:rPr>
              <w:t>Cloud Storage lifecycle/Autoclass decisions pass retention, legal hold, privacy and restore tests.</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16</w:t>
            </w:r>
          </w:p>
        </w:tc>
        <w:tc>
          <w:tcPr>
            <w:tcW w:type="dxa" w:w="7200"/>
            <w:vAlign w:val="top"/>
            <w:tcMar>
              <w:top w:w="80" w:type="dxa"/>
              <w:start w:w="80" w:type="dxa"/>
              <w:bottom w:w="80" w:type="dxa"/>
              <w:end w:w="80" w:type="dxa"/>
            </w:tcMar>
            <w:shd w:fill="F8F9FA"/>
          </w:tcPr>
          <w:p>
            <w:pPr>
              <w:spacing w:after="0"/>
            </w:pPr>
            <w:r/>
            <w:r>
              <w:rPr>
                <w:rFonts w:ascii="Aptos" w:hAnsi="Aptos"/>
                <w:b w:val="0"/>
                <w:sz w:val="14"/>
              </w:rPr>
              <w:t>Dataflow, Dataproc and Pub/Sub unit economics and idle controls are monitored.</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17</w:t>
            </w:r>
          </w:p>
        </w:tc>
        <w:tc>
          <w:tcPr>
            <w:tcW w:type="dxa" w:w="7200"/>
            <w:vAlign w:val="top"/>
            <w:tcMar>
              <w:top w:w="80" w:type="dxa"/>
              <w:start w:w="80" w:type="dxa"/>
              <w:bottom w:w="80" w:type="dxa"/>
              <w:end w:w="80" w:type="dxa"/>
            </w:tcMar>
          </w:tcPr>
          <w:p>
            <w:pPr>
              <w:spacing w:after="0"/>
            </w:pPr>
            <w:r/>
            <w:r>
              <w:rPr>
                <w:rFonts w:ascii="Aptos" w:hAnsi="Aptos"/>
                <w:b w:val="0"/>
                <w:sz w:val="14"/>
              </w:rPr>
              <w:t>Network transfer paths and cross-region costs are documented.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18</w:t>
            </w:r>
          </w:p>
        </w:tc>
        <w:tc>
          <w:tcPr>
            <w:tcW w:type="dxa" w:w="7200"/>
            <w:vAlign w:val="top"/>
            <w:tcMar>
              <w:top w:w="80" w:type="dxa"/>
              <w:start w:w="80" w:type="dxa"/>
              <w:bottom w:w="80" w:type="dxa"/>
              <w:end w:w="80" w:type="dxa"/>
            </w:tcMar>
            <w:shd w:fill="F8F9FA"/>
          </w:tcPr>
          <w:p>
            <w:pPr>
              <w:spacing w:after="0"/>
            </w:pPr>
            <w:r/>
            <w:r>
              <w:rPr>
                <w:rFonts w:ascii="Aptos" w:hAnsi="Aptos"/>
                <w:b w:val="0"/>
                <w:sz w:val="14"/>
              </w:rPr>
              <w:t>Logging exclusions and retention changes preserve required audit/security evidence.</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19</w:t>
            </w:r>
          </w:p>
        </w:tc>
        <w:tc>
          <w:tcPr>
            <w:tcW w:type="dxa" w:w="7200"/>
            <w:vAlign w:val="top"/>
            <w:tcMar>
              <w:top w:w="80" w:type="dxa"/>
              <w:start w:w="80" w:type="dxa"/>
              <w:bottom w:w="80" w:type="dxa"/>
              <w:end w:w="80" w:type="dxa"/>
            </w:tcMar>
          </w:tcPr>
          <w:p>
            <w:pPr>
              <w:spacing w:after="0"/>
            </w:pPr>
            <w:r/>
            <w:r>
              <w:rPr>
                <w:rFonts w:ascii="Aptos" w:hAnsi="Aptos"/>
                <w:b w:val="0"/>
                <w:sz w:val="14"/>
              </w:rPr>
              <w:t>Monitoring metric cardinality and duplicate collection are governed.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20</w:t>
            </w:r>
          </w:p>
        </w:tc>
        <w:tc>
          <w:tcPr>
            <w:tcW w:type="dxa" w:w="7200"/>
            <w:vAlign w:val="top"/>
            <w:tcMar>
              <w:top w:w="80" w:type="dxa"/>
              <w:start w:w="80" w:type="dxa"/>
              <w:bottom w:w="80" w:type="dxa"/>
              <w:end w:w="80" w:type="dxa"/>
            </w:tcMar>
            <w:shd w:fill="F8F9FA"/>
          </w:tcPr>
          <w:p>
            <w:pPr>
              <w:spacing w:after="0"/>
            </w:pPr>
            <w:r/>
            <w:r>
              <w:rPr>
                <w:rFonts w:ascii="Aptos" w:hAnsi="Aptos"/>
                <w:b w:val="0"/>
                <w:sz w:val="14"/>
              </w:rPr>
              <w:t>Vertex AI/Gemini model routing, token budgets and accepted-task economics are implemented.</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21</w:t>
            </w:r>
          </w:p>
        </w:tc>
        <w:tc>
          <w:tcPr>
            <w:tcW w:type="dxa" w:w="7200"/>
            <w:vAlign w:val="top"/>
            <w:tcMar>
              <w:top w:w="80" w:type="dxa"/>
              <w:start w:w="80" w:type="dxa"/>
              <w:bottom w:w="80" w:type="dxa"/>
              <w:end w:w="80" w:type="dxa"/>
            </w:tcMar>
          </w:tcPr>
          <w:p>
            <w:pPr>
              <w:spacing w:after="0"/>
            </w:pPr>
            <w:r/>
            <w:r>
              <w:rPr>
                <w:rFonts w:ascii="Aptos" w:hAnsi="Aptos"/>
                <w:b w:val="0"/>
                <w:sz w:val="14"/>
              </w:rPr>
              <w:t>Dashboards display freshness, currency, allocation version and provisional/final status.</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22</w:t>
            </w:r>
          </w:p>
        </w:tc>
        <w:tc>
          <w:tcPr>
            <w:tcW w:type="dxa" w:w="7200"/>
            <w:vAlign w:val="top"/>
            <w:tcMar>
              <w:top w:w="80" w:type="dxa"/>
              <w:start w:w="80" w:type="dxa"/>
              <w:bottom w:w="80" w:type="dxa"/>
              <w:end w:w="80" w:type="dxa"/>
            </w:tcMar>
            <w:shd w:fill="F8F9FA"/>
          </w:tcPr>
          <w:p>
            <w:pPr>
              <w:spacing w:after="0"/>
            </w:pPr>
            <w:r/>
            <w:r>
              <w:rPr>
                <w:rFonts w:ascii="Aptos" w:hAnsi="Aptos"/>
                <w:b w:val="0"/>
                <w:sz w:val="14"/>
              </w:rPr>
              <w:t>All optimization changes include SLO, security, privacy and DR validation.</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tcPr>
          <w:p>
            <w:pPr>
              <w:spacing w:after="0"/>
            </w:pPr>
            <w:r/>
            <w:r>
              <w:rPr>
                <w:rFonts w:ascii="Aptos" w:hAnsi="Aptos"/>
                <w:b w:val="0"/>
                <w:sz w:val="14"/>
              </w:rPr>
              <w:t>23</w:t>
            </w:r>
          </w:p>
        </w:tc>
        <w:tc>
          <w:tcPr>
            <w:tcW w:type="dxa" w:w="7200"/>
            <w:vAlign w:val="top"/>
            <w:tcMar>
              <w:top w:w="80" w:type="dxa"/>
              <w:start w:w="80" w:type="dxa"/>
              <w:bottom w:w="80" w:type="dxa"/>
              <w:end w:w="80" w:type="dxa"/>
            </w:tcMar>
          </w:tcPr>
          <w:p>
            <w:pPr>
              <w:spacing w:after="0"/>
            </w:pPr>
            <w:r/>
            <w:r>
              <w:rPr>
                <w:rFonts w:ascii="Aptos" w:hAnsi="Aptos"/>
                <w:b w:val="0"/>
                <w:sz w:val="14"/>
              </w:rPr>
              <w:t>ADRs, risks, exceptions, runbooks and review triggers are registered.</w:t>
            </w:r>
          </w:p>
        </w:tc>
        <w:tc>
          <w:tcPr>
            <w:tcW w:type="dxa" w:w="2016"/>
            <w:vAlign w:val="top"/>
            <w:tcMar>
              <w:top w:w="80" w:type="dxa"/>
              <w:start w:w="80" w:type="dxa"/>
              <w:bottom w:w="80" w:type="dxa"/>
              <w:end w:w="80" w:type="dxa"/>
            </w:tcMar>
          </w:tcPr>
          <w:p>
            <w:pPr>
              <w:spacing w:after="0"/>
            </w:pPr>
            <w:r/>
            <w:r>
              <w:rPr>
                <w:rFonts w:ascii="Aptos" w:hAnsi="Aptos"/>
                <w:b w:val="0"/>
                <w:sz w:val="14"/>
              </w:rPr>
              <w:t>To be completed by implementation program</w:t>
            </w:r>
          </w:p>
        </w:tc>
      </w:tr>
      <w:tr>
        <w:tc>
          <w:tcPr>
            <w:tcW w:type="dxa" w:w="576"/>
            <w:vAlign w:val="top"/>
            <w:tcMar>
              <w:top w:w="80" w:type="dxa"/>
              <w:start w:w="80" w:type="dxa"/>
              <w:bottom w:w="80" w:type="dxa"/>
              <w:end w:w="80" w:type="dxa"/>
            </w:tcMar>
            <w:shd w:fill="F8F9FA"/>
          </w:tcPr>
          <w:p>
            <w:pPr>
              <w:spacing w:after="0"/>
            </w:pPr>
            <w:r/>
            <w:r>
              <w:rPr>
                <w:rFonts w:ascii="Aptos" w:hAnsi="Aptos"/>
                <w:b w:val="0"/>
                <w:sz w:val="14"/>
              </w:rPr>
              <w:t>24</w:t>
            </w:r>
          </w:p>
        </w:tc>
        <w:tc>
          <w:tcPr>
            <w:tcW w:type="dxa" w:w="7200"/>
            <w:vAlign w:val="top"/>
            <w:tcMar>
              <w:top w:w="80" w:type="dxa"/>
              <w:start w:w="80" w:type="dxa"/>
              <w:bottom w:w="80" w:type="dxa"/>
              <w:end w:w="80" w:type="dxa"/>
            </w:tcMar>
            <w:shd w:fill="F8F9FA"/>
          </w:tcPr>
          <w:p>
            <w:pPr>
              <w:spacing w:after="0"/>
            </w:pPr>
            <w:r/>
            <w:r>
              <w:rPr>
                <w:rFonts w:ascii="Aptos" w:hAnsi="Aptos"/>
                <w:b w:val="0"/>
                <w:sz w:val="14"/>
              </w:rPr>
              <w:t>Monthly and quarterly review forums have owners, calendar and decision records.</w:t>
            </w:r>
          </w:p>
        </w:tc>
        <w:tc>
          <w:tcPr>
            <w:tcW w:type="dxa" w:w="2016"/>
            <w:vAlign w:val="top"/>
            <w:tcMar>
              <w:top w:w="80" w:type="dxa"/>
              <w:start w:w="80" w:type="dxa"/>
              <w:bottom w:w="80" w:type="dxa"/>
              <w:end w:w="80" w:type="dxa"/>
            </w:tcMar>
            <w:shd w:fill="F8F9FA"/>
          </w:tcPr>
          <w:p>
            <w:pPr>
              <w:spacing w:after="0"/>
            </w:pPr>
            <w:r/>
            <w:r>
              <w:rPr>
                <w:rFonts w:ascii="Aptos" w:hAnsi="Aptos"/>
                <w:b w:val="0"/>
                <w:sz w:val="14"/>
              </w:rPr>
              <w:t>To be completed by implementation program</w:t>
            </w:r>
          </w:p>
        </w:tc>
      </w:tr>
    </w:tbl>
    <w:p>
      <w:pPr>
        <w:pStyle w:val="Heading1"/>
      </w:pPr>
      <w:r>
        <w:t>32. Dependencies, Decisions and Next Actions</w:t>
      </w:r>
    </w:p>
    <w:p>
      <w:pPr>
        <w:pStyle w:val="Heading2"/>
      </w:pPr>
      <w:r>
        <w:t>32.1 Cross-volume dependencies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top"/>
            <w:tcMar>
              <w:top w:w="80" w:type="dxa"/>
              <w:start w:w="80" w:type="dxa"/>
              <w:bottom w:w="80" w:type="dxa"/>
              <w:end w:w="80" w:type="dxa"/>
            </w:tcMar>
            <w:shd w:fill="1A73E8"/>
          </w:tcPr>
          <w:p>
            <w:pPr>
              <w:spacing w:after="0"/>
            </w:pPr>
            <w:r/>
            <w:r>
              <w:rPr>
                <w:rFonts w:ascii="Aptos" w:hAnsi="Aptos"/>
                <w:b/>
                <w:color w:val="FFFFFF"/>
                <w:sz w:val="15"/>
              </w:rPr>
              <w:t>Volume</w:t>
            </w:r>
          </w:p>
        </w:tc>
        <w:tc>
          <w:tcPr>
            <w:tcW w:type="dxa" w:w="7488"/>
            <w:vAlign w:val="top"/>
            <w:tcMar>
              <w:top w:w="80" w:type="dxa"/>
              <w:start w:w="80" w:type="dxa"/>
              <w:bottom w:w="80" w:type="dxa"/>
              <w:end w:w="80" w:type="dxa"/>
            </w:tcMar>
            <w:shd w:fill="1A73E8"/>
          </w:tcPr>
          <w:p>
            <w:pPr>
              <w:spacing w:after="0"/>
            </w:pPr>
            <w:r/>
            <w:r>
              <w:rPr>
                <w:rFonts w:ascii="Aptos" w:hAnsi="Aptos"/>
                <w:b/>
                <w:color w:val="FFFFFF"/>
                <w:sz w:val="15"/>
              </w:rPr>
              <w:t>Dependency</w:t>
            </w:r>
          </w:p>
        </w:tc>
      </w:tr>
      <w:tr>
        <w:tc>
          <w:tcPr>
            <w:tcW w:type="dxa" w:w="2160"/>
            <w:vAlign w:val="top"/>
            <w:tcMar>
              <w:top w:w="80" w:type="dxa"/>
              <w:start w:w="80" w:type="dxa"/>
              <w:bottom w:w="80" w:type="dxa"/>
              <w:end w:w="80" w:type="dxa"/>
            </w:tcMar>
          </w:tcPr>
          <w:p>
            <w:pPr>
              <w:spacing w:after="0"/>
            </w:pPr>
            <w:r/>
            <w:r>
              <w:rPr>
                <w:rFonts w:ascii="Aptos" w:hAnsi="Aptos"/>
                <w:b w:val="0"/>
                <w:sz w:val="15"/>
              </w:rPr>
              <w:t>01 Executive Architecture</w:t>
            </w:r>
          </w:p>
        </w:tc>
        <w:tc>
          <w:tcPr>
            <w:tcW w:type="dxa" w:w="7488"/>
            <w:vAlign w:val="top"/>
            <w:tcMar>
              <w:top w:w="80" w:type="dxa"/>
              <w:start w:w="80" w:type="dxa"/>
              <w:bottom w:w="80" w:type="dxa"/>
              <w:end w:w="80" w:type="dxa"/>
            </w:tcMar>
          </w:tcPr>
          <w:p>
            <w:pPr>
              <w:spacing w:after="0"/>
            </w:pPr>
            <w:r/>
            <w:r>
              <w:rPr>
                <w:rFonts w:ascii="Aptos" w:hAnsi="Aptos"/>
                <w:b w:val="0"/>
                <w:sz w:val="15"/>
              </w:rPr>
              <w:t>business outcomes, global principles, capability and risk baseline</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02 Landing Zone</w:t>
            </w:r>
          </w:p>
        </w:tc>
        <w:tc>
          <w:tcPr>
            <w:tcW w:type="dxa" w:w="7488"/>
            <w:vAlign w:val="top"/>
            <w:tcMar>
              <w:top w:w="80" w:type="dxa"/>
              <w:start w:w="80" w:type="dxa"/>
              <w:bottom w:w="80" w:type="dxa"/>
              <w:end w:w="80" w:type="dxa"/>
            </w:tcMar>
            <w:shd w:fill="F8F9FA"/>
          </w:tcPr>
          <w:p>
            <w:pPr>
              <w:spacing w:after="0"/>
            </w:pPr>
            <w:r/>
            <w:r>
              <w:rPr>
                <w:rFonts w:ascii="Aptos" w:hAnsi="Aptos"/>
                <w:b w:val="0"/>
                <w:sz w:val="15"/>
              </w:rPr>
              <w:t>billing/project hierarchy, labels/tags, IAM, network and logging foundations</w:t>
            </w:r>
          </w:p>
        </w:tc>
      </w:tr>
      <w:tr>
        <w:tc>
          <w:tcPr>
            <w:tcW w:type="dxa" w:w="2160"/>
            <w:vAlign w:val="top"/>
            <w:tcMar>
              <w:top w:w="80" w:type="dxa"/>
              <w:start w:w="80" w:type="dxa"/>
              <w:bottom w:w="80" w:type="dxa"/>
              <w:end w:w="80" w:type="dxa"/>
            </w:tcMar>
          </w:tcPr>
          <w:p>
            <w:pPr>
              <w:spacing w:after="0"/>
            </w:pPr>
            <w:r/>
            <w:r>
              <w:rPr>
                <w:rFonts w:ascii="Aptos" w:hAnsi="Aptos"/>
                <w:b w:val="0"/>
                <w:sz w:val="15"/>
              </w:rPr>
              <w:t>03 Data Platform</w:t>
            </w:r>
          </w:p>
        </w:tc>
        <w:tc>
          <w:tcPr>
            <w:tcW w:type="dxa" w:w="7488"/>
            <w:vAlign w:val="top"/>
            <w:tcMar>
              <w:top w:w="80" w:type="dxa"/>
              <w:start w:w="80" w:type="dxa"/>
              <w:bottom w:w="80" w:type="dxa"/>
              <w:end w:w="80" w:type="dxa"/>
            </w:tcMar>
          </w:tcPr>
          <w:p>
            <w:pPr>
              <w:spacing w:after="0"/>
            </w:pPr>
            <w:r/>
            <w:r>
              <w:rPr>
                <w:rFonts w:ascii="Aptos" w:hAnsi="Aptos"/>
                <w:b w:val="0"/>
                <w:sz w:val="15"/>
              </w:rPr>
              <w:t>storage, BigQuery, governance, data lifecycle and product architecture</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04 Data Engineering</w:t>
            </w:r>
          </w:p>
        </w:tc>
        <w:tc>
          <w:tcPr>
            <w:tcW w:type="dxa" w:w="7488"/>
            <w:vAlign w:val="top"/>
            <w:tcMar>
              <w:top w:w="80" w:type="dxa"/>
              <w:start w:w="80" w:type="dxa"/>
              <w:bottom w:w="80" w:type="dxa"/>
              <w:end w:w="80" w:type="dxa"/>
            </w:tcMar>
            <w:shd w:fill="F8F9FA"/>
          </w:tcPr>
          <w:p>
            <w:pPr>
              <w:spacing w:after="0"/>
            </w:pPr>
            <w:r/>
            <w:r>
              <w:rPr>
                <w:rFonts w:ascii="Aptos" w:hAnsi="Aptos"/>
                <w:b w:val="0"/>
                <w:sz w:val="15"/>
              </w:rPr>
              <w:t>pipeline telemetry, workload patterns, retry/backfill and engineering standards</w:t>
            </w:r>
          </w:p>
        </w:tc>
      </w:tr>
      <w:tr>
        <w:tc>
          <w:tcPr>
            <w:tcW w:type="dxa" w:w="2160"/>
            <w:vAlign w:val="top"/>
            <w:tcMar>
              <w:top w:w="80" w:type="dxa"/>
              <w:start w:w="80" w:type="dxa"/>
              <w:bottom w:w="80" w:type="dxa"/>
              <w:end w:w="80" w:type="dxa"/>
            </w:tcMar>
          </w:tcPr>
          <w:p>
            <w:pPr>
              <w:spacing w:after="0"/>
            </w:pPr>
            <w:r/>
            <w:r>
              <w:rPr>
                <w:rFonts w:ascii="Aptos" w:hAnsi="Aptos"/>
                <w:b w:val="0"/>
                <w:sz w:val="15"/>
              </w:rPr>
              <w:t>05 Data Mesh</w:t>
            </w:r>
          </w:p>
        </w:tc>
        <w:tc>
          <w:tcPr>
            <w:tcW w:type="dxa" w:w="7488"/>
            <w:vAlign w:val="top"/>
            <w:tcMar>
              <w:top w:w="80" w:type="dxa"/>
              <w:start w:w="80" w:type="dxa"/>
              <w:bottom w:w="80" w:type="dxa"/>
              <w:end w:w="80" w:type="dxa"/>
            </w:tcMar>
          </w:tcPr>
          <w:p>
            <w:pPr>
              <w:spacing w:after="0"/>
            </w:pPr>
            <w:r/>
            <w:r>
              <w:rPr>
                <w:rFonts w:ascii="Aptos" w:hAnsi="Aptos"/>
                <w:b w:val="0"/>
                <w:sz w:val="15"/>
              </w:rPr>
              <w:t>domain/product ownership, SLOs, cost allocation and marketplace</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06 Analytics</w:t>
            </w:r>
          </w:p>
        </w:tc>
        <w:tc>
          <w:tcPr>
            <w:tcW w:type="dxa" w:w="7488"/>
            <w:vAlign w:val="top"/>
            <w:tcMar>
              <w:top w:w="80" w:type="dxa"/>
              <w:start w:w="80" w:type="dxa"/>
              <w:bottom w:w="80" w:type="dxa"/>
              <w:end w:w="80" w:type="dxa"/>
            </w:tcMar>
            <w:shd w:fill="F8F9FA"/>
          </w:tcPr>
          <w:p>
            <w:pPr>
              <w:spacing w:after="0"/>
            </w:pPr>
            <w:r/>
            <w:r>
              <w:rPr>
                <w:rFonts w:ascii="Aptos" w:hAnsi="Aptos"/>
                <w:b w:val="0"/>
                <w:sz w:val="15"/>
              </w:rPr>
              <w:t>Looker/BI workloads, semantic metrics, concurrency and BI Engine</w:t>
            </w:r>
          </w:p>
        </w:tc>
      </w:tr>
      <w:tr>
        <w:tc>
          <w:tcPr>
            <w:tcW w:type="dxa" w:w="2160"/>
            <w:vAlign w:val="top"/>
            <w:tcMar>
              <w:top w:w="80" w:type="dxa"/>
              <w:start w:w="80" w:type="dxa"/>
              <w:bottom w:w="80" w:type="dxa"/>
              <w:end w:w="80" w:type="dxa"/>
            </w:tcMar>
          </w:tcPr>
          <w:p>
            <w:pPr>
              <w:spacing w:after="0"/>
            </w:pPr>
            <w:r/>
            <w:r>
              <w:rPr>
                <w:rFonts w:ascii="Aptos" w:hAnsi="Aptos"/>
                <w:b w:val="0"/>
                <w:sz w:val="15"/>
              </w:rPr>
              <w:t>07 AI/GenAI</w:t>
            </w:r>
          </w:p>
        </w:tc>
        <w:tc>
          <w:tcPr>
            <w:tcW w:type="dxa" w:w="7488"/>
            <w:vAlign w:val="top"/>
            <w:tcMar>
              <w:top w:w="80" w:type="dxa"/>
              <w:start w:w="80" w:type="dxa"/>
              <w:bottom w:w="80" w:type="dxa"/>
              <w:end w:w="80" w:type="dxa"/>
            </w:tcMar>
          </w:tcPr>
          <w:p>
            <w:pPr>
              <w:spacing w:after="0"/>
            </w:pPr>
            <w:r/>
            <w:r>
              <w:rPr>
                <w:rFonts w:ascii="Aptos" w:hAnsi="Aptos"/>
                <w:b w:val="0"/>
                <w:sz w:val="15"/>
              </w:rPr>
              <w:t>token usage, endpoint economics, accepted-task quality and AI FinOps</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08 Security</w:t>
            </w:r>
          </w:p>
        </w:tc>
        <w:tc>
          <w:tcPr>
            <w:tcW w:type="dxa" w:w="7488"/>
            <w:vAlign w:val="top"/>
            <w:tcMar>
              <w:top w:w="80" w:type="dxa"/>
              <w:start w:w="80" w:type="dxa"/>
              <w:bottom w:w="80" w:type="dxa"/>
              <w:end w:w="80" w:type="dxa"/>
            </w:tcMar>
            <w:shd w:fill="F8F9FA"/>
          </w:tcPr>
          <w:p>
            <w:pPr>
              <w:spacing w:after="0"/>
            </w:pPr>
            <w:r/>
            <w:r>
              <w:rPr>
                <w:rFonts w:ascii="Aptos" w:hAnsi="Aptos"/>
                <w:b w:val="0"/>
                <w:sz w:val="15"/>
              </w:rPr>
              <w:t>billing-data protection, audit evidence, VPC SC and logging controls</w:t>
            </w:r>
          </w:p>
        </w:tc>
      </w:tr>
      <w:tr>
        <w:tc>
          <w:tcPr>
            <w:tcW w:type="dxa" w:w="2160"/>
            <w:vAlign w:val="top"/>
            <w:tcMar>
              <w:top w:w="80" w:type="dxa"/>
              <w:start w:w="80" w:type="dxa"/>
              <w:bottom w:w="80" w:type="dxa"/>
              <w:end w:w="80" w:type="dxa"/>
            </w:tcMar>
          </w:tcPr>
          <w:p>
            <w:pPr>
              <w:spacing w:after="0"/>
            </w:pPr>
            <w:r/>
            <w:r>
              <w:rPr>
                <w:rFonts w:ascii="Aptos" w:hAnsi="Aptos"/>
                <w:b w:val="0"/>
                <w:sz w:val="15"/>
              </w:rPr>
              <w:t>09 DevSecOps</w:t>
            </w:r>
          </w:p>
        </w:tc>
        <w:tc>
          <w:tcPr>
            <w:tcW w:type="dxa" w:w="7488"/>
            <w:vAlign w:val="top"/>
            <w:tcMar>
              <w:top w:w="80" w:type="dxa"/>
              <w:start w:w="80" w:type="dxa"/>
              <w:bottom w:w="80" w:type="dxa"/>
              <w:end w:w="80" w:type="dxa"/>
            </w:tcMar>
          </w:tcPr>
          <w:p>
            <w:pPr>
              <w:spacing w:after="0"/>
            </w:pPr>
            <w:r/>
            <w:r>
              <w:rPr>
                <w:rFonts w:ascii="Aptos" w:hAnsi="Aptos"/>
                <w:b w:val="0"/>
                <w:sz w:val="15"/>
              </w:rPr>
              <w:t>deployment gates, policy as code and environment promotion; not regenerated here</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11 SRE</w:t>
            </w:r>
          </w:p>
        </w:tc>
        <w:tc>
          <w:tcPr>
            <w:tcW w:type="dxa" w:w="7488"/>
            <w:vAlign w:val="top"/>
            <w:tcMar>
              <w:top w:w="80" w:type="dxa"/>
              <w:start w:w="80" w:type="dxa"/>
              <w:bottom w:w="80" w:type="dxa"/>
              <w:end w:w="80" w:type="dxa"/>
            </w:tcMar>
            <w:shd w:fill="F8F9FA"/>
          </w:tcPr>
          <w:p>
            <w:pPr>
              <w:spacing w:after="0"/>
            </w:pPr>
            <w:r/>
            <w:r>
              <w:rPr>
                <w:rFonts w:ascii="Aptos" w:hAnsi="Aptos"/>
                <w:b w:val="0"/>
                <w:sz w:val="15"/>
              </w:rPr>
              <w:t>SLIs/SLOs, capacity, incident and operational dashboards</w:t>
            </w:r>
          </w:p>
        </w:tc>
      </w:tr>
      <w:tr>
        <w:tc>
          <w:tcPr>
            <w:tcW w:type="dxa" w:w="2160"/>
            <w:vAlign w:val="top"/>
            <w:tcMar>
              <w:top w:w="80" w:type="dxa"/>
              <w:start w:w="80" w:type="dxa"/>
              <w:bottom w:w="80" w:type="dxa"/>
              <w:end w:w="80" w:type="dxa"/>
            </w:tcMar>
          </w:tcPr>
          <w:p>
            <w:pPr>
              <w:spacing w:after="0"/>
            </w:pPr>
            <w:r/>
            <w:r>
              <w:rPr>
                <w:rFonts w:ascii="Aptos" w:hAnsi="Aptos"/>
                <w:b w:val="0"/>
                <w:sz w:val="15"/>
              </w:rPr>
              <w:t>12 DR</w:t>
            </w:r>
          </w:p>
        </w:tc>
        <w:tc>
          <w:tcPr>
            <w:tcW w:type="dxa" w:w="7488"/>
            <w:vAlign w:val="top"/>
            <w:tcMar>
              <w:top w:w="80" w:type="dxa"/>
              <w:start w:w="80" w:type="dxa"/>
              <w:bottom w:w="80" w:type="dxa"/>
              <w:end w:w="80" w:type="dxa"/>
            </w:tcMar>
          </w:tcPr>
          <w:p>
            <w:pPr>
              <w:spacing w:after="0"/>
            </w:pPr>
            <w:r/>
            <w:r>
              <w:rPr>
                <w:rFonts w:ascii="Aptos" w:hAnsi="Aptos"/>
                <w:b w:val="0"/>
                <w:sz w:val="15"/>
              </w:rPr>
              <w:t>standby/replication costs and recovery validation</w:t>
            </w:r>
          </w:p>
        </w:tc>
      </w:tr>
      <w:tr>
        <w:tc>
          <w:tcPr>
            <w:tcW w:type="dxa" w:w="2160"/>
            <w:vAlign w:val="top"/>
            <w:tcMar>
              <w:top w:w="80" w:type="dxa"/>
              <w:start w:w="80" w:type="dxa"/>
              <w:bottom w:w="80" w:type="dxa"/>
              <w:end w:w="80" w:type="dxa"/>
            </w:tcMar>
            <w:shd w:fill="F8F9FA"/>
          </w:tcPr>
          <w:p>
            <w:pPr>
              <w:spacing w:after="0"/>
            </w:pPr>
            <w:r/>
            <w:r>
              <w:rPr>
                <w:rFonts w:ascii="Aptos" w:hAnsi="Aptos"/>
                <w:b w:val="0"/>
                <w:sz w:val="15"/>
              </w:rPr>
              <w:t>13 Terraform</w:t>
            </w:r>
          </w:p>
        </w:tc>
        <w:tc>
          <w:tcPr>
            <w:tcW w:type="dxa" w:w="7488"/>
            <w:vAlign w:val="top"/>
            <w:tcMar>
              <w:top w:w="80" w:type="dxa"/>
              <w:start w:w="80" w:type="dxa"/>
              <w:bottom w:w="80" w:type="dxa"/>
              <w:end w:w="80" w:type="dxa"/>
            </w:tcMar>
            <w:shd w:fill="F8F9FA"/>
          </w:tcPr>
          <w:p>
            <w:pPr>
              <w:spacing w:after="0"/>
            </w:pPr>
            <w:r/>
            <w:r>
              <w:rPr>
                <w:rFonts w:ascii="Aptos" w:hAnsi="Aptos"/>
                <w:b w:val="0"/>
                <w:sz w:val="15"/>
              </w:rPr>
              <w:t>production modules for budgets, reservations, exports and lifecycle</w:t>
            </w:r>
          </w:p>
        </w:tc>
      </w:tr>
    </w:tbl>
    <w:p>
      <w:pPr>
        <w:pStyle w:val="Heading2"/>
      </w:pPr>
      <w:r>
        <w:t>32.2 Prioritized next actions</w:t>
      </w:r>
    </w:p>
    <w:p>
      <w:pPr>
        <w:pStyle w:val="ListBullet"/>
      </w:pPr>
      <w:r>
        <w:t>Approve the FinOps operating model, billing-account boundaries and data classification.</w:t>
      </w:r>
    </w:p>
    <w:p>
      <w:pPr>
        <w:pStyle w:val="ListBullet"/>
      </w:pPr>
      <w:r>
        <w:t>Enable or validate billing exports and deploy the normalized cost data product.</w:t>
      </w:r>
    </w:p>
    <w:p>
      <w:pPr>
        <w:pStyle w:val="ListBullet"/>
      </w:pPr>
      <w:r>
        <w:t>Complete project/product/cost-center ownership mapping and the mandatory allocation taxonomy.</w:t>
      </w:r>
    </w:p>
    <w:p>
      <w:pPr>
        <w:pStyle w:val="ListBullet"/>
      </w:pPr>
      <w:r>
        <w:t>Deploy budgets, Pub/Sub notifications and the anomaly workflow for priority domains.</w:t>
      </w:r>
    </w:p>
    <w:p>
      <w:pPr>
        <w:pStyle w:val="ListBullet"/>
      </w:pPr>
      <w:r>
        <w:t>Run BigQuery workload tests and build on-demand versus reservation/commitment scenarios using current rates.</w:t>
      </w:r>
    </w:p>
    <w:p>
      <w:pPr>
        <w:pStyle w:val="ListBullet"/>
      </w:pPr>
      <w:r>
        <w:t>Publish the first domain showback statements and establish the dispute process.</w:t>
      </w:r>
    </w:p>
    <w:p>
      <w:pPr>
        <w:pStyle w:val="ListBullet"/>
      </w:pPr>
      <w:r>
        <w:t>Baseline unit economics for one batch data product, one streaming product, one analytics product and one AI product.</w:t>
      </w:r>
    </w:p>
    <w:p>
      <w:pPr>
        <w:pStyle w:val="ListBullet"/>
      </w:pPr>
      <w:r>
        <w:t>Create the first quarterly optimization backlog with SLO/security constraints and accountable owners.</w:t>
      </w:r>
    </w:p>
    <w:p>
      <w:pPr>
        <w:pStyle w:val="Heading2"/>
      </w:pPr>
      <w:r>
        <w:t>32.3 Decisions requiring executive approval</w:t>
      </w:r>
    </w:p>
    <w:p>
      <w:pPr>
        <w:pStyle w:val="ListBullet"/>
      </w:pPr>
      <w:r>
        <w:t>showback-to-chargeback policy and timing</w:t>
      </w:r>
    </w:p>
    <w:p>
      <w:pPr>
        <w:pStyle w:val="ListBullet"/>
      </w:pPr>
      <w:r>
        <w:t>enterprise commitment risk appetite and approval authority</w:t>
      </w:r>
    </w:p>
    <w:p>
      <w:pPr>
        <w:pStyle w:val="ListBullet"/>
      </w:pPr>
      <w:r>
        <w:t>allocation of shared platform costs</w:t>
      </w:r>
    </w:p>
    <w:p>
      <w:pPr>
        <w:pStyle w:val="ListBullet"/>
      </w:pPr>
      <w:r>
        <w:t>target allocation coverage and dispute tolerance</w:t>
      </w:r>
    </w:p>
    <w:p>
      <w:pPr>
        <w:pStyle w:val="ListBullet"/>
      </w:pPr>
      <w:r>
        <w:t>investment in central FinOps engineering and analytics</w:t>
      </w:r>
    </w:p>
    <w:p>
      <w:pPr>
        <w:pStyle w:val="ListBullet"/>
      </w:pPr>
      <w:r>
        <w:t>treatment of cost savings versus cost avoidance in executive reporting</w:t>
      </w:r>
    </w:p>
    <w:p>
      <w:pPr>
        <w:pStyle w:val="Heading1"/>
      </w:pPr>
      <w:r>
        <w:t>33. References and Companion Assets</w:t>
      </w:r>
    </w:p>
    <w:p>
      <w:r>
        <w:t>Official Google Cloud references validated during preparation. Product status, quotas, regional support and commercial terms must be checked again at implementation time: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top"/>
            <w:tcMar>
              <w:top w:w="80" w:type="dxa"/>
              <w:start w:w="80" w:type="dxa"/>
              <w:bottom w:w="80" w:type="dxa"/>
              <w:end w:w="80" w:type="dxa"/>
            </w:tcMar>
            <w:shd w:fill="1A73E8"/>
          </w:tcPr>
          <w:p>
            <w:pPr>
              <w:spacing w:after="0"/>
            </w:pPr>
            <w:r/>
            <w:r>
              <w:rPr>
                <w:rFonts w:ascii="Aptos" w:hAnsi="Aptos"/>
                <w:b/>
                <w:color w:val="FFFFFF"/>
                <w:sz w:val="14"/>
              </w:rPr>
              <w:t>Reference</w:t>
            </w:r>
          </w:p>
        </w:tc>
        <w:tc>
          <w:tcPr>
            <w:tcW w:type="dxa" w:w="6336"/>
            <w:vAlign w:val="top"/>
            <w:tcMar>
              <w:top w:w="80" w:type="dxa"/>
              <w:start w:w="80" w:type="dxa"/>
              <w:bottom w:w="80" w:type="dxa"/>
              <w:end w:w="80" w:type="dxa"/>
            </w:tcMar>
            <w:shd w:fill="1A73E8"/>
          </w:tcPr>
          <w:p>
            <w:pPr>
              <w:spacing w:after="0"/>
            </w:pPr>
            <w:r/>
            <w:r>
              <w:rPr>
                <w:rFonts w:ascii="Aptos" w:hAnsi="Aptos"/>
                <w:b/>
                <w:color w:val="FFFFFF"/>
                <w:sz w:val="14"/>
              </w:rPr>
              <w:t>URL</w:t>
            </w:r>
          </w:p>
        </w:tc>
      </w:tr>
      <w:tr>
        <w:tc>
          <w:tcPr>
            <w:tcW w:type="dxa" w:w="3456"/>
            <w:vAlign w:val="top"/>
            <w:tcMar>
              <w:top w:w="80" w:type="dxa"/>
              <w:start w:w="80" w:type="dxa"/>
              <w:bottom w:w="80" w:type="dxa"/>
              <w:end w:w="80" w:type="dxa"/>
            </w:tcMar>
          </w:tcPr>
          <w:p>
            <w:pPr>
              <w:spacing w:after="0"/>
            </w:pPr>
            <w:r/>
            <w:r>
              <w:rPr>
                <w:rFonts w:ascii="Aptos" w:hAnsi="Aptos"/>
                <w:b w:val="0"/>
                <w:sz w:val="14"/>
              </w:rPr>
              <w:t>Cloud Billing costs and usage management</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https://docs.cloud.google.com/docs/costs-usage</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Cloud Billing export to BigQuery</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https://docs.cloud.google.com/billing/docs/how-to/export-data-bigquery</w:t>
            </w:r>
          </w:p>
        </w:tc>
      </w:tr>
      <w:tr>
        <w:tc>
          <w:tcPr>
            <w:tcW w:type="dxa" w:w="3456"/>
            <w:vAlign w:val="top"/>
            <w:tcMar>
              <w:top w:w="80" w:type="dxa"/>
              <w:start w:w="80" w:type="dxa"/>
              <w:bottom w:w="80" w:type="dxa"/>
              <w:end w:w="80" w:type="dxa"/>
            </w:tcMar>
          </w:tcPr>
          <w:p>
            <w:pPr>
              <w:spacing w:after="0"/>
            </w:pPr>
            <w:r/>
            <w:r>
              <w:rPr>
                <w:rFonts w:ascii="Aptos" w:hAnsi="Aptos"/>
                <w:b w:val="0"/>
                <w:sz w:val="14"/>
              </w:rPr>
              <w:t>FOCUS Cloud Billing export</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https://docs.cloud.google.com/billing/docs/how-to/export-data-bigquery-focus-setup</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Cloud Billing budgets</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https://docs.cloud.google.com/billing/docs/how-to/budgets</w:t>
            </w:r>
          </w:p>
        </w:tc>
      </w:tr>
      <w:tr>
        <w:tc>
          <w:tcPr>
            <w:tcW w:type="dxa" w:w="3456"/>
            <w:vAlign w:val="top"/>
            <w:tcMar>
              <w:top w:w="80" w:type="dxa"/>
              <w:start w:w="80" w:type="dxa"/>
              <w:bottom w:w="80" w:type="dxa"/>
              <w:end w:w="80" w:type="dxa"/>
            </w:tcMar>
          </w:tcPr>
          <w:p>
            <w:pPr>
              <w:spacing w:after="0"/>
            </w:pPr>
            <w:r/>
            <w:r>
              <w:rPr>
                <w:rFonts w:ascii="Aptos" w:hAnsi="Aptos"/>
                <w:b w:val="0"/>
                <w:sz w:val="14"/>
              </w:rPr>
              <w:t>Programmatic budget notifications</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https://docs.cloud.google.com/billing/docs/how-to/budgets-programmatic-notifications</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Cost anomaly detection</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https://docs.cloud.google.com/billing/docs/how-to/manage-anomalies</w:t>
            </w:r>
          </w:p>
        </w:tc>
      </w:tr>
      <w:tr>
        <w:tc>
          <w:tcPr>
            <w:tcW w:type="dxa" w:w="3456"/>
            <w:vAlign w:val="top"/>
            <w:tcMar>
              <w:top w:w="80" w:type="dxa"/>
              <w:start w:w="80" w:type="dxa"/>
              <w:bottom w:w="80" w:type="dxa"/>
              <w:end w:w="80" w:type="dxa"/>
            </w:tcMar>
          </w:tcPr>
          <w:p>
            <w:pPr>
              <w:spacing w:after="0"/>
            </w:pPr>
            <w:r/>
            <w:r>
              <w:rPr>
                <w:rFonts w:ascii="Aptos" w:hAnsi="Aptos"/>
                <w:b w:val="0"/>
                <w:sz w:val="14"/>
              </w:rPr>
              <w:t>FinOps hub</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https://docs.cloud.google.com/billing/docs/how-to/finops-hub</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BigQuery editions</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https://docs.cloud.google.com/bigquery/docs/editions-intro</w:t>
            </w:r>
          </w:p>
        </w:tc>
      </w:tr>
      <w:tr>
        <w:tc>
          <w:tcPr>
            <w:tcW w:type="dxa" w:w="3456"/>
            <w:vAlign w:val="top"/>
            <w:tcMar>
              <w:top w:w="80" w:type="dxa"/>
              <w:start w:w="80" w:type="dxa"/>
              <w:bottom w:w="80" w:type="dxa"/>
              <w:end w:w="80" w:type="dxa"/>
            </w:tcMar>
          </w:tcPr>
          <w:p>
            <w:pPr>
              <w:spacing w:after="0"/>
            </w:pPr>
            <w:r/>
            <w:r>
              <w:rPr>
                <w:rFonts w:ascii="Aptos" w:hAnsi="Aptos"/>
                <w:b w:val="0"/>
                <w:sz w:val="14"/>
              </w:rPr>
              <w:t>BigQuery reservations and workload management</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https://docs.cloud.google.com/bigquery/docs/reservations-workload-management</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BigQuery slots</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https://docs.cloud.google.com/bigquery/docs/slots</w:t>
            </w:r>
          </w:p>
        </w:tc>
      </w:tr>
      <w:tr>
        <w:tc>
          <w:tcPr>
            <w:tcW w:type="dxa" w:w="3456"/>
            <w:vAlign w:val="top"/>
            <w:tcMar>
              <w:top w:w="80" w:type="dxa"/>
              <w:start w:w="80" w:type="dxa"/>
              <w:bottom w:w="80" w:type="dxa"/>
              <w:end w:w="80" w:type="dxa"/>
            </w:tcMar>
          </w:tcPr>
          <w:p>
            <w:pPr>
              <w:spacing w:after="0"/>
            </w:pPr>
            <w:r/>
            <w:r>
              <w:rPr>
                <w:rFonts w:ascii="Aptos" w:hAnsi="Aptos"/>
                <w:b w:val="0"/>
                <w:sz w:val="14"/>
              </w:rPr>
              <w:t>BigQuery slot recommender</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https://docs.cloud.google.com/bigquery/docs/slot-recommender</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Cloud Storage Autoclass</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https://docs.cloud.google.com/storage/docs/autoclass</w:t>
            </w:r>
          </w:p>
        </w:tc>
      </w:tr>
      <w:tr>
        <w:tc>
          <w:tcPr>
            <w:tcW w:type="dxa" w:w="3456"/>
            <w:vAlign w:val="top"/>
            <w:tcMar>
              <w:top w:w="80" w:type="dxa"/>
              <w:start w:w="80" w:type="dxa"/>
              <w:bottom w:w="80" w:type="dxa"/>
              <w:end w:w="80" w:type="dxa"/>
            </w:tcMar>
          </w:tcPr>
          <w:p>
            <w:pPr>
              <w:spacing w:after="0"/>
            </w:pPr>
            <w:r/>
            <w:r>
              <w:rPr>
                <w:rFonts w:ascii="Aptos" w:hAnsi="Aptos"/>
                <w:b w:val="0"/>
                <w:sz w:val="14"/>
              </w:rPr>
              <w:t>Cloud Storage lifecycle</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https://docs.cloud.google.com/storage/docs/lifecycle</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Dataflow cost optimization</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https://docs.cloud.google.com/dataflow/docs/optimize-costs</w:t>
            </w:r>
          </w:p>
        </w:tc>
      </w:tr>
      <w:tr>
        <w:tc>
          <w:tcPr>
            <w:tcW w:type="dxa" w:w="3456"/>
            <w:vAlign w:val="top"/>
            <w:tcMar>
              <w:top w:w="80" w:type="dxa"/>
              <w:start w:w="80" w:type="dxa"/>
              <w:bottom w:w="80" w:type="dxa"/>
              <w:end w:w="80" w:type="dxa"/>
            </w:tcMar>
          </w:tcPr>
          <w:p>
            <w:pPr>
              <w:spacing w:after="0"/>
            </w:pPr>
            <w:r/>
            <w:r>
              <w:rPr>
                <w:rFonts w:ascii="Aptos" w:hAnsi="Aptos"/>
                <w:b w:val="0"/>
                <w:sz w:val="14"/>
              </w:rPr>
              <w:t>Dataflow right fitting</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https://docs.cloud.google.com/dataflow/docs/guides/right-fitting</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Cloud Logging routing</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https://docs.cloud.google.com/logging/docs/routing/overview</w:t>
            </w:r>
          </w:p>
        </w:tc>
      </w:tr>
      <w:tr>
        <w:tc>
          <w:tcPr>
            <w:tcW w:type="dxa" w:w="3456"/>
            <w:vAlign w:val="top"/>
            <w:tcMar>
              <w:top w:w="80" w:type="dxa"/>
              <w:start w:w="80" w:type="dxa"/>
              <w:bottom w:w="80" w:type="dxa"/>
              <w:end w:w="80" w:type="dxa"/>
            </w:tcMar>
          </w:tcPr>
          <w:p>
            <w:pPr>
              <w:spacing w:after="0"/>
            </w:pPr>
            <w:r/>
            <w:r>
              <w:rPr>
                <w:rFonts w:ascii="Aptos" w:hAnsi="Aptos"/>
                <w:b w:val="0"/>
                <w:sz w:val="14"/>
              </w:rPr>
              <w:t>Cloud Logging buckets and retention</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https://docs.cloud.google.com/logging/docs/buckets</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Vertex AI token counting</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https://docs.cloud.google.com/vertex-ai/generative-ai/docs/samples/generativeaionvertexai-gemini-token-count</w:t>
            </w:r>
          </w:p>
        </w:tc>
      </w:tr>
      <w:tr>
        <w:tc>
          <w:tcPr>
            <w:tcW w:type="dxa" w:w="3456"/>
            <w:vAlign w:val="top"/>
            <w:tcMar>
              <w:top w:w="80" w:type="dxa"/>
              <w:start w:w="80" w:type="dxa"/>
              <w:bottom w:w="80" w:type="dxa"/>
              <w:end w:w="80" w:type="dxa"/>
            </w:tcMar>
          </w:tcPr>
          <w:p>
            <w:pPr>
              <w:spacing w:after="0"/>
            </w:pPr>
            <w:r/>
            <w:r>
              <w:rPr>
                <w:rFonts w:ascii="Aptos" w:hAnsi="Aptos"/>
                <w:b w:val="0"/>
                <w:sz w:val="14"/>
              </w:rPr>
              <w:t>Vertex AI context caching sample</w:t>
            </w:r>
          </w:p>
        </w:tc>
        <w:tc>
          <w:tcPr>
            <w:tcW w:type="dxa" w:w="6336"/>
            <w:vAlign w:val="top"/>
            <w:tcMar>
              <w:top w:w="80" w:type="dxa"/>
              <w:start w:w="80" w:type="dxa"/>
              <w:bottom w:w="80" w:type="dxa"/>
              <w:end w:w="80" w:type="dxa"/>
            </w:tcMar>
          </w:tcPr>
          <w:p>
            <w:pPr>
              <w:spacing w:after="0"/>
            </w:pPr>
            <w:r/>
            <w:r>
              <w:rPr>
                <w:rFonts w:ascii="Aptos" w:hAnsi="Aptos"/>
                <w:b w:val="0"/>
                <w:sz w:val="14"/>
              </w:rPr>
              <w:t>https://docs.cloud.google.com/vertex-ai/generative-ai/docs/samples/generativeaionvertexai-gemini-create-context-cache</w:t>
            </w:r>
          </w:p>
        </w:tc>
      </w:tr>
      <w:tr>
        <w:tc>
          <w:tcPr>
            <w:tcW w:type="dxa" w:w="3456"/>
            <w:vAlign w:val="top"/>
            <w:tcMar>
              <w:top w:w="80" w:type="dxa"/>
              <w:start w:w="80" w:type="dxa"/>
              <w:bottom w:w="80" w:type="dxa"/>
              <w:end w:w="80" w:type="dxa"/>
            </w:tcMar>
            <w:shd w:fill="F8F9FA"/>
          </w:tcPr>
          <w:p>
            <w:pPr>
              <w:spacing w:after="0"/>
            </w:pPr>
            <w:r/>
            <w:r>
              <w:rPr>
                <w:rFonts w:ascii="Aptos" w:hAnsi="Aptos"/>
                <w:b w:val="0"/>
                <w:sz w:val="14"/>
              </w:rPr>
              <w:t>AI/ML cost optimization perspective</w:t>
            </w:r>
          </w:p>
        </w:tc>
        <w:tc>
          <w:tcPr>
            <w:tcW w:type="dxa" w:w="6336"/>
            <w:vAlign w:val="top"/>
            <w:tcMar>
              <w:top w:w="80" w:type="dxa"/>
              <w:start w:w="80" w:type="dxa"/>
              <w:bottom w:w="80" w:type="dxa"/>
              <w:end w:w="80" w:type="dxa"/>
            </w:tcMar>
            <w:shd w:fill="F8F9FA"/>
          </w:tcPr>
          <w:p>
            <w:pPr>
              <w:spacing w:after="0"/>
            </w:pPr>
            <w:r/>
            <w:r>
              <w:rPr>
                <w:rFonts w:ascii="Aptos" w:hAnsi="Aptos"/>
                <w:b w:val="0"/>
                <w:sz w:val="14"/>
              </w:rPr>
              <w:t>https://docs.cloud.google.com/architecture/framework/perspectives/ai-ml/cost-optimization</w:t>
            </w:r>
          </w:p>
        </w:tc>
      </w:tr>
    </w:tbl>
    <w:p>
      <w:pPr>
        <w:pStyle w:val="Heading2"/>
      </w:pPr>
      <w:r>
        <w:t>33.1 Companion package contents</w:t>
      </w:r>
    </w:p>
    <w:p>
      <w:pPr>
        <w:pStyle w:val="ListBullet"/>
      </w:pPr>
      <w:r>
        <w:t>Six diagrams in PNG, SVG, Mermaid, PlantUML, Graphviz DOT and draw.io formats.</w:t>
      </w:r>
    </w:p>
    <w:p>
      <w:pPr>
        <w:pStyle w:val="ListBullet"/>
      </w:pPr>
      <w:r>
        <w:t>Ten complete ADRs in Markdown.</w:t>
      </w:r>
    </w:p>
    <w:p>
      <w:pPr>
        <w:pStyle w:val="ListBullet"/>
      </w:pPr>
      <w:r>
        <w:t>Billing normalization, allocation, KPI and AI-token SQL examples.</w:t>
      </w:r>
    </w:p>
    <w:p>
      <w:pPr>
        <w:pStyle w:val="ListBullet"/>
      </w:pPr>
      <w:r>
        <w:t>Terraform examples for budgets, BigQuery reservations, Cloud Storage lifecycle and logging exclusions.</w:t>
      </w:r>
    </w:p>
    <w:p>
      <w:pPr>
        <w:pStyle w:val="ListBullet"/>
      </w:pPr>
      <w:r>
        <w:t>Python anomaly-notification handler and YAML review playbook.</w:t>
      </w:r>
    </w:p>
    <w:p>
      <w:pPr>
        <w:pStyle w:val="ListBullet"/>
      </w:pPr>
      <w:r>
        <w:t>CSV matrices for RACI, labels/tags, allocation, BigQuery workloads, service cost drivers, KPIs, risks and monthly variable-based cost modeling.</w:t>
      </w:r>
    </w:p>
    <w:p>
      <w:pPr>
        <w:pStyle w:val="ListBullet"/>
      </w:pPr>
      <w:r>
        <w:t>Manifest and SHA-256 checksum inventory.</w:t>
      </w:r>
    </w:p>
    <w:p>
      <w:r>
        <w:t>End of Volume 10. This document is an implementation reference and requires enterprise-specific approval, current product validation, contract inputs and workload testing before production use.</w:t>
      </w:r>
    </w:p>
    <w:sectPr w:rsidR="00FC693F" w:rsidRPr="0006063C" w:rsidSect="00034616">
      <w:headerReference w:type="default" r:id="rId9"/>
      <w:footerReference w:type="default" r:id="rId10"/>
      <w:pgSz w:w="12240" w:h="15840"/>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5"/>
      </w:rPr>
      <w:t xml:space="preserve">Confidential - Reference Architecture | Volume 10 FinOps and Cost Governance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368"/>
        <w:sz w:val="15"/>
      </w:rPr>
      <w:t>Enterprise Google Cloud Data Platform Blueprint | Volume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4EA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967D2"/>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85AB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A73E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368"/>
      <w:sz w:val="15"/>
    </w:rPr>
  </w:style>
  <w:style w:type="paragraph" w:customStyle="1" w:styleId="CodeBlock">
    <w:name w:val="Code Block"/>
    <w:pPr>
      <w:spacing w:after="40"/>
      <w:ind w:left="259" w:right="173"/>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