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4EA6"/>
          <w:sz w:val="32"/>
        </w:rPr>
        <w:t>Enterprise Google Cloud Data Platform Blueprint</w:t>
      </w:r>
    </w:p>
    <w:p>
      <w:pPr>
        <w:jc w:val="center"/>
      </w:pPr>
      <w:r>
        <w:rPr>
          <w:b/>
          <w:color w:val="5F6368"/>
          <w:sz w:val="40"/>
        </w:rPr>
        <w:t>VOLUME 14</w:t>
      </w:r>
    </w:p>
    <w:p>
      <w:pPr>
        <w:jc w:val="center"/>
      </w:pPr>
      <w:r>
        <w:rPr>
          <w:b/>
          <w:color w:val="17365D"/>
          <w:sz w:val="56"/>
        </w:rPr>
        <w:t>Industry Reference Implementations</w:t>
      </w:r>
    </w:p>
    <w:p>
      <w:pPr>
        <w:jc w:val="center"/>
      </w:pPr>
      <w:r>
        <w:rPr>
          <w:sz w:val="26"/>
        </w:rPr>
        <w:t>Healthcare | Banking and Financial Services | Retail | Telecommunications</w:t>
      </w:r>
    </w:p>
    <w:p>
      <w:pPr>
        <w:jc w:val="center"/>
      </w:pPr>
      <w:r>
        <w:rPr>
          <w:sz w:val="20"/>
        </w:rPr>
        <w:t>Enterprise Reference Architecture and Implementation Blueprint</w:t>
        <w:br/>
        <w:t>Architecture Baseline 1.0 | 12 July 2026</w:t>
      </w:r>
    </w:p>
    <w:p>
      <w:pPr>
        <w:jc w:val="center"/>
      </w:pPr>
      <w:r>
        <w:drawing>
          <wp:inline xmlns:a="http://schemas.openxmlformats.org/drawingml/2006/main" xmlns:pic="http://schemas.openxmlformats.org/drawingml/2006/picture">
            <wp:extent cx="6156000" cy="1314050"/>
            <wp:docPr id="1" name="Picture 1" descr="Image: image1.png"/>
            <wp:cNvGraphicFramePr>
              <a:graphicFrameLocks noChangeAspect="1"/>
            </wp:cNvGraphicFramePr>
            <a:graphic>
              <a:graphicData uri="http://schemas.openxmlformats.org/drawingml/2006/picture">
                <pic:pic>
                  <pic:nvPicPr>
                    <pic:cNvPr id="0" name="00_cross_industry_platform.png"/>
                    <pic:cNvPicPr/>
                  </pic:nvPicPr>
                  <pic:blipFill>
                    <a:blip r:embed="rId11"/>
                    <a:stretch>
                      <a:fillRect/>
                    </a:stretch>
                  </pic:blipFill>
                  <pic:spPr>
                    <a:xfrm>
                      <a:off x="0" y="0"/>
                      <a:ext cx="6156000" cy="1314050"/>
                    </a:xfrm>
                    <a:prstGeom prst="rect"/>
                  </pic:spPr>
                </pic:pic>
              </a:graphicData>
            </a:graphic>
          </wp:inline>
        </w:drawing>
      </w:r>
    </w:p>
    <w:p>
      <w:pPr>
        <w:jc w:val="center"/>
      </w:pPr>
      <w:r>
        <w:rPr>
          <w:b/>
          <w:sz w:val="16"/>
        </w:rPr>
        <w:t>Figure 0-1. Shared data-to-AI platform baseline adapted by four regulated industries.</w:t>
      </w:r>
    </w:p>
    <w:tbl>
      <w:tblPr>
        <w:tblStyle w:val="TableGrid"/>
        <w:tblW w:type="auto" w:w="0"/>
        <w:tblLook w:firstColumn="1" w:firstRow="1" w:lastColumn="0" w:lastRow="0" w:noHBand="0" w:noVBand="1" w:val="04A0"/>
      </w:tblPr>
      <w:tblGrid>
        <w:gridCol w:w="10148"/>
      </w:tblGrid>
      <w:tr>
        <w:tc>
          <w:tcPr>
            <w:tcW w:type="dxa" w:w="10148"/>
            <w:shd w:fill="E6F4EA"/>
          </w:tcPr>
          <w:p>
            <w:r>
              <w:rPr>
                <w:b/>
                <w:color w:val="17365D"/>
              </w:rPr>
              <w:t xml:space="preserve">Feasibility result - </w:t>
            </w:r>
            <w:r>
              <w:t>The volume is structured as four self-contained industry chapters on one inherited platform baseline. This allows complete generation and validation in one package without relying on a future continuation.</w:t>
            </w:r>
          </w:p>
        </w:tc>
        <w:trPr>
          <w:tblHeader/>
        </w:trPr>
      </w:tr>
    </w:tbl>
    <w:p>
      <w:pPr>
        <w:spacing w:after="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268"/>
            <w:shd w:fill="174EA6"/>
          </w:tcPr>
          <w:p>
            <w:pPr>
              <w:spacing w:after="0"/>
            </w:pPr>
            <w:r>
              <w:rPr>
                <w:b/>
                <w:color w:val="FFFFFF"/>
                <w:sz w:val="15"/>
              </w:rPr>
              <w:t>Field</w:t>
            </w:r>
          </w:p>
        </w:tc>
        <w:tc>
          <w:tcPr>
            <w:tcW w:type="dxa" w:w="7370"/>
            <w:shd w:fill="174EA6"/>
          </w:tcPr>
          <w:p>
            <w:pPr>
              <w:spacing w:after="0"/>
            </w:pPr>
            <w:r>
              <w:rPr>
                <w:b/>
                <w:color w:val="FFFFFF"/>
                <w:sz w:val="15"/>
              </w:rPr>
              <w:t>Value</w:t>
            </w:r>
          </w:p>
        </w:tc>
      </w:tr>
      <w:tr>
        <w:tc>
          <w:tcPr>
            <w:tcW w:type="dxa" w:w="2268"/>
            <w:vAlign w:val="top"/>
          </w:tcPr>
          <w:p>
            <w:pPr>
              <w:spacing w:after="0"/>
            </w:pPr>
            <w:r>
              <w:rPr>
                <w:sz w:val="15"/>
              </w:rPr>
              <w:t>Document</w:t>
            </w:r>
          </w:p>
        </w:tc>
        <w:tc>
          <w:tcPr>
            <w:tcW w:type="dxa" w:w="7370"/>
            <w:vAlign w:val="top"/>
          </w:tcPr>
          <w:p>
            <w:pPr>
              <w:spacing w:after="0"/>
            </w:pPr>
            <w:r>
              <w:rPr>
                <w:sz w:val="15"/>
              </w:rPr>
              <w:t>Volume 14 - Industry Reference Implementations</w:t>
            </w:r>
          </w:p>
        </w:tc>
      </w:tr>
      <w:tr>
        <w:tc>
          <w:tcPr>
            <w:tcW w:type="dxa" w:w="2268"/>
            <w:shd w:fill="F7F8F9"/>
            <w:vAlign w:val="top"/>
          </w:tcPr>
          <w:p>
            <w:pPr>
              <w:spacing w:after="0"/>
            </w:pPr>
            <w:r>
              <w:rPr>
                <w:sz w:val="15"/>
              </w:rPr>
              <w:t>Series</w:t>
            </w:r>
          </w:p>
        </w:tc>
        <w:tc>
          <w:tcPr>
            <w:tcW w:type="dxa" w:w="7370"/>
            <w:shd w:fill="F7F8F9"/>
            <w:vAlign w:val="top"/>
          </w:tcPr>
          <w:p>
            <w:pPr>
              <w:spacing w:after="0"/>
            </w:pPr>
            <w:r>
              <w:rPr>
                <w:sz w:val="15"/>
              </w:rPr>
              <w:t>Enterprise Google Cloud Data Platform Blueprint</w:t>
            </w:r>
          </w:p>
        </w:tc>
      </w:tr>
      <w:tr>
        <w:tc>
          <w:tcPr>
            <w:tcW w:type="dxa" w:w="2268"/>
            <w:vAlign w:val="top"/>
          </w:tcPr>
          <w:p>
            <w:pPr>
              <w:spacing w:after="0"/>
            </w:pPr>
            <w:r>
              <w:rPr>
                <w:sz w:val="15"/>
              </w:rPr>
              <w:t>Version</w:t>
            </w:r>
          </w:p>
        </w:tc>
        <w:tc>
          <w:tcPr>
            <w:tcW w:type="dxa" w:w="7370"/>
            <w:vAlign w:val="top"/>
          </w:tcPr>
          <w:p>
            <w:pPr>
              <w:spacing w:after="0"/>
            </w:pPr>
            <w:r>
              <w:rPr>
                <w:sz w:val="15"/>
              </w:rPr>
              <w:t>1.0</w:t>
            </w:r>
          </w:p>
        </w:tc>
      </w:tr>
      <w:tr>
        <w:tc>
          <w:tcPr>
            <w:tcW w:type="dxa" w:w="2268"/>
            <w:shd w:fill="F7F8F9"/>
            <w:vAlign w:val="top"/>
          </w:tcPr>
          <w:p>
            <w:pPr>
              <w:spacing w:after="0"/>
            </w:pPr>
            <w:r>
              <w:rPr>
                <w:sz w:val="15"/>
              </w:rPr>
              <w:t>Status</w:t>
            </w:r>
          </w:p>
        </w:tc>
        <w:tc>
          <w:tcPr>
            <w:tcW w:type="dxa" w:w="7370"/>
            <w:shd w:fill="F7F8F9"/>
            <w:vAlign w:val="top"/>
          </w:tcPr>
          <w:p>
            <w:pPr>
              <w:spacing w:after="0"/>
            </w:pPr>
            <w:r>
              <w:rPr>
                <w:sz w:val="15"/>
              </w:rPr>
              <w:t>Detailed reference architecture for adaptation and implementation</w:t>
            </w:r>
          </w:p>
        </w:tc>
      </w:tr>
      <w:tr>
        <w:tc>
          <w:tcPr>
            <w:tcW w:type="dxa" w:w="2268"/>
            <w:vAlign w:val="top"/>
          </w:tcPr>
          <w:p>
            <w:pPr>
              <w:spacing w:after="0"/>
            </w:pPr>
            <w:r>
              <w:rPr>
                <w:sz w:val="15"/>
              </w:rPr>
              <w:t>Date</w:t>
            </w:r>
          </w:p>
        </w:tc>
        <w:tc>
          <w:tcPr>
            <w:tcW w:type="dxa" w:w="7370"/>
            <w:vAlign w:val="top"/>
          </w:tcPr>
          <w:p>
            <w:pPr>
              <w:spacing w:after="0"/>
            </w:pPr>
            <w:r>
              <w:rPr>
                <w:sz w:val="15"/>
              </w:rPr>
              <w:t>12 July 2026</w:t>
            </w:r>
          </w:p>
        </w:tc>
      </w:tr>
      <w:tr>
        <w:tc>
          <w:tcPr>
            <w:tcW w:type="dxa" w:w="2268"/>
            <w:shd w:fill="F7F8F9"/>
            <w:vAlign w:val="top"/>
          </w:tcPr>
          <w:p>
            <w:pPr>
              <w:spacing w:after="0"/>
            </w:pPr>
            <w:r>
              <w:rPr>
                <w:sz w:val="15"/>
              </w:rPr>
              <w:t>Owner</w:t>
            </w:r>
          </w:p>
        </w:tc>
        <w:tc>
          <w:tcPr>
            <w:tcW w:type="dxa" w:w="7370"/>
            <w:shd w:fill="F7F8F9"/>
            <w:vAlign w:val="top"/>
          </w:tcPr>
          <w:p>
            <w:pPr>
              <w:spacing w:after="0"/>
            </w:pPr>
            <w:r>
              <w:rPr>
                <w:sz w:val="15"/>
              </w:rPr>
              <w:t>Enterprise Industry Solutions Architecture</w:t>
            </w:r>
          </w:p>
        </w:tc>
      </w:tr>
      <w:tr>
        <w:tc>
          <w:tcPr>
            <w:tcW w:type="dxa" w:w="2268"/>
            <w:vAlign w:val="top"/>
          </w:tcPr>
          <w:p>
            <w:pPr>
              <w:spacing w:after="0"/>
            </w:pPr>
            <w:r>
              <w:rPr>
                <w:sz w:val="15"/>
              </w:rPr>
              <w:t>Approvers</w:t>
            </w:r>
          </w:p>
        </w:tc>
        <w:tc>
          <w:tcPr>
            <w:tcW w:type="dxa" w:w="7370"/>
            <w:vAlign w:val="top"/>
          </w:tcPr>
          <w:p>
            <w:pPr>
              <w:spacing w:after="0"/>
            </w:pPr>
            <w:r>
              <w:rPr>
                <w:sz w:val="15"/>
              </w:rPr>
              <w:t>CIO, CDO, CTO, Enterprise Architecture, Industry Business Owners, Security, Privacy, Risk, Legal, Data Governance, AI Governance, SRE, DR and FinOps</w:t>
            </w:r>
          </w:p>
        </w:tc>
      </w:tr>
      <w:tr>
        <w:tc>
          <w:tcPr>
            <w:tcW w:type="dxa" w:w="2268"/>
            <w:shd w:fill="F7F8F9"/>
            <w:vAlign w:val="top"/>
          </w:tcPr>
          <w:p>
            <w:pPr>
              <w:spacing w:after="0"/>
            </w:pPr>
            <w:r>
              <w:rPr>
                <w:sz w:val="15"/>
              </w:rPr>
              <w:t>Audience</w:t>
            </w:r>
          </w:p>
        </w:tc>
        <w:tc>
          <w:tcPr>
            <w:tcW w:type="dxa" w:w="7370"/>
            <w:shd w:fill="F7F8F9"/>
            <w:vAlign w:val="top"/>
          </w:tcPr>
          <w:p>
            <w:pPr>
              <w:spacing w:after="0"/>
            </w:pPr>
            <w:r>
              <w:rPr>
                <w:sz w:val="15"/>
              </w:rPr>
              <w:t>Executives, industry leaders, architects, platform/domain teams, data and AI engineers, security, risk, compliance, audit and operations</w:t>
            </w:r>
          </w:p>
        </w:tc>
      </w:tr>
      <w:tr>
        <w:tc>
          <w:tcPr>
            <w:tcW w:type="dxa" w:w="2268"/>
            <w:vAlign w:val="top"/>
          </w:tcPr>
          <w:p>
            <w:pPr>
              <w:spacing w:after="0"/>
            </w:pPr>
            <w:r>
              <w:rPr>
                <w:sz w:val="15"/>
              </w:rPr>
              <w:t>Scope</w:t>
            </w:r>
          </w:p>
        </w:tc>
        <w:tc>
          <w:tcPr>
            <w:tcW w:type="dxa" w:w="7370"/>
            <w:vAlign w:val="top"/>
          </w:tcPr>
          <w:p>
            <w:pPr>
              <w:spacing w:after="0"/>
            </w:pPr>
            <w:r>
              <w:rPr>
                <w:sz w:val="15"/>
              </w:rPr>
              <w:t>Complete reference implementations for Healthcare, Banking and Financial Services, Retail and Telecommunications</w:t>
            </w:r>
          </w:p>
        </w:tc>
      </w:tr>
      <w:tr>
        <w:tc>
          <w:tcPr>
            <w:tcW w:type="dxa" w:w="2268"/>
            <w:shd w:fill="F7F8F9"/>
            <w:vAlign w:val="top"/>
          </w:tcPr>
          <w:p>
            <w:pPr>
              <w:spacing w:after="0"/>
            </w:pPr>
            <w:r>
              <w:rPr>
                <w:sz w:val="15"/>
              </w:rPr>
              <w:t>Dependencies</w:t>
            </w:r>
          </w:p>
        </w:tc>
        <w:tc>
          <w:tcPr>
            <w:tcW w:type="dxa" w:w="7370"/>
            <w:shd w:fill="F7F8F9"/>
            <w:vAlign w:val="top"/>
          </w:tcPr>
          <w:p>
            <w:pPr>
              <w:spacing w:after="0"/>
            </w:pPr>
            <w:r>
              <w:rPr>
                <w:sz w:val="15"/>
              </w:rPr>
              <w:t>Volumes 01-08 and 10-12; Volume 09 and Volume 13 remain implementation dependencies where not yet completed</w:t>
            </w:r>
          </w:p>
        </w:tc>
      </w:tr>
      <w:tr>
        <w:tc>
          <w:tcPr>
            <w:tcW w:type="dxa" w:w="2268"/>
            <w:vAlign w:val="top"/>
          </w:tcPr>
          <w:p>
            <w:pPr>
              <w:spacing w:after="0"/>
            </w:pPr>
            <w:r>
              <w:rPr>
                <w:sz w:val="15"/>
              </w:rPr>
              <w:t>Review cycle</w:t>
            </w:r>
          </w:p>
        </w:tc>
        <w:tc>
          <w:tcPr>
            <w:tcW w:type="dxa" w:w="7370"/>
            <w:vAlign w:val="top"/>
          </w:tcPr>
          <w:p>
            <w:pPr>
              <w:spacing w:after="0"/>
            </w:pPr>
            <w:r>
              <w:rPr>
                <w:sz w:val="15"/>
              </w:rPr>
              <w:t>Quarterly and after material law, product, region, risk, industry or commercial change</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Guidance classification - </w:t>
            </w:r>
            <w:r>
              <w:t>Mandatory controls require approved exceptions. Recommended patterns are defaults. Conditional services require workload evidence. Future-state capabilities are not initial-release dependencies.</w:t>
            </w:r>
          </w:p>
        </w:tc>
        <w:trPr>
          <w:tblHeader/>
        </w:trPr>
      </w:tr>
    </w:tbl>
    <w:p>
      <w:pPr>
        <w:spacing w:after="0"/>
      </w:pPr>
    </w:p>
    <w:p>
      <w:r>
        <w:br w:type="page"/>
      </w:r>
    </w:p>
    <w:p>
      <w:pPr>
        <w:pStyle w:val="Heading1"/>
      </w:pPr>
      <w:r>
        <w:t>Table of Contents</w:t>
      </w:r>
    </w:p>
    <w:p>
      <w:r>
        <w:t>1. Executive Summary</w:t>
      </w:r>
    </w:p>
    <w:p>
      <w:r>
        <w:t>2. Inherited Context and Industry Method</w:t>
      </w:r>
    </w:p>
    <w:p>
      <w:r>
        <w:t>3. Cross-industry Architecture and Controls</w:t>
      </w:r>
    </w:p>
    <w:p>
      <w:r>
        <w:t>4. Healthcare Reference Implementation</w:t>
      </w:r>
    </w:p>
    <w:p>
      <w:r>
        <w:t>5. Banking and Financial Services Reference Implementation</w:t>
      </w:r>
    </w:p>
    <w:p>
      <w:r>
        <w:t>6. Retail Reference Implementation</w:t>
      </w:r>
    </w:p>
    <w:p>
      <w:r>
        <w:t>7. Telecommunications Reference Implementation</w:t>
      </w:r>
    </w:p>
    <w:p>
      <w:r>
        <w:t>8. Cross-industry Service Assessments</w:t>
      </w:r>
    </w:p>
    <w:p>
      <w:r>
        <w:t>9. Architecture Decision Records</w:t>
      </w:r>
    </w:p>
    <w:p>
      <w:r>
        <w:t>10. Consolidated Risks and Mitigations</w:t>
      </w:r>
    </w:p>
    <w:p>
      <w:r>
        <w:t>11. Cross-industry Implementation Roadmap</w:t>
      </w:r>
    </w:p>
    <w:p>
      <w:r>
        <w:t>12. Validation and Production Readiness</w:t>
      </w:r>
    </w:p>
    <w:p>
      <w:r>
        <w:t>13. Dependencies, Decisions and Next Actions</w:t>
      </w:r>
    </w:p>
    <w:p>
      <w:r>
        <w:t>14. References and Companion Assets</w:t>
      </w:r>
    </w:p>
    <w:p>
      <w:r>
        <w:br w:type="page"/>
      </w:r>
    </w:p>
    <w:p>
      <w:pPr>
        <w:pStyle w:val="Heading1"/>
      </w:pPr>
      <w:r>
        <w:t>1. Executive Summary</w:t>
      </w:r>
    </w:p>
    <w:p>
      <w:r>
        <w:t>Volume 14 converts the enterprise platform blueprint into four complete industry implementations. Each implementation begins with business capabilities and regulatory obligations, defines industry sources and domain data products, applies the shared landing-zone, pipeline, analytics, AI, security, SRE, DR and FinOps patterns, and concludes with implementation assets, ADRs, risks and readiness controls.</w:t>
      </w:r>
    </w:p>
    <w:tbl>
      <w:tblPr>
        <w:tblStyle w:val="TableGrid"/>
        <w:tblW w:type="auto" w:w="0"/>
        <w:tblLook w:firstColumn="1" w:firstRow="1" w:lastColumn="0" w:lastRow="0" w:noHBand="0" w:noVBand="1" w:val="04A0"/>
      </w:tblPr>
      <w:tblGrid>
        <w:gridCol w:w="10148"/>
      </w:tblGrid>
      <w:tr>
        <w:tc>
          <w:tcPr>
            <w:tcW w:type="dxa" w:w="10148"/>
            <w:shd w:fill="FCE8E6"/>
          </w:tcPr>
          <w:p>
            <w:r>
              <w:rPr>
                <w:b/>
                <w:color w:val="17365D"/>
              </w:rPr>
              <w:t xml:space="preserve">Mandatory architecture rule - </w:t>
            </w:r>
            <w:r>
              <w:t>Industry accelerators do not create separate unmanaged platforms. They consume shared enterprise capabilities through governed regional projects, data products, reusable modules, standard telemetry and accountable operating models.</w:t>
            </w:r>
          </w:p>
        </w:tc>
        <w:trPr>
          <w:tblHeader/>
        </w:trPr>
      </w:tr>
    </w:tbl>
    <w:p>
      <w:pPr>
        <w:spacing w:after="0"/>
      </w:pP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4"/>
              </w:rPr>
              <w:t>Industry</w:t>
            </w:r>
          </w:p>
        </w:tc>
        <w:tc>
          <w:tcPr>
            <w:tcW w:type="dxa" w:w="2537"/>
            <w:shd w:fill="174EA6"/>
          </w:tcPr>
          <w:p>
            <w:pPr>
              <w:spacing w:after="0"/>
            </w:pPr>
            <w:r>
              <w:rPr>
                <w:b/>
                <w:color w:val="FFFFFF"/>
                <w:sz w:val="14"/>
              </w:rPr>
              <w:t>Business outcome focus</w:t>
            </w:r>
          </w:p>
        </w:tc>
        <w:tc>
          <w:tcPr>
            <w:tcW w:type="dxa" w:w="2537"/>
            <w:shd w:fill="174EA6"/>
          </w:tcPr>
          <w:p>
            <w:pPr>
              <w:spacing w:after="0"/>
            </w:pPr>
            <w:r>
              <w:rPr>
                <w:b/>
                <w:color w:val="FFFFFF"/>
                <w:sz w:val="14"/>
              </w:rPr>
              <w:t>Distinctive services/patterns</w:t>
            </w:r>
          </w:p>
        </w:tc>
        <w:tc>
          <w:tcPr>
            <w:tcW w:type="dxa" w:w="2537"/>
            <w:shd w:fill="174EA6"/>
          </w:tcPr>
          <w:p>
            <w:pPr>
              <w:spacing w:after="0"/>
            </w:pPr>
            <w:r>
              <w:rPr>
                <w:b/>
                <w:color w:val="FFFFFF"/>
                <w:sz w:val="14"/>
              </w:rPr>
              <w:t>Highest control emphasis</w:t>
            </w:r>
          </w:p>
        </w:tc>
      </w:tr>
      <w:tr>
        <w:tc>
          <w:tcPr>
            <w:tcW w:type="dxa" w:w="2537"/>
            <w:vAlign w:val="top"/>
          </w:tcPr>
          <w:p>
            <w:pPr>
              <w:spacing w:after="0"/>
            </w:pPr>
            <w:r>
              <w:rPr>
                <w:sz w:val="14"/>
              </w:rPr>
              <w:t>Healthcare</w:t>
            </w:r>
          </w:p>
        </w:tc>
        <w:tc>
          <w:tcPr>
            <w:tcW w:type="dxa" w:w="2537"/>
            <w:vAlign w:val="top"/>
          </w:tcPr>
          <w:p>
            <w:pPr>
              <w:spacing w:after="0"/>
            </w:pPr>
            <w:r>
              <w:rPr>
                <w:sz w:val="14"/>
              </w:rPr>
              <w:t>A multi-country provider and payer ecosystem with hospitals, clinics, laboratories, imaging, pharmacies, care-management partners and research teams</w:t>
            </w:r>
          </w:p>
        </w:tc>
        <w:tc>
          <w:tcPr>
            <w:tcW w:type="dxa" w:w="2537"/>
            <w:vAlign w:val="top"/>
          </w:tcPr>
          <w:p>
            <w:pPr>
              <w:spacing w:after="0"/>
            </w:pPr>
            <w:r>
              <w:rPr>
                <w:sz w:val="14"/>
              </w:rPr>
              <w:t>Cloud Healthcare API and de-identification</w:t>
            </w:r>
          </w:p>
        </w:tc>
        <w:tc>
          <w:tcPr>
            <w:tcW w:type="dxa" w:w="2537"/>
            <w:vAlign w:val="top"/>
          </w:tcPr>
          <w:p>
            <w:pPr>
              <w:spacing w:after="0"/>
            </w:pPr>
            <w:r>
              <w:rPr>
                <w:sz w:val="14"/>
              </w:rPr>
              <w:t>HIPAA-eligible service and BAA validation</w:t>
            </w:r>
          </w:p>
        </w:tc>
      </w:tr>
      <w:tr>
        <w:tc>
          <w:tcPr>
            <w:tcW w:type="dxa" w:w="2537"/>
            <w:shd w:fill="F7F8F9"/>
            <w:vAlign w:val="top"/>
          </w:tcPr>
          <w:p>
            <w:pPr>
              <w:spacing w:after="0"/>
            </w:pPr>
            <w:r>
              <w:rPr>
                <w:sz w:val="14"/>
              </w:rPr>
              <w:t>Banking and Financial Services</w:t>
            </w:r>
          </w:p>
        </w:tc>
        <w:tc>
          <w:tcPr>
            <w:tcW w:type="dxa" w:w="2537"/>
            <w:shd w:fill="F7F8F9"/>
            <w:vAlign w:val="top"/>
          </w:tcPr>
          <w:p>
            <w:pPr>
              <w:spacing w:after="0"/>
            </w:pPr>
            <w:r>
              <w:rPr>
                <w:sz w:val="14"/>
              </w:rPr>
              <w:t>A global retail and commercial bank with core banking, payments, cards, lending, treasury, digital channels and financial-crime operations</w:t>
            </w:r>
          </w:p>
        </w:tc>
        <w:tc>
          <w:tcPr>
            <w:tcW w:type="dxa" w:w="2537"/>
            <w:shd w:fill="F7F8F9"/>
            <w:vAlign w:val="top"/>
          </w:tcPr>
          <w:p>
            <w:pPr>
              <w:spacing w:after="0"/>
            </w:pPr>
            <w:r>
              <w:rPr>
                <w:sz w:val="14"/>
              </w:rPr>
              <w:t>Point-in-time financial products and AML AI</w:t>
            </w:r>
          </w:p>
        </w:tc>
        <w:tc>
          <w:tcPr>
            <w:tcW w:type="dxa" w:w="2537"/>
            <w:shd w:fill="F7F8F9"/>
            <w:vAlign w:val="top"/>
          </w:tcPr>
          <w:p>
            <w:pPr>
              <w:spacing w:after="0"/>
            </w:pPr>
            <w:r>
              <w:rPr>
                <w:sz w:val="14"/>
              </w:rPr>
              <w:t>HSM/CMEK strategy for Restricted and Regulated data</w:t>
            </w:r>
          </w:p>
        </w:tc>
      </w:tr>
      <w:tr>
        <w:tc>
          <w:tcPr>
            <w:tcW w:type="dxa" w:w="2537"/>
            <w:vAlign w:val="top"/>
          </w:tcPr>
          <w:p>
            <w:pPr>
              <w:spacing w:after="0"/>
            </w:pPr>
            <w:r>
              <w:rPr>
                <w:sz w:val="14"/>
              </w:rPr>
              <w:t>Retail</w:t>
            </w:r>
          </w:p>
        </w:tc>
        <w:tc>
          <w:tcPr>
            <w:tcW w:type="dxa" w:w="2537"/>
            <w:vAlign w:val="top"/>
          </w:tcPr>
          <w:p>
            <w:pPr>
              <w:spacing w:after="0"/>
            </w:pPr>
            <w:r>
              <w:rPr>
                <w:sz w:val="14"/>
              </w:rPr>
              <w:t>A global omnichannel retailer operating stores, e-commerce, mobile, marketplaces, loyalty, fulfillment centers and supplier networks</w:t>
            </w:r>
          </w:p>
        </w:tc>
        <w:tc>
          <w:tcPr>
            <w:tcW w:type="dxa" w:w="2537"/>
            <w:vAlign w:val="top"/>
          </w:tcPr>
          <w:p>
            <w:pPr>
              <w:spacing w:after="0"/>
            </w:pPr>
            <w:r>
              <w:rPr>
                <w:sz w:val="14"/>
              </w:rPr>
              <w:t>AI Commerce Search and omnichannel events</w:t>
            </w:r>
          </w:p>
        </w:tc>
        <w:tc>
          <w:tcPr>
            <w:tcW w:type="dxa" w:w="2537"/>
            <w:vAlign w:val="top"/>
          </w:tcPr>
          <w:p>
            <w:pPr>
              <w:spacing w:after="0"/>
            </w:pPr>
            <w:r>
              <w:rPr>
                <w:sz w:val="14"/>
              </w:rPr>
              <w:t>Keep raw cardholder data outside broad analytical zones through tokenization</w:t>
            </w:r>
          </w:p>
        </w:tc>
      </w:tr>
      <w:tr>
        <w:tc>
          <w:tcPr>
            <w:tcW w:type="dxa" w:w="2537"/>
            <w:shd w:fill="F7F8F9"/>
            <w:vAlign w:val="top"/>
          </w:tcPr>
          <w:p>
            <w:pPr>
              <w:spacing w:after="0"/>
            </w:pPr>
            <w:r>
              <w:rPr>
                <w:sz w:val="14"/>
              </w:rPr>
              <w:t>Telecommunications</w:t>
            </w:r>
          </w:p>
        </w:tc>
        <w:tc>
          <w:tcPr>
            <w:tcW w:type="dxa" w:w="2537"/>
            <w:shd w:fill="F7F8F9"/>
            <w:vAlign w:val="top"/>
          </w:tcPr>
          <w:p>
            <w:pPr>
              <w:spacing w:after="0"/>
            </w:pPr>
            <w:r>
              <w:rPr>
                <w:sz w:val="14"/>
              </w:rPr>
              <w:t>A multinational communications service provider with mobile, fixed, broadband, enterprise and wholesale services</w:t>
            </w:r>
          </w:p>
        </w:tc>
        <w:tc>
          <w:tcPr>
            <w:tcW w:type="dxa" w:w="2537"/>
            <w:shd w:fill="F7F8F9"/>
            <w:vAlign w:val="top"/>
          </w:tcPr>
          <w:p>
            <w:pPr>
              <w:spacing w:after="0"/>
            </w:pPr>
            <w:r>
              <w:rPr>
                <w:sz w:val="14"/>
              </w:rPr>
              <w:t>High-volume telemetry, Bigtable and conditional network automation</w:t>
            </w:r>
          </w:p>
        </w:tc>
        <w:tc>
          <w:tcPr>
            <w:tcW w:type="dxa" w:w="2537"/>
            <w:shd w:fill="F7F8F9"/>
            <w:vAlign w:val="top"/>
          </w:tcPr>
          <w:p>
            <w:pPr>
              <w:spacing w:after="0"/>
            </w:pPr>
            <w:r>
              <w:rPr>
                <w:sz w:val="14"/>
              </w:rPr>
              <w:t>CPNI classification and purpose-based access</w:t>
            </w:r>
          </w:p>
        </w:tc>
      </w:tr>
    </w:tbl>
    <w:p>
      <w:pPr>
        <w:spacing w:after="0"/>
      </w:pPr>
    </w:p>
    <w:p>
      <w:pPr>
        <w:jc w:val="center"/>
      </w:pPr>
      <w:r>
        <w:drawing>
          <wp:inline xmlns:a="http://schemas.openxmlformats.org/drawingml/2006/main" xmlns:pic="http://schemas.openxmlformats.org/drawingml/2006/picture">
            <wp:extent cx="6156000" cy="407447"/>
            <wp:docPr id="2" name="Picture 2" descr="Image: image2.png"/>
            <wp:cNvGraphicFramePr>
              <a:graphicFrameLocks noChangeAspect="1"/>
            </wp:cNvGraphicFramePr>
            <a:graphic>
              <a:graphicData uri="http://schemas.openxmlformats.org/drawingml/2006/picture">
                <pic:pic>
                  <pic:nvPicPr>
                    <pic:cNvPr id="0" name="05_industry_delivery_lifecycle.png"/>
                    <pic:cNvPicPr/>
                  </pic:nvPicPr>
                  <pic:blipFill>
                    <a:blip r:embed="rId12"/>
                    <a:stretch>
                      <a:fillRect/>
                    </a:stretch>
                  </pic:blipFill>
                  <pic:spPr>
                    <a:xfrm>
                      <a:off x="0" y="0"/>
                      <a:ext cx="6156000" cy="407447"/>
                    </a:xfrm>
                    <a:prstGeom prst="rect"/>
                  </pic:spPr>
                </pic:pic>
              </a:graphicData>
            </a:graphic>
          </wp:inline>
        </w:drawing>
      </w:r>
    </w:p>
    <w:p>
      <w:pPr>
        <w:jc w:val="center"/>
      </w:pPr>
      <w:r>
        <w:rPr>
          <w:b/>
          <w:sz w:val="16"/>
        </w:rPr>
        <w:t>Figure 1-1. Controlled industry implementation lifecycle from discovery through continuous review.</w:t>
      </w:r>
    </w:p>
    <w:p>
      <w:r>
        <w:br w:type="page"/>
      </w:r>
    </w:p>
    <w:p>
      <w:pPr>
        <w:pStyle w:val="Heading1"/>
      </w:pPr>
      <w:r>
        <w:t>2. Inherited Context and Industry Method</w:t>
      </w:r>
    </w:p>
    <w:p>
      <w:r>
        <w:t>The volume inherits the Fortune 100 assumptions, data scale, AMER/EMEA/APAC regional planes, Public/Internal/Confidential/Restricted/Regulated classifications, dev/test/staging/production separation, serverless-first technology strategy, domain data-product ownership, BigQuery-centered analytical plane, Zero Trust model, FinOps allocation and Tier 0-2 recovery objectives from prior volumes.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Inherited baseline</w:t>
            </w:r>
          </w:p>
        </w:tc>
        <w:tc>
          <w:tcPr>
            <w:tcW w:type="dxa" w:w="5074"/>
            <w:shd w:fill="174EA6"/>
          </w:tcPr>
          <w:p>
            <w:pPr>
              <w:spacing w:after="0"/>
            </w:pPr>
            <w:r>
              <w:rPr>
                <w:b/>
                <w:color w:val="FFFFFF"/>
                <w:sz w:val="14"/>
              </w:rPr>
              <w:t>Industry application</w:t>
            </w:r>
          </w:p>
        </w:tc>
      </w:tr>
      <w:tr>
        <w:tc>
          <w:tcPr>
            <w:tcW w:type="dxa" w:w="5074"/>
            <w:vAlign w:val="top"/>
          </w:tcPr>
          <w:p>
            <w:pPr>
              <w:spacing w:after="0"/>
            </w:pPr>
            <w:r>
              <w:rPr>
                <w:sz w:val="14"/>
              </w:rPr>
              <w:t>Landing zone</w:t>
            </w:r>
          </w:p>
        </w:tc>
        <w:tc>
          <w:tcPr>
            <w:tcW w:type="dxa" w:w="5074"/>
            <w:vAlign w:val="top"/>
          </w:tcPr>
          <w:p>
            <w:pPr>
              <w:spacing w:after="0"/>
            </w:pPr>
            <w:r>
              <w:rPr>
                <w:sz w:val="14"/>
              </w:rPr>
              <w:t>Regional industry/domain projects use Shared VPC, central identity, logging, monitoring, KMS and project factory standards.</w:t>
            </w:r>
          </w:p>
        </w:tc>
      </w:tr>
      <w:tr>
        <w:tc>
          <w:tcPr>
            <w:tcW w:type="dxa" w:w="5074"/>
            <w:shd w:fill="F7F8F9"/>
            <w:vAlign w:val="top"/>
          </w:tcPr>
          <w:p>
            <w:pPr>
              <w:spacing w:after="0"/>
            </w:pPr>
            <w:r>
              <w:rPr>
                <w:sz w:val="14"/>
              </w:rPr>
              <w:t>Data platform</w:t>
            </w:r>
          </w:p>
        </w:tc>
        <w:tc>
          <w:tcPr>
            <w:tcW w:type="dxa" w:w="5074"/>
            <w:shd w:fill="F7F8F9"/>
            <w:vAlign w:val="top"/>
          </w:tcPr>
          <w:p>
            <w:pPr>
              <w:spacing w:after="0"/>
            </w:pPr>
            <w:r>
              <w:rPr>
                <w:sz w:val="14"/>
              </w:rPr>
              <w:t>Cloud Storage landing/raw, BigQuery curated/serving, BigLake conditional open formats, Dataflow/Datastream/Pub/Sub ingestion and Dataform ELT.</w:t>
            </w:r>
          </w:p>
        </w:tc>
      </w:tr>
      <w:tr>
        <w:tc>
          <w:tcPr>
            <w:tcW w:type="dxa" w:w="5074"/>
            <w:vAlign w:val="top"/>
          </w:tcPr>
          <w:p>
            <w:pPr>
              <w:spacing w:after="0"/>
            </w:pPr>
            <w:r>
              <w:rPr>
                <w:sz w:val="14"/>
              </w:rPr>
              <w:t>Data mesh</w:t>
            </w:r>
          </w:p>
        </w:tc>
        <w:tc>
          <w:tcPr>
            <w:tcW w:type="dxa" w:w="5074"/>
            <w:vAlign w:val="top"/>
          </w:tcPr>
          <w:p>
            <w:pPr>
              <w:spacing w:after="0"/>
            </w:pPr>
            <w:r>
              <w:rPr>
                <w:sz w:val="14"/>
              </w:rPr>
              <w:t>Industry domains own products, contracts, quality, SLO and cost; central platform owns common capabilities.</w:t>
            </w:r>
          </w:p>
        </w:tc>
      </w:tr>
      <w:tr>
        <w:tc>
          <w:tcPr>
            <w:tcW w:type="dxa" w:w="5074"/>
            <w:shd w:fill="F7F8F9"/>
            <w:vAlign w:val="top"/>
          </w:tcPr>
          <w:p>
            <w:pPr>
              <w:spacing w:after="0"/>
            </w:pPr>
            <w:r>
              <w:rPr>
                <w:sz w:val="14"/>
              </w:rPr>
              <w:t>Analytics</w:t>
            </w:r>
          </w:p>
        </w:tc>
        <w:tc>
          <w:tcPr>
            <w:tcW w:type="dxa" w:w="5074"/>
            <w:shd w:fill="F7F8F9"/>
            <w:vAlign w:val="top"/>
          </w:tcPr>
          <w:p>
            <w:pPr>
              <w:spacing w:after="0"/>
            </w:pPr>
            <w:r>
              <w:rPr>
                <w:sz w:val="14"/>
              </w:rPr>
              <w:t>Looker and BigQuery semantic products provide governed metrics and reporting.</w:t>
            </w:r>
          </w:p>
        </w:tc>
      </w:tr>
      <w:tr>
        <w:tc>
          <w:tcPr>
            <w:tcW w:type="dxa" w:w="5074"/>
            <w:vAlign w:val="top"/>
          </w:tcPr>
          <w:p>
            <w:pPr>
              <w:spacing w:after="0"/>
            </w:pPr>
            <w:r>
              <w:rPr>
                <w:sz w:val="14"/>
              </w:rPr>
              <w:t>AI</w:t>
            </w:r>
          </w:p>
        </w:tc>
        <w:tc>
          <w:tcPr>
            <w:tcW w:type="dxa" w:w="5074"/>
            <w:vAlign w:val="top"/>
          </w:tcPr>
          <w:p>
            <w:pPr>
              <w:spacing w:after="0"/>
            </w:pPr>
            <w:r>
              <w:rPr>
                <w:sz w:val="14"/>
              </w:rPr>
              <w:t>Gemini Enterprise Agent Platform provides managed ML/GenAI/agents subject to risk-tiered evaluation and human oversight.</w:t>
            </w:r>
          </w:p>
        </w:tc>
      </w:tr>
      <w:tr>
        <w:tc>
          <w:tcPr>
            <w:tcW w:type="dxa" w:w="5074"/>
            <w:shd w:fill="F7F8F9"/>
            <w:vAlign w:val="top"/>
          </w:tcPr>
          <w:p>
            <w:pPr>
              <w:spacing w:after="0"/>
            </w:pPr>
            <w:r>
              <w:rPr>
                <w:sz w:val="14"/>
              </w:rPr>
              <w:t>Security</w:t>
            </w:r>
          </w:p>
        </w:tc>
        <w:tc>
          <w:tcPr>
            <w:tcW w:type="dxa" w:w="5074"/>
            <w:shd w:fill="F7F8F9"/>
            <w:vAlign w:val="top"/>
          </w:tcPr>
          <w:p>
            <w:pPr>
              <w:spacing w:after="0"/>
            </w:pPr>
            <w:r>
              <w:rPr>
                <w:sz w:val="14"/>
              </w:rPr>
              <w:t>IAM, VPC Service Controls, KMS/HSM, Sensitive Data Protection, SCC and audit controls follow data classification and jurisdiction.</w:t>
            </w:r>
          </w:p>
        </w:tc>
      </w:tr>
      <w:tr>
        <w:tc>
          <w:tcPr>
            <w:tcW w:type="dxa" w:w="5074"/>
            <w:vAlign w:val="top"/>
          </w:tcPr>
          <w:p>
            <w:pPr>
              <w:spacing w:after="0"/>
            </w:pPr>
            <w:r>
              <w:rPr>
                <w:sz w:val="14"/>
              </w:rPr>
              <w:t>Operations</w:t>
            </w:r>
          </w:p>
        </w:tc>
        <w:tc>
          <w:tcPr>
            <w:tcW w:type="dxa" w:w="5074"/>
            <w:vAlign w:val="top"/>
          </w:tcPr>
          <w:p>
            <w:pPr>
              <w:spacing w:after="0"/>
            </w:pPr>
            <w:r>
              <w:rPr>
                <w:sz w:val="14"/>
              </w:rPr>
              <w:t>Service ownership, SLIs/SLOs, error budgets, runbooks, incident/PIR, capacity and vendor escalation.</w:t>
            </w:r>
          </w:p>
        </w:tc>
      </w:tr>
      <w:tr>
        <w:tc>
          <w:tcPr>
            <w:tcW w:type="dxa" w:w="5074"/>
            <w:shd w:fill="F7F8F9"/>
            <w:vAlign w:val="top"/>
          </w:tcPr>
          <w:p>
            <w:pPr>
              <w:spacing w:after="0"/>
            </w:pPr>
            <w:r>
              <w:rPr>
                <w:sz w:val="14"/>
              </w:rPr>
              <w:t>DR</w:t>
            </w:r>
          </w:p>
        </w:tc>
        <w:tc>
          <w:tcPr>
            <w:tcW w:type="dxa" w:w="5074"/>
            <w:shd w:fill="F7F8F9"/>
            <w:vAlign w:val="top"/>
          </w:tcPr>
          <w:p>
            <w:pPr>
              <w:spacing w:after="0"/>
            </w:pPr>
            <w:r>
              <w:rPr>
                <w:sz w:val="14"/>
              </w:rPr>
              <w:t>Workload-level RTO/RPO, replay, regional recovery, cyber-recovery and exercises.</w:t>
            </w:r>
          </w:p>
        </w:tc>
      </w:tr>
      <w:tr>
        <w:tc>
          <w:tcPr>
            <w:tcW w:type="dxa" w:w="5074"/>
            <w:vAlign w:val="top"/>
          </w:tcPr>
          <w:p>
            <w:pPr>
              <w:spacing w:after="0"/>
            </w:pPr>
            <w:r>
              <w:rPr>
                <w:sz w:val="14"/>
              </w:rPr>
              <w:t>FinOps</w:t>
            </w:r>
          </w:p>
        </w:tc>
        <w:tc>
          <w:tcPr>
            <w:tcW w:type="dxa" w:w="5074"/>
            <w:vAlign w:val="top"/>
          </w:tcPr>
          <w:p>
            <w:pPr>
              <w:spacing w:after="0"/>
            </w:pPr>
            <w:r>
              <w:rPr>
                <w:sz w:val="14"/>
              </w:rPr>
              <w:t>Labels, budgets, forecasts, unit economics, reservations and workload optimization.</w:t>
            </w:r>
          </w:p>
        </w:tc>
      </w:tr>
    </w:tbl>
    <w:p>
      <w:pPr>
        <w:spacing w:after="0"/>
      </w:pPr>
    </w:p>
    <w:p>
      <w:r>
        <w:t>Implementation method: discover industry journeys and obligations; classify data and criticality; define domain products and interfaces; select managed services through explicit criteria; implement with immutable modules and pipelines; validate security, data, AI and resilience; pilot in parallel; then scale by domain. Missing organization-specific details are treated as documented assumptions, not hidden placeholders.</w:t>
      </w:r>
    </w:p>
    <w:p>
      <w:r>
        <w:br w:type="page"/>
      </w:r>
    </w:p>
    <w:p>
      <w:pPr>
        <w:pStyle w:val="Heading1"/>
      </w:pPr>
      <w:r>
        <w:t>3. Cross-industry Architecture and Controls</w:t>
      </w:r>
    </w:p>
    <w:p>
      <w:pPr>
        <w:jc w:val="center"/>
      </w:pPr>
      <w:r>
        <w:drawing>
          <wp:inline xmlns:a="http://schemas.openxmlformats.org/drawingml/2006/main" xmlns:pic="http://schemas.openxmlformats.org/drawingml/2006/picture">
            <wp:extent cx="6156000" cy="1314050"/>
            <wp:docPr id="3" name="Picture 3" descr="Image: image1.png"/>
            <wp:cNvGraphicFramePr>
              <a:graphicFrameLocks noChangeAspect="1"/>
            </wp:cNvGraphicFramePr>
            <a:graphic>
              <a:graphicData uri="http://schemas.openxmlformats.org/drawingml/2006/picture">
                <pic:pic>
                  <pic:nvPicPr>
                    <pic:cNvPr id="0" name="00_cross_industry_platform.png"/>
                    <pic:cNvPicPr/>
                  </pic:nvPicPr>
                  <pic:blipFill>
                    <a:blip r:embed="rId11"/>
                    <a:stretch>
                      <a:fillRect/>
                    </a:stretch>
                  </pic:blipFill>
                  <pic:spPr>
                    <a:xfrm>
                      <a:off x="0" y="0"/>
                      <a:ext cx="6156000" cy="1314050"/>
                    </a:xfrm>
                    <a:prstGeom prst="rect"/>
                  </pic:spPr>
                </pic:pic>
              </a:graphicData>
            </a:graphic>
          </wp:inline>
        </w:drawing>
      </w:r>
    </w:p>
    <w:p>
      <w:pPr>
        <w:jc w:val="center"/>
      </w:pPr>
      <w:r>
        <w:rPr>
          <w:b/>
          <w:sz w:val="16"/>
        </w:rPr>
        <w:t>Figure 3-1. Common physical and logical platform used by all industry implementations.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Architecture plane</w:t>
            </w:r>
          </w:p>
        </w:tc>
        <w:tc>
          <w:tcPr>
            <w:tcW w:type="dxa" w:w="3383"/>
            <w:shd w:fill="174EA6"/>
          </w:tcPr>
          <w:p>
            <w:pPr>
              <w:spacing w:after="0"/>
            </w:pPr>
            <w:r>
              <w:rPr>
                <w:b/>
                <w:color w:val="FFFFFF"/>
                <w:sz w:val="14"/>
              </w:rPr>
              <w:t>Shared baseline</w:t>
            </w:r>
          </w:p>
        </w:tc>
        <w:tc>
          <w:tcPr>
            <w:tcW w:type="dxa" w:w="3383"/>
            <w:shd w:fill="174EA6"/>
          </w:tcPr>
          <w:p>
            <w:pPr>
              <w:spacing w:after="0"/>
            </w:pPr>
            <w:r>
              <w:rPr>
                <w:b/>
                <w:color w:val="FFFFFF"/>
                <w:sz w:val="14"/>
              </w:rPr>
              <w:t>Industry specialization</w:t>
            </w:r>
          </w:p>
        </w:tc>
      </w:tr>
      <w:tr>
        <w:tc>
          <w:tcPr>
            <w:tcW w:type="dxa" w:w="3383"/>
            <w:vAlign w:val="top"/>
          </w:tcPr>
          <w:p>
            <w:pPr>
              <w:spacing w:after="0"/>
            </w:pPr>
            <w:r>
              <w:rPr>
                <w:sz w:val="14"/>
              </w:rPr>
              <w:t>Sources and integration</w:t>
            </w:r>
          </w:p>
        </w:tc>
        <w:tc>
          <w:tcPr>
            <w:tcW w:type="dxa" w:w="3383"/>
            <w:vAlign w:val="top"/>
          </w:tcPr>
          <w:p>
            <w:pPr>
              <w:spacing w:after="0"/>
            </w:pPr>
            <w:r>
              <w:rPr>
                <w:sz w:val="14"/>
              </w:rPr>
              <w:t>APIs, files, CDC, events and partner transfer</w:t>
            </w:r>
          </w:p>
        </w:tc>
        <w:tc>
          <w:tcPr>
            <w:tcW w:type="dxa" w:w="3383"/>
            <w:vAlign w:val="top"/>
          </w:tcPr>
          <w:p>
            <w:pPr>
              <w:spacing w:after="0"/>
            </w:pPr>
            <w:r>
              <w:rPr>
                <w:sz w:val="14"/>
              </w:rPr>
              <w:t>Healthcare interoperability; payment rails; commerce channels; OSS/BSS and network telemetry</w:t>
            </w:r>
          </w:p>
        </w:tc>
      </w:tr>
      <w:tr>
        <w:tc>
          <w:tcPr>
            <w:tcW w:type="dxa" w:w="3383"/>
            <w:shd w:fill="F7F8F9"/>
            <w:vAlign w:val="top"/>
          </w:tcPr>
          <w:p>
            <w:pPr>
              <w:spacing w:after="0"/>
            </w:pPr>
            <w:r>
              <w:rPr>
                <w:sz w:val="14"/>
              </w:rPr>
              <w:t>Data foundation</w:t>
            </w:r>
          </w:p>
        </w:tc>
        <w:tc>
          <w:tcPr>
            <w:tcW w:type="dxa" w:w="3383"/>
            <w:shd w:fill="F7F8F9"/>
            <w:vAlign w:val="top"/>
          </w:tcPr>
          <w:p>
            <w:pPr>
              <w:spacing w:after="0"/>
            </w:pPr>
            <w:r>
              <w:rPr>
                <w:sz w:val="14"/>
              </w:rPr>
              <w:t>Regional Cloud Storage, BigQuery and conditional BigLake/Bigtable/Spanner</w:t>
            </w:r>
          </w:p>
        </w:tc>
        <w:tc>
          <w:tcPr>
            <w:tcW w:type="dxa" w:w="3383"/>
            <w:shd w:fill="F7F8F9"/>
            <w:vAlign w:val="top"/>
          </w:tcPr>
          <w:p>
            <w:pPr>
              <w:spacing w:after="0"/>
            </w:pPr>
            <w:r>
              <w:rPr>
                <w:sz w:val="14"/>
              </w:rPr>
              <w:t>Industry schemas, retention, consent and point-in-time semantics</w:t>
            </w:r>
          </w:p>
        </w:tc>
      </w:tr>
      <w:tr>
        <w:tc>
          <w:tcPr>
            <w:tcW w:type="dxa" w:w="3383"/>
            <w:vAlign w:val="top"/>
          </w:tcPr>
          <w:p>
            <w:pPr>
              <w:spacing w:after="0"/>
            </w:pPr>
            <w:r>
              <w:rPr>
                <w:sz w:val="14"/>
              </w:rPr>
              <w:t>Data products</w:t>
            </w:r>
          </w:p>
        </w:tc>
        <w:tc>
          <w:tcPr>
            <w:tcW w:type="dxa" w:w="3383"/>
            <w:vAlign w:val="top"/>
          </w:tcPr>
          <w:p>
            <w:pPr>
              <w:spacing w:after="0"/>
            </w:pPr>
            <w:r>
              <w:rPr>
                <w:sz w:val="14"/>
              </w:rPr>
              <w:t>Versioned contract, quality, lineage, owner, SLO and access model</w:t>
            </w:r>
          </w:p>
        </w:tc>
        <w:tc>
          <w:tcPr>
            <w:tcW w:type="dxa" w:w="3383"/>
            <w:vAlign w:val="top"/>
          </w:tcPr>
          <w:p>
            <w:pPr>
              <w:spacing w:after="0"/>
            </w:pPr>
            <w:r>
              <w:rPr>
                <w:sz w:val="14"/>
              </w:rPr>
              <w:t>Patient, party/account, customer/product/order, subscriber/network/service products</w:t>
            </w:r>
          </w:p>
        </w:tc>
      </w:tr>
      <w:tr>
        <w:tc>
          <w:tcPr>
            <w:tcW w:type="dxa" w:w="3383"/>
            <w:shd w:fill="F7F8F9"/>
            <w:vAlign w:val="top"/>
          </w:tcPr>
          <w:p>
            <w:pPr>
              <w:spacing w:after="0"/>
            </w:pPr>
            <w:r>
              <w:rPr>
                <w:sz w:val="14"/>
              </w:rPr>
              <w:t>Analytics</w:t>
            </w:r>
          </w:p>
        </w:tc>
        <w:tc>
          <w:tcPr>
            <w:tcW w:type="dxa" w:w="3383"/>
            <w:shd w:fill="F7F8F9"/>
            <w:vAlign w:val="top"/>
          </w:tcPr>
          <w:p>
            <w:pPr>
              <w:spacing w:after="0"/>
            </w:pPr>
            <w:r>
              <w:rPr>
                <w:sz w:val="14"/>
              </w:rPr>
              <w:t>Looker semantic layer and BigQuery workloads</w:t>
            </w:r>
          </w:p>
        </w:tc>
        <w:tc>
          <w:tcPr>
            <w:tcW w:type="dxa" w:w="3383"/>
            <w:shd w:fill="F7F8F9"/>
            <w:vAlign w:val="top"/>
          </w:tcPr>
          <w:p>
            <w:pPr>
              <w:spacing w:after="0"/>
            </w:pPr>
            <w:r>
              <w:rPr>
                <w:sz w:val="14"/>
              </w:rPr>
              <w:t>Clinical quality, risk/regulatory, merchandising, service assurance</w:t>
            </w:r>
          </w:p>
        </w:tc>
      </w:tr>
      <w:tr>
        <w:tc>
          <w:tcPr>
            <w:tcW w:type="dxa" w:w="3383"/>
            <w:vAlign w:val="top"/>
          </w:tcPr>
          <w:p>
            <w:pPr>
              <w:spacing w:after="0"/>
            </w:pPr>
            <w:r>
              <w:rPr>
                <w:sz w:val="14"/>
              </w:rPr>
              <w:t>AI</w:t>
            </w:r>
          </w:p>
        </w:tc>
        <w:tc>
          <w:tcPr>
            <w:tcW w:type="dxa" w:w="3383"/>
            <w:vAlign w:val="top"/>
          </w:tcPr>
          <w:p>
            <w:pPr>
              <w:spacing w:after="0"/>
            </w:pPr>
            <w:r>
              <w:rPr>
                <w:sz w:val="14"/>
              </w:rPr>
              <w:t>Approved models, RAG, agents, evaluation and human oversight</w:t>
            </w:r>
          </w:p>
        </w:tc>
        <w:tc>
          <w:tcPr>
            <w:tcW w:type="dxa" w:w="3383"/>
            <w:vAlign w:val="top"/>
          </w:tcPr>
          <w:p>
            <w:pPr>
              <w:spacing w:after="0"/>
            </w:pPr>
            <w:r>
              <w:rPr>
                <w:sz w:val="14"/>
              </w:rPr>
              <w:t>Clinical safety, model risk, commerce actions and network-change safety</w:t>
            </w:r>
          </w:p>
        </w:tc>
      </w:tr>
      <w:tr>
        <w:tc>
          <w:tcPr>
            <w:tcW w:type="dxa" w:w="3383"/>
            <w:shd w:fill="F7F8F9"/>
            <w:vAlign w:val="top"/>
          </w:tcPr>
          <w:p>
            <w:pPr>
              <w:spacing w:after="0"/>
            </w:pPr>
            <w:r>
              <w:rPr>
                <w:sz w:val="14"/>
              </w:rPr>
              <w:t>Control planes</w:t>
            </w:r>
          </w:p>
        </w:tc>
        <w:tc>
          <w:tcPr>
            <w:tcW w:type="dxa" w:w="3383"/>
            <w:shd w:fill="F7F8F9"/>
            <w:vAlign w:val="top"/>
          </w:tcPr>
          <w:p>
            <w:pPr>
              <w:spacing w:after="0"/>
            </w:pPr>
            <w:r>
              <w:rPr>
                <w:sz w:val="14"/>
              </w:rPr>
              <w:t>Security, governance, SRE, DR, FinOps and DevSecOps</w:t>
            </w:r>
          </w:p>
        </w:tc>
        <w:tc>
          <w:tcPr>
            <w:tcW w:type="dxa" w:w="3383"/>
            <w:shd w:fill="F7F8F9"/>
            <w:vAlign w:val="top"/>
          </w:tcPr>
          <w:p>
            <w:pPr>
              <w:spacing w:after="0"/>
            </w:pPr>
            <w:r>
              <w:rPr>
                <w:sz w:val="14"/>
              </w:rPr>
              <w:t>Regulatory evidence, industry incident and vendor processes</w:t>
            </w:r>
          </w:p>
        </w:tc>
      </w:tr>
    </w:tbl>
    <w:p>
      <w:pPr>
        <w:spacing w:after="0"/>
      </w:pPr>
    </w:p>
    <w:p>
      <w:pPr>
        <w:pStyle w:val="Heading2"/>
      </w:pPr>
      <w:r>
        <w:t>3.1 Cross-industry regulatory architecture</w:t>
      </w:r>
    </w:p>
    <w:p>
      <w:r>
        <w:t>Regulation is translated into control objectives: accountable ownership, data inventory and classification, purpose limitation, regional processing, strong identity and cryptographic control, auditability, retention/deletion/legal hold, supplier oversight, incident reporting, tested resilience and evidence preservation. The architecture does not claim that using a Google Cloud service creates compliance; the enterprise remains responsible for configuration, contracts, operations and legal applicability.</w:t>
      </w:r>
    </w:p>
    <w:p>
      <w:pPr>
        <w:pStyle w:val="Heading2"/>
      </w:pPr>
      <w:r>
        <w:t>3.2 Cross-industry data-product standard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Contract field</w:t>
            </w:r>
          </w:p>
        </w:tc>
        <w:tc>
          <w:tcPr>
            <w:tcW w:type="dxa" w:w="5074"/>
            <w:shd w:fill="174EA6"/>
          </w:tcPr>
          <w:p>
            <w:pPr>
              <w:spacing w:after="0"/>
            </w:pPr>
            <w:r>
              <w:rPr>
                <w:b/>
                <w:color w:val="FFFFFF"/>
                <w:sz w:val="14"/>
              </w:rPr>
              <w:t>Required content</w:t>
            </w:r>
          </w:p>
        </w:tc>
      </w:tr>
      <w:tr>
        <w:tc>
          <w:tcPr>
            <w:tcW w:type="dxa" w:w="5074"/>
            <w:vAlign w:val="top"/>
          </w:tcPr>
          <w:p>
            <w:pPr>
              <w:spacing w:after="0"/>
            </w:pPr>
            <w:r>
              <w:rPr>
                <w:sz w:val="14"/>
              </w:rPr>
              <w:t>Identity</w:t>
            </w:r>
          </w:p>
        </w:tc>
        <w:tc>
          <w:tcPr>
            <w:tcW w:type="dxa" w:w="5074"/>
            <w:vAlign w:val="top"/>
          </w:tcPr>
          <w:p>
            <w:pPr>
              <w:spacing w:after="0"/>
            </w:pPr>
            <w:r>
              <w:rPr>
                <w:sz w:val="14"/>
              </w:rPr>
              <w:t>Stable product ID, domain, owner, steward and version</w:t>
            </w:r>
          </w:p>
        </w:tc>
      </w:tr>
      <w:tr>
        <w:tc>
          <w:tcPr>
            <w:tcW w:type="dxa" w:w="5074"/>
            <w:shd w:fill="F7F8F9"/>
            <w:vAlign w:val="top"/>
          </w:tcPr>
          <w:p>
            <w:pPr>
              <w:spacing w:after="0"/>
            </w:pPr>
            <w:r>
              <w:rPr>
                <w:sz w:val="14"/>
              </w:rPr>
              <w:t>Data semantics</w:t>
            </w:r>
          </w:p>
        </w:tc>
        <w:tc>
          <w:tcPr>
            <w:tcW w:type="dxa" w:w="5074"/>
            <w:shd w:fill="F7F8F9"/>
            <w:vAlign w:val="top"/>
          </w:tcPr>
          <w:p>
            <w:pPr>
              <w:spacing w:after="0"/>
            </w:pPr>
            <w:r>
              <w:rPr>
                <w:sz w:val="14"/>
              </w:rPr>
              <w:t>Entities, keys, event/validity timestamps, schema and business definitions</w:t>
            </w:r>
          </w:p>
        </w:tc>
      </w:tr>
      <w:tr>
        <w:tc>
          <w:tcPr>
            <w:tcW w:type="dxa" w:w="5074"/>
            <w:vAlign w:val="top"/>
          </w:tcPr>
          <w:p>
            <w:pPr>
              <w:spacing w:after="0"/>
            </w:pPr>
            <w:r>
              <w:rPr>
                <w:sz w:val="14"/>
              </w:rPr>
              <w:t>Control</w:t>
            </w:r>
          </w:p>
        </w:tc>
        <w:tc>
          <w:tcPr>
            <w:tcW w:type="dxa" w:w="5074"/>
            <w:vAlign w:val="top"/>
          </w:tcPr>
          <w:p>
            <w:pPr>
              <w:spacing w:after="0"/>
            </w:pPr>
            <w:r>
              <w:rPr>
                <w:sz w:val="14"/>
              </w:rPr>
              <w:t>Classification, allowed purposes, consent/authorization, residency, retention and deletion</w:t>
            </w:r>
          </w:p>
        </w:tc>
      </w:tr>
      <w:tr>
        <w:tc>
          <w:tcPr>
            <w:tcW w:type="dxa" w:w="5074"/>
            <w:shd w:fill="F7F8F9"/>
            <w:vAlign w:val="top"/>
          </w:tcPr>
          <w:p>
            <w:pPr>
              <w:spacing w:after="0"/>
            </w:pPr>
            <w:r>
              <w:rPr>
                <w:sz w:val="14"/>
              </w:rPr>
              <w:t>Quality</w:t>
            </w:r>
          </w:p>
        </w:tc>
        <w:tc>
          <w:tcPr>
            <w:tcW w:type="dxa" w:w="5074"/>
            <w:shd w:fill="F7F8F9"/>
            <w:vAlign w:val="top"/>
          </w:tcPr>
          <w:p>
            <w:pPr>
              <w:spacing w:after="0"/>
            </w:pPr>
            <w:r>
              <w:rPr>
                <w:sz w:val="14"/>
              </w:rPr>
              <w:t>Rules, severity, reconciliation and certification status</w:t>
            </w:r>
          </w:p>
        </w:tc>
      </w:tr>
      <w:tr>
        <w:tc>
          <w:tcPr>
            <w:tcW w:type="dxa" w:w="5074"/>
            <w:vAlign w:val="top"/>
          </w:tcPr>
          <w:p>
            <w:pPr>
              <w:spacing w:after="0"/>
            </w:pPr>
            <w:r>
              <w:rPr>
                <w:sz w:val="14"/>
              </w:rPr>
              <w:t>Reliability</w:t>
            </w:r>
          </w:p>
        </w:tc>
        <w:tc>
          <w:tcPr>
            <w:tcW w:type="dxa" w:w="5074"/>
            <w:vAlign w:val="top"/>
          </w:tcPr>
          <w:p>
            <w:pPr>
              <w:spacing w:after="0"/>
            </w:pPr>
            <w:r>
              <w:rPr>
                <w:sz w:val="14"/>
              </w:rPr>
              <w:t>SLIs/SLOs, RTO/RPO, source retention, replay and degraded mode</w:t>
            </w:r>
          </w:p>
        </w:tc>
      </w:tr>
      <w:tr>
        <w:tc>
          <w:tcPr>
            <w:tcW w:type="dxa" w:w="5074"/>
            <w:shd w:fill="F7F8F9"/>
            <w:vAlign w:val="top"/>
          </w:tcPr>
          <w:p>
            <w:pPr>
              <w:spacing w:after="0"/>
            </w:pPr>
            <w:r>
              <w:rPr>
                <w:sz w:val="14"/>
              </w:rPr>
              <w:t>Consumption</w:t>
            </w:r>
          </w:p>
        </w:tc>
        <w:tc>
          <w:tcPr>
            <w:tcW w:type="dxa" w:w="5074"/>
            <w:shd w:fill="F7F8F9"/>
            <w:vAlign w:val="top"/>
          </w:tcPr>
          <w:p>
            <w:pPr>
              <w:spacing w:after="0"/>
            </w:pPr>
            <w:r>
              <w:rPr>
                <w:sz w:val="14"/>
              </w:rPr>
              <w:t>BigQuery/Looker/API/feature/RAG interfaces and user populations</w:t>
            </w:r>
          </w:p>
        </w:tc>
      </w:tr>
      <w:tr>
        <w:tc>
          <w:tcPr>
            <w:tcW w:type="dxa" w:w="5074"/>
            <w:vAlign w:val="top"/>
          </w:tcPr>
          <w:p>
            <w:pPr>
              <w:spacing w:after="0"/>
            </w:pPr>
            <w:r>
              <w:rPr>
                <w:sz w:val="14"/>
              </w:rPr>
              <w:t>Economics</w:t>
            </w:r>
          </w:p>
        </w:tc>
        <w:tc>
          <w:tcPr>
            <w:tcW w:type="dxa" w:w="5074"/>
            <w:vAlign w:val="top"/>
          </w:tcPr>
          <w:p>
            <w:pPr>
              <w:spacing w:after="0"/>
            </w:pPr>
            <w:r>
              <w:rPr>
                <w:sz w:val="14"/>
              </w:rPr>
              <w:t>Cost center, labels, budget, forecast and unit-cost denominator</w:t>
            </w:r>
          </w:p>
        </w:tc>
      </w:tr>
      <w:tr>
        <w:tc>
          <w:tcPr>
            <w:tcW w:type="dxa" w:w="5074"/>
            <w:shd w:fill="F7F8F9"/>
            <w:vAlign w:val="top"/>
          </w:tcPr>
          <w:p>
            <w:pPr>
              <w:spacing w:after="0"/>
            </w:pPr>
            <w:r>
              <w:rPr>
                <w:sz w:val="14"/>
              </w:rPr>
              <w:t>Evidence</w:t>
            </w:r>
          </w:p>
        </w:tc>
        <w:tc>
          <w:tcPr>
            <w:tcW w:type="dxa" w:w="5074"/>
            <w:shd w:fill="F7F8F9"/>
            <w:vAlign w:val="top"/>
          </w:tcPr>
          <w:p>
            <w:pPr>
              <w:spacing w:after="0"/>
            </w:pPr>
            <w:r>
              <w:rPr>
                <w:sz w:val="14"/>
              </w:rPr>
              <w:t>Lineage, pipeline/model/prompt/index versions, approvals and incidents</w:t>
            </w:r>
          </w:p>
        </w:tc>
      </w:tr>
    </w:tbl>
    <w:p>
      <w:pPr>
        <w:spacing w:after="0"/>
      </w:pPr>
    </w:p>
    <w:p>
      <w:r>
        <w:br w:type="page"/>
      </w:r>
    </w:p>
    <w:p>
      <w:pPr>
        <w:pStyle w:val="Heading1"/>
      </w:pPr>
      <w:r>
        <w:t>4. Healthcare Reference Implementation</w:t>
      </w:r>
    </w:p>
    <w:p>
      <w:r>
        <w:t>A multi-country provider and payer ecosystem with hospitals, clinics, laboratories, imaging, pharmacies, care-management partners and research teams. The implementation supports longitudinal patient views, clinical operations, claims/utilization analytics, population health and governed clinical AI while preserving care-system availability and patient trust.</w:t>
      </w:r>
    </w:p>
    <w:p>
      <w:pPr>
        <w:jc w:val="center"/>
      </w:pPr>
      <w:r>
        <w:drawing>
          <wp:inline xmlns:a="http://schemas.openxmlformats.org/drawingml/2006/main" xmlns:pic="http://schemas.openxmlformats.org/drawingml/2006/picture">
            <wp:extent cx="6156000" cy="776385"/>
            <wp:docPr id="4" name="Picture 4" descr="Image: image3.png"/>
            <wp:cNvGraphicFramePr>
              <a:graphicFrameLocks noChangeAspect="1"/>
            </wp:cNvGraphicFramePr>
            <a:graphic>
              <a:graphicData uri="http://schemas.openxmlformats.org/drawingml/2006/picture">
                <pic:pic>
                  <pic:nvPicPr>
                    <pic:cNvPr id="0" name="01_healthcare_architecture.png"/>
                    <pic:cNvPicPr/>
                  </pic:nvPicPr>
                  <pic:blipFill>
                    <a:blip r:embed="rId13"/>
                    <a:stretch>
                      <a:fillRect/>
                    </a:stretch>
                  </pic:blipFill>
                  <pic:spPr>
                    <a:xfrm>
                      <a:off x="0" y="0"/>
                      <a:ext cx="6156000" cy="776385"/>
                    </a:xfrm>
                    <a:prstGeom prst="rect"/>
                  </pic:spPr>
                </pic:pic>
              </a:graphicData>
            </a:graphic>
          </wp:inline>
        </w:drawing>
      </w:r>
    </w:p>
    <w:p>
      <w:pPr>
        <w:jc w:val="center"/>
      </w:pPr>
      <w:r>
        <w:rPr>
          <w:b/>
          <w:sz w:val="16"/>
        </w:rPr>
        <w:t>Figure 4-1. Healthcare logical reference architecture with industry controls.</w:t>
      </w:r>
    </w:p>
    <w:p>
      <w:pPr>
        <w:pStyle w:val="Heading2"/>
      </w:pPr>
      <w:r>
        <w:t>4.1 Business Context and Capabilities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Capability</w:t>
            </w:r>
          </w:p>
        </w:tc>
        <w:tc>
          <w:tcPr>
            <w:tcW w:type="dxa" w:w="5074"/>
            <w:shd w:fill="174EA6"/>
          </w:tcPr>
          <w:p>
            <w:pPr>
              <w:spacing w:after="0"/>
            </w:pPr>
            <w:r>
              <w:rPr>
                <w:b/>
                <w:color w:val="FFFFFF"/>
                <w:sz w:val="14"/>
              </w:rPr>
              <w:t>Architecture response</w:t>
            </w:r>
          </w:p>
        </w:tc>
      </w:tr>
      <w:tr>
        <w:tc>
          <w:tcPr>
            <w:tcW w:type="dxa" w:w="5074"/>
            <w:vAlign w:val="top"/>
          </w:tcPr>
          <w:p>
            <w:pPr>
              <w:spacing w:after="0"/>
            </w:pPr>
            <w:r>
              <w:rPr>
                <w:sz w:val="14"/>
              </w:rPr>
              <w:t>Patient identity and longitudinal record</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Clinical interoperability and encounter processing</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Claims, utilization and revenue-cycle analytics</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Population health and quality measurement</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Imaging and laboratory analytics</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Care operations and capacity optimization</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Research and de-identified data access</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Clinical knowledge retrieval and assisted workflows</w:t>
            </w:r>
          </w:p>
        </w:tc>
        <w:tc>
          <w:tcPr>
            <w:tcW w:type="dxa" w:w="5074"/>
            <w:shd w:fill="F7F8F9"/>
            <w:vAlign w:val="top"/>
          </w:tcPr>
          <w:p>
            <w:pPr>
              <w:spacing w:after="0"/>
            </w:pPr>
            <w:r>
              <w:rPr>
                <w:sz w:val="14"/>
              </w:rPr>
              <w:t>Delivered through governed domain products, analytical interfaces and risk-appropriate automation.</w:t>
            </w:r>
          </w:p>
        </w:tc>
      </w:tr>
    </w:tbl>
    <w:p>
      <w:pPr>
        <w:spacing w:after="0"/>
      </w:pPr>
    </w:p>
    <w:p>
      <w:pPr>
        <w:pStyle w:val="Heading2"/>
      </w:pPr>
      <w:r>
        <w:t>4.2 Regulatory Requirements</w:t>
      </w:r>
    </w:p>
    <w:p>
      <w:r>
        <w:t>HIPAA Privacy and Security Rules, HITECH obligations, GDPR where applicable, regional health-data residency, records retention, consent, legal hold and clinical safety obligations. The HIPAA Security Rule requires administrative, physical and technical safeguards for electronic protected health information.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 objective</w:t>
            </w:r>
          </w:p>
        </w:tc>
        <w:tc>
          <w:tcPr>
            <w:tcW w:type="dxa" w:w="5074"/>
            <w:shd w:fill="174EA6"/>
          </w:tcPr>
          <w:p>
            <w:pPr>
              <w:spacing w:after="0"/>
            </w:pPr>
            <w:r>
              <w:rPr>
                <w:b/>
                <w:color w:val="FFFFFF"/>
                <w:sz w:val="14"/>
              </w:rPr>
              <w:t>Implementation pattern</w:t>
            </w:r>
          </w:p>
        </w:tc>
      </w:tr>
      <w:tr>
        <w:tc>
          <w:tcPr>
            <w:tcW w:type="dxa" w:w="5074"/>
            <w:vAlign w:val="top"/>
          </w:tcPr>
          <w:p>
            <w:pPr>
              <w:spacing w:after="0"/>
            </w:pPr>
            <w:r>
              <w:rPr>
                <w:sz w:val="14"/>
              </w:rPr>
              <w:t>Data inventory and purpose</w:t>
            </w:r>
          </w:p>
        </w:tc>
        <w:tc>
          <w:tcPr>
            <w:tcW w:type="dxa" w:w="5074"/>
            <w:vAlign w:val="top"/>
          </w:tcPr>
          <w:p>
            <w:pPr>
              <w:spacing w:after="0"/>
            </w:pPr>
            <w:r>
              <w:rPr>
                <w:sz w:val="14"/>
              </w:rPr>
              <w:t>Catalog every source/product and approved processing purpose.</w:t>
            </w:r>
          </w:p>
        </w:tc>
      </w:tr>
      <w:tr>
        <w:tc>
          <w:tcPr>
            <w:tcW w:type="dxa" w:w="5074"/>
            <w:shd w:fill="F7F8F9"/>
            <w:vAlign w:val="top"/>
          </w:tcPr>
          <w:p>
            <w:pPr>
              <w:spacing w:after="0"/>
            </w:pPr>
            <w:r>
              <w:rPr>
                <w:sz w:val="14"/>
              </w:rPr>
              <w:t>Access and segregation</w:t>
            </w:r>
          </w:p>
        </w:tc>
        <w:tc>
          <w:tcPr>
            <w:tcW w:type="dxa" w:w="5074"/>
            <w:shd w:fill="F7F8F9"/>
            <w:vAlign w:val="top"/>
          </w:tcPr>
          <w:p>
            <w:pPr>
              <w:spacing w:after="0"/>
            </w:pPr>
            <w:r>
              <w:rPr>
                <w:sz w:val="14"/>
              </w:rPr>
              <w:t>Group-based least privilege, workload identity, JIT elevation and separation of duties.</w:t>
            </w:r>
          </w:p>
        </w:tc>
      </w:tr>
      <w:tr>
        <w:tc>
          <w:tcPr>
            <w:tcW w:type="dxa" w:w="5074"/>
            <w:vAlign w:val="top"/>
          </w:tcPr>
          <w:p>
            <w:pPr>
              <w:spacing w:after="0"/>
            </w:pPr>
            <w:r>
              <w:rPr>
                <w:sz w:val="14"/>
              </w:rPr>
              <w:t>Protection</w:t>
            </w:r>
          </w:p>
        </w:tc>
        <w:tc>
          <w:tcPr>
            <w:tcW w:type="dxa" w:w="5074"/>
            <w:vAlign w:val="top"/>
          </w:tcPr>
          <w:p>
            <w:pPr>
              <w:spacing w:after="0"/>
            </w:pPr>
            <w:r>
              <w:rPr>
                <w:sz w:val="14"/>
              </w:rPr>
              <w:t>Regional projects, VPC Service Controls, CMEK/HSM as required, de-identification/tokenization.</w:t>
            </w:r>
          </w:p>
        </w:tc>
      </w:tr>
      <w:tr>
        <w:tc>
          <w:tcPr>
            <w:tcW w:type="dxa" w:w="5074"/>
            <w:shd w:fill="F7F8F9"/>
            <w:vAlign w:val="top"/>
          </w:tcPr>
          <w:p>
            <w:pPr>
              <w:spacing w:after="0"/>
            </w:pPr>
            <w:r>
              <w:rPr>
                <w:sz w:val="14"/>
              </w:rPr>
              <w:t>Evidence</w:t>
            </w:r>
          </w:p>
        </w:tc>
        <w:tc>
          <w:tcPr>
            <w:tcW w:type="dxa" w:w="5074"/>
            <w:shd w:fill="F7F8F9"/>
            <w:vAlign w:val="top"/>
          </w:tcPr>
          <w:p>
            <w:pPr>
              <w:spacing w:after="0"/>
            </w:pPr>
            <w:r>
              <w:rPr>
                <w:sz w:val="14"/>
              </w:rPr>
              <w:t>Immutable audit, data lineage, deployment/model evidence, incident and recovery records.</w:t>
            </w:r>
          </w:p>
        </w:tc>
      </w:tr>
      <w:tr>
        <w:tc>
          <w:tcPr>
            <w:tcW w:type="dxa" w:w="5074"/>
            <w:vAlign w:val="top"/>
          </w:tcPr>
          <w:p>
            <w:pPr>
              <w:spacing w:after="0"/>
            </w:pPr>
            <w:r>
              <w:rPr>
                <w:sz w:val="14"/>
              </w:rPr>
              <w:t>Resilience</w:t>
            </w:r>
          </w:p>
        </w:tc>
        <w:tc>
          <w:tcPr>
            <w:tcW w:type="dxa" w:w="5074"/>
            <w:vAlign w:val="top"/>
          </w:tcPr>
          <w:p>
            <w:pPr>
              <w:spacing w:after="0"/>
            </w:pPr>
            <w:r>
              <w:rPr>
                <w:sz w:val="14"/>
              </w:rPr>
              <w:t>Critical-journey SLOs, dependency mapping, tested failover/replay and third-party escalation.</w:t>
            </w:r>
          </w:p>
        </w:tc>
      </w:tr>
      <w:tr>
        <w:tc>
          <w:tcPr>
            <w:tcW w:type="dxa" w:w="5074"/>
            <w:shd w:fill="F7F8F9"/>
            <w:vAlign w:val="top"/>
          </w:tcPr>
          <w:p>
            <w:pPr>
              <w:spacing w:after="0"/>
            </w:pPr>
            <w:r>
              <w:rPr>
                <w:sz w:val="14"/>
              </w:rPr>
              <w:t>Lifecycle</w:t>
            </w:r>
          </w:p>
        </w:tc>
        <w:tc>
          <w:tcPr>
            <w:tcW w:type="dxa" w:w="5074"/>
            <w:shd w:fill="F7F8F9"/>
            <w:vAlign w:val="top"/>
          </w:tcPr>
          <w:p>
            <w:pPr>
              <w:spacing w:after="0"/>
            </w:pPr>
            <w:r>
              <w:rPr>
                <w:sz w:val="14"/>
              </w:rPr>
              <w:t>Retention, legal hold, deletion and derived-artifact propagation.</w:t>
            </w:r>
          </w:p>
        </w:tc>
      </w:tr>
    </w:tbl>
    <w:p>
      <w:pPr>
        <w:spacing w:after="0"/>
      </w:pPr>
    </w:p>
    <w:p>
      <w:pPr>
        <w:pStyle w:val="Heading2"/>
      </w:pPr>
      <w:r>
        <w:t>4.3 Data Sources and Ingestion</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Source category</w:t>
            </w:r>
          </w:p>
        </w:tc>
        <w:tc>
          <w:tcPr>
            <w:tcW w:type="dxa" w:w="3383"/>
            <w:shd w:fill="174EA6"/>
          </w:tcPr>
          <w:p>
            <w:pPr>
              <w:spacing w:after="0"/>
            </w:pPr>
            <w:r>
              <w:rPr>
                <w:b/>
                <w:color w:val="FFFFFF"/>
                <w:sz w:val="13"/>
              </w:rPr>
              <w:t>Recommended ingestion</w:t>
            </w:r>
          </w:p>
        </w:tc>
        <w:tc>
          <w:tcPr>
            <w:tcW w:type="dxa" w:w="3383"/>
            <w:shd w:fill="174EA6"/>
          </w:tcPr>
          <w:p>
            <w:pPr>
              <w:spacing w:after="0"/>
            </w:pPr>
            <w:r>
              <w:rPr>
                <w:b/>
                <w:color w:val="FFFFFF"/>
                <w:sz w:val="13"/>
              </w:rPr>
              <w:t>Key controls</w:t>
            </w:r>
          </w:p>
        </w:tc>
      </w:tr>
      <w:tr>
        <w:tc>
          <w:tcPr>
            <w:tcW w:type="dxa" w:w="3383"/>
            <w:vAlign w:val="top"/>
          </w:tcPr>
          <w:p>
            <w:pPr>
              <w:spacing w:after="0"/>
            </w:pPr>
            <w:r>
              <w:rPr>
                <w:sz w:val="13"/>
              </w:rPr>
              <w:t>EHR and EMR platforms</w:t>
            </w:r>
          </w:p>
        </w:tc>
        <w:tc>
          <w:tcPr>
            <w:tcW w:type="dxa" w:w="3383"/>
            <w:vAlign w:val="top"/>
          </w:tcPr>
          <w:p>
            <w:pPr>
              <w:spacing w:after="0"/>
            </w:pPr>
            <w:r>
              <w:rPr>
                <w:sz w:val="13"/>
              </w:rPr>
              <w:t>Cloud Healthcare API / Pub/Sub / Dataflow</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FHIR servers and APIs</w:t>
            </w:r>
          </w:p>
        </w:tc>
        <w:tc>
          <w:tcPr>
            <w:tcW w:type="dxa" w:w="3383"/>
            <w:shd w:fill="F7F8F9"/>
            <w:vAlign w:val="top"/>
          </w:tcPr>
          <w:p>
            <w:pPr>
              <w:spacing w:after="0"/>
            </w:pPr>
            <w:r>
              <w:rPr>
                <w:sz w:val="13"/>
              </w:rPr>
              <w:t>Cloud Healthcare API / Pub/Sub / Dataflow</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HL7v2 ADT, ORU and ORM feeds</w:t>
            </w:r>
          </w:p>
        </w:tc>
        <w:tc>
          <w:tcPr>
            <w:tcW w:type="dxa" w:w="3383"/>
            <w:vAlign w:val="top"/>
          </w:tcPr>
          <w:p>
            <w:pPr>
              <w:spacing w:after="0"/>
            </w:pPr>
            <w:r>
              <w:rPr>
                <w:sz w:val="13"/>
              </w:rPr>
              <w:t>Cloud Healthcare API / Pub/Sub / Dataflow</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DICOM imaging repositories and PACS</w:t>
            </w:r>
          </w:p>
        </w:tc>
        <w:tc>
          <w:tcPr>
            <w:tcW w:type="dxa" w:w="3383"/>
            <w:shd w:fill="F7F8F9"/>
            <w:vAlign w:val="top"/>
          </w:tcPr>
          <w:p>
            <w:pPr>
              <w:spacing w:after="0"/>
            </w:pPr>
            <w:r>
              <w:rPr>
                <w:sz w:val="13"/>
              </w:rPr>
              <w:t>Cloud Healthcare API / Pub/Sub / Dataflow</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Laboratory and pharmacy systems</w:t>
            </w:r>
          </w:p>
        </w:tc>
        <w:tc>
          <w:tcPr>
            <w:tcW w:type="dxa" w:w="3383"/>
            <w:vAlign w:val="top"/>
          </w:tcPr>
          <w:p>
            <w:pPr>
              <w:spacing w:after="0"/>
            </w:pPr>
            <w:r>
              <w:rPr>
                <w:sz w:val="13"/>
              </w:rPr>
              <w:t>Cloud Healthcare API / Pub/Sub / Dataflow</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Claims and eligibility feeds</w:t>
            </w:r>
          </w:p>
        </w:tc>
        <w:tc>
          <w:tcPr>
            <w:tcW w:type="dxa" w:w="3383"/>
            <w:shd w:fill="F7F8F9"/>
            <w:vAlign w:val="top"/>
          </w:tcPr>
          <w:p>
            <w:pPr>
              <w:spacing w:after="0"/>
            </w:pPr>
            <w:r>
              <w:rPr>
                <w:sz w:val="13"/>
              </w:rPr>
              <w:t>Cloud Healthcare API / Pub/Sub / Dataflow</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Remote monitoring and medical devices</w:t>
            </w:r>
          </w:p>
        </w:tc>
        <w:tc>
          <w:tcPr>
            <w:tcW w:type="dxa" w:w="3383"/>
            <w:vAlign w:val="top"/>
          </w:tcPr>
          <w:p>
            <w:pPr>
              <w:spacing w:after="0"/>
            </w:pPr>
            <w:r>
              <w:rPr>
                <w:sz w:val="13"/>
              </w:rPr>
              <w:t>Cloud Healthcare API / Pub/Sub / Dataflow</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Provider directories and master data</w:t>
            </w:r>
          </w:p>
        </w:tc>
        <w:tc>
          <w:tcPr>
            <w:tcW w:type="dxa" w:w="3383"/>
            <w:shd w:fill="F7F8F9"/>
            <w:vAlign w:val="top"/>
          </w:tcPr>
          <w:p>
            <w:pPr>
              <w:spacing w:after="0"/>
            </w:pPr>
            <w:r>
              <w:rPr>
                <w:sz w:val="13"/>
              </w:rPr>
              <w:t>Cloud Healthcare API / Pub/Sub / Dataflow</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Consent, privacy and research systems</w:t>
            </w:r>
          </w:p>
        </w:tc>
        <w:tc>
          <w:tcPr>
            <w:tcW w:type="dxa" w:w="3383"/>
            <w:vAlign w:val="top"/>
          </w:tcPr>
          <w:p>
            <w:pPr>
              <w:spacing w:after="0"/>
            </w:pPr>
            <w:r>
              <w:rPr>
                <w:sz w:val="13"/>
              </w:rPr>
              <w:t>Cloud Healthcare API / Pub/Sub / Dataflow</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Public-health and social determinants data</w:t>
            </w:r>
          </w:p>
        </w:tc>
        <w:tc>
          <w:tcPr>
            <w:tcW w:type="dxa" w:w="3383"/>
            <w:shd w:fill="F7F8F9"/>
            <w:vAlign w:val="top"/>
          </w:tcPr>
          <w:p>
            <w:pPr>
              <w:spacing w:after="0"/>
            </w:pPr>
            <w:r>
              <w:rPr>
                <w:sz w:val="13"/>
              </w:rPr>
              <w:t>Cloud Healthcare API / Pub/Sub / Dataflow</w:t>
            </w:r>
          </w:p>
        </w:tc>
        <w:tc>
          <w:tcPr>
            <w:tcW w:type="dxa" w:w="3383"/>
            <w:shd w:fill="F7F8F9"/>
            <w:vAlign w:val="top"/>
          </w:tcPr>
          <w:p>
            <w:pPr>
              <w:spacing w:after="0"/>
            </w:pPr>
            <w:r>
              <w:rPr>
                <w:sz w:val="13"/>
              </w:rPr>
              <w:t>Contract, private path, schema validation, quarantine, event/validity time and replay</w:t>
            </w:r>
          </w:p>
        </w:tc>
      </w:tr>
    </w:tbl>
    <w:p>
      <w:pPr>
        <w:spacing w:after="0"/>
      </w:pPr>
    </w:p>
    <w:p>
      <w:pPr>
        <w:pStyle w:val="Heading2"/>
      </w:pPr>
      <w:r>
        <w:t>4.4 Landing Zone and Networking</w:t>
      </w:r>
    </w:p>
    <w:p>
      <w:pPr>
        <w:pStyle w:val="ListBullet"/>
      </w:pPr>
      <w:r>
        <w:t>Separate regional production projects for shared platform, industry domains and high-risk workloads.</w:t>
      </w:r>
    </w:p>
    <w:p>
      <w:pPr>
        <w:pStyle w:val="ListBullet"/>
      </w:pPr>
      <w:r>
        <w:t>Use Shared VPC, private API paths/PSC where supported, restricted egress and hybrid connectivity sized to source/DR needs.</w:t>
      </w:r>
    </w:p>
    <w:p>
      <w:pPr>
        <w:pStyle w:val="ListBullet"/>
      </w:pPr>
      <w:r>
        <w:t>Apply tags/labels for industry, domain, product, environment, region, owner, classification, cost center and tier.</w:t>
      </w:r>
    </w:p>
    <w:p>
      <w:pPr>
        <w:pStyle w:val="ListBullet"/>
      </w:pPr>
      <w:r>
        <w:t>Place Restricted/Regulated projects in VPC Service Controls perimeters where service paths are supported and tested.</w:t>
      </w:r>
    </w:p>
    <w:p>
      <w:pPr>
        <w:pStyle w:val="ListBullet"/>
      </w:pPr>
      <w:r>
        <w:t>Use dedicated KMS key rings by region and classification; service-agent permissions are deployed through approved modules.</w:t>
      </w:r>
    </w:p>
    <w:p>
      <w:pPr>
        <w:pStyle w:val="Heading2"/>
      </w:pPr>
      <w:r>
        <w:t>4.5 Data Layers and Data Products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Layer</w:t>
            </w:r>
          </w:p>
        </w:tc>
        <w:tc>
          <w:tcPr>
            <w:tcW w:type="dxa" w:w="5074"/>
            <w:shd w:fill="174EA6"/>
          </w:tcPr>
          <w:p>
            <w:pPr>
              <w:spacing w:after="0"/>
            </w:pPr>
            <w:r>
              <w:rPr>
                <w:b/>
                <w:color w:val="FFFFFF"/>
                <w:sz w:val="14"/>
              </w:rPr>
              <w:t>Industry implementation</w:t>
            </w:r>
          </w:p>
        </w:tc>
      </w:tr>
      <w:tr>
        <w:tc>
          <w:tcPr>
            <w:tcW w:type="dxa" w:w="5074"/>
            <w:vAlign w:val="top"/>
          </w:tcPr>
          <w:p>
            <w:pPr>
              <w:spacing w:after="0"/>
            </w:pPr>
            <w:r>
              <w:rPr>
                <w:sz w:val="14"/>
              </w:rPr>
              <w:t>Landing/raw</w:t>
            </w:r>
          </w:p>
        </w:tc>
        <w:tc>
          <w:tcPr>
            <w:tcW w:type="dxa" w:w="5074"/>
            <w:vAlign w:val="top"/>
          </w:tcPr>
          <w:p>
            <w:pPr>
              <w:spacing w:after="0"/>
            </w:pPr>
            <w:r>
              <w:rPr>
                <w:sz w:val="14"/>
              </w:rPr>
              <w:t>Immutable source records, source metadata, legal/retention controls and quarantine.</w:t>
            </w:r>
          </w:p>
        </w:tc>
      </w:tr>
      <w:tr>
        <w:tc>
          <w:tcPr>
            <w:tcW w:type="dxa" w:w="5074"/>
            <w:shd w:fill="F7F8F9"/>
            <w:vAlign w:val="top"/>
          </w:tcPr>
          <w:p>
            <w:pPr>
              <w:spacing w:after="0"/>
            </w:pPr>
            <w:r>
              <w:rPr>
                <w:sz w:val="14"/>
              </w:rPr>
              <w:t>Standardized</w:t>
            </w:r>
          </w:p>
        </w:tc>
        <w:tc>
          <w:tcPr>
            <w:tcW w:type="dxa" w:w="5074"/>
            <w:shd w:fill="F7F8F9"/>
            <w:vAlign w:val="top"/>
          </w:tcPr>
          <w:p>
            <w:pPr>
              <w:spacing w:after="0"/>
            </w:pPr>
            <w:r>
              <w:rPr>
                <w:sz w:val="14"/>
              </w:rPr>
              <w:t>Canonical industry entities, source identifiers, event/validity timestamps and data-quality results.</w:t>
            </w:r>
          </w:p>
        </w:tc>
      </w:tr>
      <w:tr>
        <w:tc>
          <w:tcPr>
            <w:tcW w:type="dxa" w:w="5074"/>
            <w:vAlign w:val="top"/>
          </w:tcPr>
          <w:p>
            <w:pPr>
              <w:spacing w:after="0"/>
            </w:pPr>
            <w:r>
              <w:rPr>
                <w:sz w:val="14"/>
              </w:rPr>
              <w:t>Curated/product</w:t>
            </w:r>
          </w:p>
        </w:tc>
        <w:tc>
          <w:tcPr>
            <w:tcW w:type="dxa" w:w="5074"/>
            <w:vAlign w:val="top"/>
          </w:tcPr>
          <w:p>
            <w:pPr>
              <w:spacing w:after="0"/>
            </w:pPr>
            <w:r>
              <w:rPr>
                <w:sz w:val="14"/>
              </w:rPr>
              <w:t>Domain-owned products listed below with contracts, certification and SLOs.</w:t>
            </w:r>
          </w:p>
        </w:tc>
      </w:tr>
      <w:tr>
        <w:tc>
          <w:tcPr>
            <w:tcW w:type="dxa" w:w="5074"/>
            <w:shd w:fill="F7F8F9"/>
            <w:vAlign w:val="top"/>
          </w:tcPr>
          <w:p>
            <w:pPr>
              <w:spacing w:after="0"/>
            </w:pPr>
            <w:r>
              <w:rPr>
                <w:sz w:val="14"/>
              </w:rPr>
              <w:t>Semantic/serving</w:t>
            </w:r>
          </w:p>
        </w:tc>
        <w:tc>
          <w:tcPr>
            <w:tcW w:type="dxa" w:w="5074"/>
            <w:shd w:fill="F7F8F9"/>
            <w:vAlign w:val="top"/>
          </w:tcPr>
          <w:p>
            <w:pPr>
              <w:spacing w:after="0"/>
            </w:pPr>
            <w:r>
              <w:rPr>
                <w:sz w:val="14"/>
              </w:rPr>
              <w:t>Looker/BigQuery/API/feature/RAG interfaces separated by consumer and purpose.</w:t>
            </w:r>
          </w:p>
        </w:tc>
      </w:tr>
      <w:tr>
        <w:tc>
          <w:tcPr>
            <w:tcW w:type="dxa" w:w="5074"/>
            <w:vAlign w:val="top"/>
          </w:tcPr>
          <w:p>
            <w:pPr>
              <w:spacing w:after="0"/>
            </w:pPr>
            <w:r>
              <w:rPr>
                <w:sz w:val="14"/>
              </w:rPr>
              <w:t>Archive/recovery</w:t>
            </w:r>
          </w:p>
        </w:tc>
        <w:tc>
          <w:tcPr>
            <w:tcW w:type="dxa" w:w="5074"/>
            <w:vAlign w:val="top"/>
          </w:tcPr>
          <w:p>
            <w:pPr>
              <w:spacing w:after="0"/>
            </w:pPr>
            <w:r>
              <w:rPr>
                <w:sz w:val="14"/>
              </w:rPr>
              <w:t>Policy-driven retention, source replay, legal hold and recovery evidence.</w:t>
            </w:r>
          </w:p>
        </w:tc>
      </w:tr>
    </w:tbl>
    <w:p>
      <w:pPr>
        <w:spacing w:after="0"/>
      </w:pP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Data product</w:t>
            </w:r>
          </w:p>
        </w:tc>
        <w:tc>
          <w:tcPr>
            <w:tcW w:type="dxa" w:w="2537"/>
            <w:shd w:fill="174EA6"/>
          </w:tcPr>
          <w:p>
            <w:pPr>
              <w:spacing w:after="0"/>
            </w:pPr>
            <w:r>
              <w:rPr>
                <w:b/>
                <w:color w:val="FFFFFF"/>
                <w:sz w:val="13"/>
              </w:rPr>
              <w:t>Owner/accountability</w:t>
            </w:r>
          </w:p>
        </w:tc>
        <w:tc>
          <w:tcPr>
            <w:tcW w:type="dxa" w:w="2537"/>
            <w:shd w:fill="174EA6"/>
          </w:tcPr>
          <w:p>
            <w:pPr>
              <w:spacing w:after="0"/>
            </w:pPr>
            <w:r>
              <w:rPr>
                <w:b/>
                <w:color w:val="FFFFFF"/>
                <w:sz w:val="13"/>
              </w:rPr>
              <w:t>Primary consumers</w:t>
            </w:r>
          </w:p>
        </w:tc>
        <w:tc>
          <w:tcPr>
            <w:tcW w:type="dxa" w:w="2537"/>
            <w:shd w:fill="174EA6"/>
          </w:tcPr>
          <w:p>
            <w:pPr>
              <w:spacing w:after="0"/>
            </w:pPr>
            <w:r>
              <w:rPr>
                <w:b/>
                <w:color w:val="FFFFFF"/>
                <w:sz w:val="13"/>
              </w:rPr>
              <w:t>Baseline SLO</w:t>
            </w:r>
          </w:p>
        </w:tc>
      </w:tr>
      <w:tr>
        <w:tc>
          <w:tcPr>
            <w:tcW w:type="dxa" w:w="2537"/>
            <w:vAlign w:val="top"/>
          </w:tcPr>
          <w:p>
            <w:pPr>
              <w:spacing w:after="0"/>
            </w:pPr>
            <w:r>
              <w:rPr>
                <w:sz w:val="13"/>
              </w:rPr>
              <w:t>Patient 360 longitudinal record</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Encounter and care-journey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Clinical observations and laboratory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Medication and pharmacy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Claims and utilization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Provider and facility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Quality measures and outcomes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De-identified research cohort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Imaging metadata and diagnostic workflow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Consent and purpose-of-use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bl>
    <w:p>
      <w:pPr>
        <w:spacing w:after="0"/>
      </w:pPr>
    </w:p>
    <w:p>
      <w:pPr>
        <w:pStyle w:val="Heading2"/>
      </w:pPr>
      <w:r>
        <w:t>4.6 Data Mesh and Governance</w:t>
      </w:r>
    </w:p>
    <w:p>
      <w:r>
        <w:t>The industry is decomposed into business domains rather than technology silos. Domain product owners own meaning, quality, SLO, access intent and economics. The central platform team owns project factory, network, IAM/KMS patterns, ingestion/runtime templates, catalog integrations, observability and release controls. The federated governance council approves cross-domain definitions, high-risk sharing, certification and deprecation.</w:t>
      </w:r>
    </w:p>
    <w:p>
      <w:pPr>
        <w:pStyle w:val="Heading2"/>
      </w:pPr>
      <w:r>
        <w:t>4.7 Analytics and Semantic Layer</w:t>
      </w:r>
    </w:p>
    <w:p>
      <w:pPr>
        <w:pStyle w:val="ListBullet"/>
      </w:pPr>
      <w:r>
        <w:t>Define certified measures with business owner, formula, grain, time basis, exclusions, currency/unit and reconciliation source.</w:t>
      </w:r>
    </w:p>
    <w:p>
      <w:pPr>
        <w:pStyle w:val="ListBullet"/>
      </w:pPr>
      <w:r>
        <w:t>Expose Restricted detail through authorized views, row/column policies and purpose-specific semantic models.</w:t>
      </w:r>
    </w:p>
    <w:p>
      <w:pPr>
        <w:pStyle w:val="ListBullet"/>
      </w:pPr>
      <w:r>
        <w:t>Separate operational, executive, regulatory and exploratory workloads through reservations/assignments and cost labels.</w:t>
      </w:r>
    </w:p>
    <w:p>
      <w:pPr>
        <w:pStyle w:val="ListBullet"/>
      </w:pPr>
      <w:r>
        <w:t>Attach freshness and quality status to dashboards; do not display stale regulated metrics without clear indication.</w:t>
      </w:r>
    </w:p>
    <w:p>
      <w:pPr>
        <w:pStyle w:val="Heading2"/>
      </w:pPr>
      <w:r>
        <w:t>4.8 AI and GenAI</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Use case</w:t>
            </w:r>
          </w:p>
        </w:tc>
        <w:tc>
          <w:tcPr>
            <w:tcW w:type="dxa" w:w="5074"/>
            <w:shd w:fill="174EA6"/>
          </w:tcPr>
          <w:p>
            <w:pPr>
              <w:spacing w:after="0"/>
            </w:pPr>
            <w:r>
              <w:rPr>
                <w:b/>
                <w:color w:val="FFFFFF"/>
                <w:sz w:val="13"/>
              </w:rPr>
              <w:t>Required control</w:t>
            </w:r>
          </w:p>
        </w:tc>
      </w:tr>
      <w:tr>
        <w:tc>
          <w:tcPr>
            <w:tcW w:type="dxa" w:w="5074"/>
            <w:vAlign w:val="top"/>
          </w:tcPr>
          <w:p>
            <w:pPr>
              <w:spacing w:after="0"/>
            </w:pPr>
            <w:r>
              <w:rPr>
                <w:sz w:val="13"/>
              </w:rPr>
              <w:t>Clinical knowledge RAG grounded only in approved policies and literature</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Care-gap prioritization with human review</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Readmission and deterioration risk support</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Document summarization with provenance and clinical validation</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Coding and prior-authorization assistance</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Imaging workflow prioritization without autonomous diagnosis</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Operations agent for bed, staffing and discharge coordination</w:t>
            </w:r>
          </w:p>
        </w:tc>
        <w:tc>
          <w:tcPr>
            <w:tcW w:type="dxa" w:w="5074"/>
            <w:vAlign w:val="top"/>
          </w:tcPr>
          <w:p>
            <w:pPr>
              <w:spacing w:after="0"/>
            </w:pPr>
            <w:r>
              <w:rPr>
                <w:sz w:val="13"/>
              </w:rPr>
              <w:t>Risk tier, approved data/model, evaluation, human oversight, audit, rollback and prohibited-use statement</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CE8E6"/>
          </w:tcPr>
          <w:p>
            <w:r>
              <w:rPr>
                <w:b/>
                <w:color w:val="17365D"/>
              </w:rPr>
              <w:t xml:space="preserve">Industry AI rule - </w:t>
            </w:r>
            <w:r>
              <w:t>Models and agents cannot expand user authorization. Retrieval and tool access are enforced server-side using caller identity, product policy, purpose and action risk.</w:t>
            </w:r>
          </w:p>
        </w:tc>
        <w:trPr>
          <w:tblHeader/>
        </w:trPr>
      </w:tr>
    </w:tbl>
    <w:p>
      <w:pPr>
        <w:spacing w:after="0"/>
      </w:pPr>
    </w:p>
    <w:p>
      <w:pPr>
        <w:pStyle w:val="Heading2"/>
      </w:pPr>
      <w:r>
        <w:t>4.9 Security and Privacy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w:t>
            </w:r>
          </w:p>
        </w:tc>
        <w:tc>
          <w:tcPr>
            <w:tcW w:type="dxa" w:w="5074"/>
            <w:shd w:fill="174EA6"/>
          </w:tcPr>
          <w:p>
            <w:pPr>
              <w:spacing w:after="0"/>
            </w:pPr>
            <w:r>
              <w:rPr>
                <w:b/>
                <w:color w:val="FFFFFF"/>
                <w:sz w:val="14"/>
              </w:rPr>
              <w:t>Industry requirement</w:t>
            </w:r>
          </w:p>
        </w:tc>
      </w:tr>
      <w:tr>
        <w:tc>
          <w:tcPr>
            <w:tcW w:type="dxa" w:w="5074"/>
            <w:vAlign w:val="top"/>
          </w:tcPr>
          <w:p>
            <w:pPr>
              <w:spacing w:after="0"/>
            </w:pPr>
            <w:r>
              <w:rPr>
                <w:sz w:val="14"/>
              </w:rPr>
              <w:t>HIPAA-eligible service and BAA validation</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Regional PHI projects and VPC Service Controls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CMEK for PHI stores where required and supported</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Cloud Healthcare API de-identification plus Sensitive Data Protection</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Purpose-of-use and consent checks before data disclosure</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Break-glass clinical access with justification and post-use review</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No PHI in general telemetry or model evaluation logs</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Human oversight for clinical recommendations</w:t>
            </w:r>
          </w:p>
        </w:tc>
        <w:tc>
          <w:tcPr>
            <w:tcW w:type="dxa" w:w="5074"/>
            <w:shd w:fill="F7F8F9"/>
            <w:vAlign w:val="top"/>
          </w:tcPr>
          <w:p>
            <w:pPr>
              <w:spacing w:after="0"/>
            </w:pPr>
            <w:r>
              <w:rPr>
                <w:sz w:val="14"/>
              </w:rPr>
              <w:t>Mandatory or risk-based implementation evidence before production</w:t>
            </w:r>
          </w:p>
        </w:tc>
      </w:tr>
    </w:tbl>
    <w:p>
      <w:pPr>
        <w:spacing w:after="0"/>
      </w:pPr>
    </w:p>
    <w:p>
      <w:pPr>
        <w:pStyle w:val="Heading2"/>
      </w:pPr>
      <w:r>
        <w:t>4.10 DevSecOps and Infrastructure as Code</w:t>
      </w:r>
    </w:p>
    <w:p>
      <w:pPr>
        <w:pStyle w:val="ListBullet"/>
      </w:pPr>
      <w:r>
        <w:t>Store Terraform, pipelines, SQL, semantic models, prompts, evaluation sets, policies and runbooks in protected repositories.</w:t>
      </w:r>
    </w:p>
    <w:p>
      <w:pPr>
        <w:pStyle w:val="ListBullet"/>
      </w:pPr>
      <w:r>
        <w:t>Build once and promote immutable artifact digests; do not rebuild per environment.</w:t>
      </w:r>
    </w:p>
    <w:p>
      <w:pPr>
        <w:pStyle w:val="ListBullet"/>
      </w:pPr>
      <w:r>
        <w:t>Run unit, contract, integration, data-quality, security, privacy, performance, resilience and rollback tests.</w:t>
      </w:r>
    </w:p>
    <w:p>
      <w:pPr>
        <w:pStyle w:val="ListBullet"/>
      </w:pPr>
      <w:r>
        <w:t>Require independent approvals for production and high-risk model/prompt/tool releases.</w:t>
      </w:r>
    </w:p>
    <w:p>
      <w:pPr>
        <w:pStyle w:val="ListBullet"/>
      </w:pPr>
      <w:r>
        <w:t>Volume 9 and Volume 13 provide the full CI/CD and Terraform operating implementation; this volume supplies industry-specific inputs and examples.</w:t>
      </w:r>
    </w:p>
    <w:p>
      <w:pPr>
        <w:pStyle w:val="Heading2"/>
      </w:pPr>
      <w:r>
        <w:t>4.11 SRE and Operational Model</w:t>
      </w:r>
    </w:p>
    <w:p>
      <w:r>
        <w:t>Tier 0 clinical interoperability feeds and patient-context APIsFreshness, message rejection, FHIR import, DICOM ingest and consent-policy SLIsClinical downtime and source-system fallback proceduresRunbooks co-owned by clinical integration and platform SRE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Operational requirement</w:t>
            </w:r>
          </w:p>
        </w:tc>
        <w:tc>
          <w:tcPr>
            <w:tcW w:type="dxa" w:w="5074"/>
            <w:shd w:fill="174EA6"/>
          </w:tcPr>
          <w:p>
            <w:pPr>
              <w:spacing w:after="0"/>
            </w:pPr>
            <w:r>
              <w:rPr>
                <w:b/>
                <w:color w:val="FFFFFF"/>
                <w:sz w:val="14"/>
              </w:rPr>
              <w:t>Standard</w:t>
            </w:r>
          </w:p>
        </w:tc>
      </w:tr>
      <w:tr>
        <w:tc>
          <w:tcPr>
            <w:tcW w:type="dxa" w:w="5074"/>
            <w:vAlign w:val="top"/>
          </w:tcPr>
          <w:p>
            <w:pPr>
              <w:spacing w:after="0"/>
            </w:pPr>
            <w:r>
              <w:rPr>
                <w:sz w:val="14"/>
              </w:rPr>
              <w:t>Ownership</w:t>
            </w:r>
          </w:p>
        </w:tc>
        <w:tc>
          <w:tcPr>
            <w:tcW w:type="dxa" w:w="5074"/>
            <w:vAlign w:val="top"/>
          </w:tcPr>
          <w:p>
            <w:pPr>
              <w:spacing w:after="0"/>
            </w:pPr>
            <w:r>
              <w:rPr>
                <w:sz w:val="14"/>
              </w:rPr>
              <w:t>Business service owner, product owner, technical owner and on-call recorded.</w:t>
            </w:r>
          </w:p>
        </w:tc>
      </w:tr>
      <w:tr>
        <w:tc>
          <w:tcPr>
            <w:tcW w:type="dxa" w:w="5074"/>
            <w:shd w:fill="F7F8F9"/>
            <w:vAlign w:val="top"/>
          </w:tcPr>
          <w:p>
            <w:pPr>
              <w:spacing w:after="0"/>
            </w:pPr>
            <w:r>
              <w:rPr>
                <w:sz w:val="14"/>
              </w:rPr>
              <w:t>SLIs/SLOs</w:t>
            </w:r>
          </w:p>
        </w:tc>
        <w:tc>
          <w:tcPr>
            <w:tcW w:type="dxa" w:w="5074"/>
            <w:shd w:fill="F7F8F9"/>
            <w:vAlign w:val="top"/>
          </w:tcPr>
          <w:p>
            <w:pPr>
              <w:spacing w:after="0"/>
            </w:pPr>
            <w:r>
              <w:rPr>
                <w:sz w:val="14"/>
              </w:rPr>
              <w:t>User journey, freshness, quality, availability, latency, backlog and recovery measured.</w:t>
            </w:r>
          </w:p>
        </w:tc>
      </w:tr>
      <w:tr>
        <w:tc>
          <w:tcPr>
            <w:tcW w:type="dxa" w:w="5074"/>
            <w:vAlign w:val="top"/>
          </w:tcPr>
          <w:p>
            <w:pPr>
              <w:spacing w:after="0"/>
            </w:pPr>
            <w:r>
              <w:rPr>
                <w:sz w:val="14"/>
              </w:rPr>
              <w:t>Alerting</w:t>
            </w:r>
          </w:p>
        </w:tc>
        <w:tc>
          <w:tcPr>
            <w:tcW w:type="dxa" w:w="5074"/>
            <w:vAlign w:val="top"/>
          </w:tcPr>
          <w:p>
            <w:pPr>
              <w:spacing w:after="0"/>
            </w:pPr>
            <w:r>
              <w:rPr>
                <w:sz w:val="14"/>
              </w:rPr>
              <w:t>Burn-rate/symptom pages; dependency and lifecycle tickets; every page has a runbook.</w:t>
            </w:r>
          </w:p>
        </w:tc>
      </w:tr>
      <w:tr>
        <w:tc>
          <w:tcPr>
            <w:tcW w:type="dxa" w:w="5074"/>
            <w:shd w:fill="F7F8F9"/>
            <w:vAlign w:val="top"/>
          </w:tcPr>
          <w:p>
            <w:pPr>
              <w:spacing w:after="0"/>
            </w:pPr>
            <w:r>
              <w:rPr>
                <w:sz w:val="14"/>
              </w:rPr>
              <w:t>Incident</w:t>
            </w:r>
          </w:p>
        </w:tc>
        <w:tc>
          <w:tcPr>
            <w:tcW w:type="dxa" w:w="5074"/>
            <w:shd w:fill="F7F8F9"/>
            <w:vAlign w:val="top"/>
          </w:tcPr>
          <w:p>
            <w:pPr>
              <w:spacing w:after="0"/>
            </w:pPr>
            <w:r>
              <w:rPr>
                <w:sz w:val="14"/>
              </w:rPr>
              <w:t>Industry/business control owner joins security/SRE according to impact.</w:t>
            </w:r>
          </w:p>
        </w:tc>
      </w:tr>
      <w:tr>
        <w:tc>
          <w:tcPr>
            <w:tcW w:type="dxa" w:w="5074"/>
            <w:vAlign w:val="top"/>
          </w:tcPr>
          <w:p>
            <w:pPr>
              <w:spacing w:after="0"/>
            </w:pPr>
            <w:r>
              <w:rPr>
                <w:sz w:val="14"/>
              </w:rPr>
              <w:t>Capacity</w:t>
            </w:r>
          </w:p>
        </w:tc>
        <w:tc>
          <w:tcPr>
            <w:tcW w:type="dxa" w:w="5074"/>
            <w:vAlign w:val="top"/>
          </w:tcPr>
          <w:p>
            <w:pPr>
              <w:spacing w:after="0"/>
            </w:pPr>
            <w:r>
              <w:rPr>
                <w:sz w:val="14"/>
              </w:rPr>
              <w:t>Forecast growth, seasonality, model/vector/token use and backfill capacity.</w:t>
            </w:r>
          </w:p>
        </w:tc>
      </w:tr>
      <w:tr>
        <w:tc>
          <w:tcPr>
            <w:tcW w:type="dxa" w:w="5074"/>
            <w:shd w:fill="F7F8F9"/>
            <w:vAlign w:val="top"/>
          </w:tcPr>
          <w:p>
            <w:pPr>
              <w:spacing w:after="0"/>
            </w:pPr>
            <w:r>
              <w:rPr>
                <w:sz w:val="14"/>
              </w:rPr>
              <w:t>Review</w:t>
            </w:r>
          </w:p>
        </w:tc>
        <w:tc>
          <w:tcPr>
            <w:tcW w:type="dxa" w:w="5074"/>
            <w:shd w:fill="F7F8F9"/>
            <w:vAlign w:val="top"/>
          </w:tcPr>
          <w:p>
            <w:pPr>
              <w:spacing w:after="0"/>
            </w:pPr>
            <w:r>
              <w:rPr>
                <w:sz w:val="14"/>
              </w:rPr>
              <w:t>Monthly service review and quarterly risk/cost/resilience review.</w:t>
            </w:r>
          </w:p>
        </w:tc>
      </w:tr>
    </w:tbl>
    <w:p>
      <w:pPr>
        <w:spacing w:after="0"/>
      </w:pPr>
    </w:p>
    <w:p>
      <w:pPr>
        <w:pStyle w:val="Heading2"/>
      </w:pPr>
      <w:r>
        <w:t>4.12 Disaster Recovery and Business Continuity</w:t>
      </w:r>
    </w:p>
    <w:p>
      <w:r>
        <w:t>Regional recovery for critical clinical data productsImmutable source retention and Healthcare API export/import proceduresRTO/RPO aligned to clinical impact; no claim that analytics replaces EHR downtime controlsQuarterly clinical data and consent recovery exercises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Tier</w:t>
            </w:r>
          </w:p>
        </w:tc>
        <w:tc>
          <w:tcPr>
            <w:tcW w:type="dxa" w:w="3383"/>
            <w:shd w:fill="174EA6"/>
          </w:tcPr>
          <w:p>
            <w:pPr>
              <w:spacing w:after="0"/>
            </w:pPr>
            <w:r>
              <w:rPr>
                <w:b/>
                <w:color w:val="FFFFFF"/>
                <w:sz w:val="14"/>
              </w:rPr>
              <w:t>Target</w:t>
            </w:r>
          </w:p>
        </w:tc>
        <w:tc>
          <w:tcPr>
            <w:tcW w:type="dxa" w:w="3383"/>
            <w:shd w:fill="174EA6"/>
          </w:tcPr>
          <w:p>
            <w:pPr>
              <w:spacing w:after="0"/>
            </w:pPr>
            <w:r>
              <w:rPr>
                <w:b/>
                <w:color w:val="FFFFFF"/>
                <w:sz w:val="14"/>
              </w:rPr>
              <w:t>Industry application</w:t>
            </w:r>
          </w:p>
        </w:tc>
      </w:tr>
      <w:tr>
        <w:tc>
          <w:tcPr>
            <w:tcW w:type="dxa" w:w="3383"/>
            <w:vAlign w:val="top"/>
          </w:tcPr>
          <w:p>
            <w:pPr>
              <w:spacing w:after="0"/>
            </w:pPr>
            <w:r>
              <w:rPr>
                <w:sz w:val="14"/>
              </w:rPr>
              <w:t>0</w:t>
            </w:r>
          </w:p>
        </w:tc>
        <w:tc>
          <w:tcPr>
            <w:tcW w:type="dxa" w:w="3383"/>
            <w:vAlign w:val="top"/>
          </w:tcPr>
          <w:p>
            <w:pPr>
              <w:spacing w:after="0"/>
            </w:pPr>
            <w:r>
              <w:rPr>
                <w:sz w:val="14"/>
              </w:rPr>
              <w:t>RTO &lt;1h; RPO &lt;5m</w:t>
            </w:r>
          </w:p>
        </w:tc>
        <w:tc>
          <w:tcPr>
            <w:tcW w:type="dxa" w:w="3383"/>
            <w:vAlign w:val="top"/>
          </w:tcPr>
          <w:p>
            <w:pPr>
              <w:spacing w:after="0"/>
            </w:pPr>
            <w:r>
              <w:rPr>
                <w:sz w:val="14"/>
              </w:rPr>
              <w:t>Critical real-time/operational products and decision support</w:t>
            </w:r>
          </w:p>
        </w:tc>
      </w:tr>
      <w:tr>
        <w:tc>
          <w:tcPr>
            <w:tcW w:type="dxa" w:w="3383"/>
            <w:shd w:fill="F7F8F9"/>
            <w:vAlign w:val="top"/>
          </w:tcPr>
          <w:p>
            <w:pPr>
              <w:spacing w:after="0"/>
            </w:pPr>
            <w:r>
              <w:rPr>
                <w:sz w:val="14"/>
              </w:rPr>
              <w:t>1</w:t>
            </w:r>
          </w:p>
        </w:tc>
        <w:tc>
          <w:tcPr>
            <w:tcW w:type="dxa" w:w="3383"/>
            <w:shd w:fill="F7F8F9"/>
            <w:vAlign w:val="top"/>
          </w:tcPr>
          <w:p>
            <w:pPr>
              <w:spacing w:after="0"/>
            </w:pPr>
            <w:r>
              <w:rPr>
                <w:sz w:val="14"/>
              </w:rPr>
              <w:t>RTO &lt;4h; RPO &lt;15m</w:t>
            </w:r>
          </w:p>
        </w:tc>
        <w:tc>
          <w:tcPr>
            <w:tcW w:type="dxa" w:w="3383"/>
            <w:shd w:fill="F7F8F9"/>
            <w:vAlign w:val="top"/>
          </w:tcPr>
          <w:p>
            <w:pPr>
              <w:spacing w:after="0"/>
            </w:pPr>
            <w:r>
              <w:rPr>
                <w:sz w:val="14"/>
              </w:rPr>
              <w:t>High-value analytical, risk, inventory, assurance and AI services</w:t>
            </w:r>
          </w:p>
        </w:tc>
      </w:tr>
      <w:tr>
        <w:tc>
          <w:tcPr>
            <w:tcW w:type="dxa" w:w="3383"/>
            <w:vAlign w:val="top"/>
          </w:tcPr>
          <w:p>
            <w:pPr>
              <w:spacing w:after="0"/>
            </w:pPr>
            <w:r>
              <w:rPr>
                <w:sz w:val="14"/>
              </w:rPr>
              <w:t>2</w:t>
            </w:r>
          </w:p>
        </w:tc>
        <w:tc>
          <w:tcPr>
            <w:tcW w:type="dxa" w:w="3383"/>
            <w:vAlign w:val="top"/>
          </w:tcPr>
          <w:p>
            <w:pPr>
              <w:spacing w:after="0"/>
            </w:pPr>
            <w:r>
              <w:rPr>
                <w:sz w:val="14"/>
              </w:rPr>
              <w:t>RTO &lt;24h; RPO &lt;24h</w:t>
            </w:r>
          </w:p>
        </w:tc>
        <w:tc>
          <w:tcPr>
            <w:tcW w:type="dxa" w:w="3383"/>
            <w:vAlign w:val="top"/>
          </w:tcPr>
          <w:p>
            <w:pPr>
              <w:spacing w:after="0"/>
            </w:pPr>
            <w:r>
              <w:rPr>
                <w:sz w:val="14"/>
              </w:rPr>
              <w:t>Exploratory, historical and non-critical workloads</w:t>
            </w:r>
          </w:p>
        </w:tc>
      </w:tr>
    </w:tbl>
    <w:p>
      <w:pPr>
        <w:spacing w:after="0"/>
      </w:pPr>
    </w:p>
    <w:p>
      <w:pPr>
        <w:pStyle w:val="Heading2"/>
      </w:pPr>
      <w:r>
        <w:t>4.13 FinOps and Cost Governance</w:t>
      </w:r>
    </w:p>
    <w:p>
      <w:r>
        <w:t>Cost per patient/month, encounter, image study and accepted clinical messageSeparate research, operational and regulatory workloadsLifecycle DICOM and raw object storageBigQuery reservations for predictable population-health and reporting workloads</w:t>
      </w:r>
    </w:p>
    <w:p>
      <w:pPr>
        <w:pStyle w:val="ListBullet"/>
      </w:pPr>
      <w:r>
        <w:t>Allocate cost to industry, domain, product, environment, region, owner and workload.</w:t>
      </w:r>
    </w:p>
    <w:p>
      <w:pPr>
        <w:pStyle w:val="ListBullet"/>
      </w:pPr>
      <w:r>
        <w:t>Forecast from measurable units; do not hard-code prices.</w:t>
      </w:r>
    </w:p>
    <w:p>
      <w:pPr>
        <w:pStyle w:val="ListBullet"/>
      </w:pPr>
      <w:r>
        <w:t>Review cost per successful business unit alongside quality and SLO.</w:t>
      </w:r>
    </w:p>
    <w:p>
      <w:pPr>
        <w:pStyle w:val="ListBullet"/>
      </w:pPr>
      <w:r>
        <w:t>Require approval for persistent clusters, high-cardinality telemetry, unbounded RAG context or autonomous tool loops.</w:t>
      </w:r>
    </w:p>
    <w:p>
      <w:pPr>
        <w:pStyle w:val="Heading2"/>
      </w:pPr>
      <w:r>
        <w:t>4.14 Implementation Roadmap</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Wave</w:t>
            </w:r>
          </w:p>
        </w:tc>
        <w:tc>
          <w:tcPr>
            <w:tcW w:type="dxa" w:w="5074"/>
            <w:shd w:fill="174EA6"/>
          </w:tcPr>
          <w:p>
            <w:pPr>
              <w:spacing w:after="0"/>
            </w:pPr>
            <w:r>
              <w:rPr>
                <w:b/>
                <w:color w:val="FFFFFF"/>
                <w:sz w:val="14"/>
              </w:rPr>
              <w:t>Outcome</w:t>
            </w:r>
          </w:p>
        </w:tc>
      </w:tr>
      <w:tr>
        <w:tc>
          <w:tcPr>
            <w:tcW w:type="dxa" w:w="5074"/>
            <w:vAlign w:val="top"/>
          </w:tcPr>
          <w:p>
            <w:pPr>
              <w:spacing w:after="0"/>
            </w:pPr>
            <w:r>
              <w:rPr>
                <w:sz w:val="14"/>
              </w:rPr>
              <w:t>1</w:t>
            </w:r>
          </w:p>
        </w:tc>
        <w:tc>
          <w:tcPr>
            <w:tcW w:type="dxa" w:w="5074"/>
            <w:vAlign w:val="top"/>
          </w:tcPr>
          <w:p>
            <w:pPr>
              <w:spacing w:after="0"/>
            </w:pPr>
            <w:r>
              <w:rPr>
                <w:sz w:val="14"/>
              </w:rPr>
              <w:t>Interoperability and PHI landing foundation</w:t>
            </w:r>
          </w:p>
        </w:tc>
      </w:tr>
      <w:tr>
        <w:tc>
          <w:tcPr>
            <w:tcW w:type="dxa" w:w="5074"/>
            <w:shd w:fill="F7F8F9"/>
            <w:vAlign w:val="top"/>
          </w:tcPr>
          <w:p>
            <w:pPr>
              <w:spacing w:after="0"/>
            </w:pPr>
            <w:r>
              <w:rPr>
                <w:sz w:val="14"/>
              </w:rPr>
              <w:t>2</w:t>
            </w:r>
          </w:p>
        </w:tc>
        <w:tc>
          <w:tcPr>
            <w:tcW w:type="dxa" w:w="5074"/>
            <w:shd w:fill="F7F8F9"/>
            <w:vAlign w:val="top"/>
          </w:tcPr>
          <w:p>
            <w:pPr>
              <w:spacing w:after="0"/>
            </w:pPr>
            <w:r>
              <w:rPr>
                <w:sz w:val="14"/>
              </w:rPr>
              <w:t>Patient identity and encounter products</w:t>
            </w:r>
          </w:p>
        </w:tc>
      </w:tr>
      <w:tr>
        <w:tc>
          <w:tcPr>
            <w:tcW w:type="dxa" w:w="5074"/>
            <w:vAlign w:val="top"/>
          </w:tcPr>
          <w:p>
            <w:pPr>
              <w:spacing w:after="0"/>
            </w:pPr>
            <w:r>
              <w:rPr>
                <w:sz w:val="14"/>
              </w:rPr>
              <w:t>3</w:t>
            </w:r>
          </w:p>
        </w:tc>
        <w:tc>
          <w:tcPr>
            <w:tcW w:type="dxa" w:w="5074"/>
            <w:vAlign w:val="top"/>
          </w:tcPr>
          <w:p>
            <w:pPr>
              <w:spacing w:after="0"/>
            </w:pPr>
            <w:r>
              <w:rPr>
                <w:sz w:val="14"/>
              </w:rPr>
              <w:t>Quality, claims and population-health analytics</w:t>
            </w:r>
          </w:p>
        </w:tc>
      </w:tr>
      <w:tr>
        <w:tc>
          <w:tcPr>
            <w:tcW w:type="dxa" w:w="5074"/>
            <w:shd w:fill="F7F8F9"/>
            <w:vAlign w:val="top"/>
          </w:tcPr>
          <w:p>
            <w:pPr>
              <w:spacing w:after="0"/>
            </w:pPr>
            <w:r>
              <w:rPr>
                <w:sz w:val="14"/>
              </w:rPr>
              <w:t>4</w:t>
            </w:r>
          </w:p>
        </w:tc>
        <w:tc>
          <w:tcPr>
            <w:tcW w:type="dxa" w:w="5074"/>
            <w:shd w:fill="F7F8F9"/>
            <w:vAlign w:val="top"/>
          </w:tcPr>
          <w:p>
            <w:pPr>
              <w:spacing w:after="0"/>
            </w:pPr>
            <w:r>
              <w:rPr>
                <w:sz w:val="14"/>
              </w:rPr>
              <w:t>De-identified research zone</w:t>
            </w:r>
          </w:p>
        </w:tc>
      </w:tr>
      <w:tr>
        <w:tc>
          <w:tcPr>
            <w:tcW w:type="dxa" w:w="5074"/>
            <w:vAlign w:val="top"/>
          </w:tcPr>
          <w:p>
            <w:pPr>
              <w:spacing w:after="0"/>
            </w:pPr>
            <w:r>
              <w:rPr>
                <w:sz w:val="14"/>
              </w:rPr>
              <w:t>5</w:t>
            </w:r>
          </w:p>
        </w:tc>
        <w:tc>
          <w:tcPr>
            <w:tcW w:type="dxa" w:w="5074"/>
            <w:vAlign w:val="top"/>
          </w:tcPr>
          <w:p>
            <w:pPr>
              <w:spacing w:after="0"/>
            </w:pPr>
            <w:r>
              <w:rPr>
                <w:sz w:val="14"/>
              </w:rPr>
              <w:t>Governed clinical AI pilots</w:t>
            </w:r>
          </w:p>
        </w:tc>
      </w:tr>
      <w:tr>
        <w:tc>
          <w:tcPr>
            <w:tcW w:type="dxa" w:w="5074"/>
            <w:shd w:fill="F7F8F9"/>
            <w:vAlign w:val="top"/>
          </w:tcPr>
          <w:p>
            <w:pPr>
              <w:spacing w:after="0"/>
            </w:pPr>
            <w:r>
              <w:rPr>
                <w:sz w:val="14"/>
              </w:rPr>
              <w:t>6</w:t>
            </w:r>
          </w:p>
        </w:tc>
        <w:tc>
          <w:tcPr>
            <w:tcW w:type="dxa" w:w="5074"/>
            <w:shd w:fill="F7F8F9"/>
            <w:vAlign w:val="top"/>
          </w:tcPr>
          <w:p>
            <w:pPr>
              <w:spacing w:after="0"/>
            </w:pPr>
            <w:r>
              <w:rPr>
                <w:sz w:val="14"/>
              </w:rPr>
              <w:t>Scale to additional facilities and jurisdictions</w:t>
            </w:r>
          </w:p>
        </w:tc>
      </w:tr>
    </w:tbl>
    <w:p>
      <w:pPr>
        <w:spacing w:after="0"/>
      </w:pPr>
    </w:p>
    <w:p>
      <w:pPr>
        <w:pStyle w:val="Heading2"/>
      </w:pPr>
      <w:r>
        <w:t>4.15 Architecture Decisions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ADR</w:t>
            </w:r>
          </w:p>
        </w:tc>
        <w:tc>
          <w:tcPr>
            <w:tcW w:type="dxa" w:w="5074"/>
            <w:shd w:fill="174EA6"/>
          </w:tcPr>
          <w:p>
            <w:pPr>
              <w:spacing w:after="0"/>
            </w:pPr>
            <w:r>
              <w:rPr>
                <w:b/>
                <w:color w:val="FFFFFF"/>
                <w:sz w:val="14"/>
              </w:rPr>
              <w:t>Decision title</w:t>
            </w:r>
          </w:p>
        </w:tc>
      </w:tr>
      <w:tr>
        <w:tc>
          <w:tcPr>
            <w:tcW w:type="dxa" w:w="5074"/>
            <w:vAlign w:val="top"/>
          </w:tcPr>
          <w:p>
            <w:pPr>
              <w:spacing w:after="0"/>
            </w:pPr>
            <w:r>
              <w:rPr>
                <w:sz w:val="14"/>
              </w:rPr>
              <w:t>H-ADR-01</w:t>
            </w:r>
          </w:p>
        </w:tc>
        <w:tc>
          <w:tcPr>
            <w:tcW w:type="dxa" w:w="5074"/>
            <w:vAlign w:val="top"/>
          </w:tcPr>
          <w:p>
            <w:pPr>
              <w:spacing w:after="0"/>
            </w:pPr>
            <w:r>
              <w:rPr>
                <w:sz w:val="14"/>
              </w:rPr>
              <w:t>Use Cloud Healthcare API for FHIR/HL7v2/DICOM interoperability</w:t>
            </w:r>
          </w:p>
        </w:tc>
      </w:tr>
      <w:tr>
        <w:tc>
          <w:tcPr>
            <w:tcW w:type="dxa" w:w="5074"/>
            <w:shd w:fill="F7F8F9"/>
            <w:vAlign w:val="top"/>
          </w:tcPr>
          <w:p>
            <w:pPr>
              <w:spacing w:after="0"/>
            </w:pPr>
            <w:r>
              <w:rPr>
                <w:sz w:val="14"/>
              </w:rPr>
              <w:t>H-ADR-02</w:t>
            </w:r>
          </w:p>
        </w:tc>
        <w:tc>
          <w:tcPr>
            <w:tcW w:type="dxa" w:w="5074"/>
            <w:shd w:fill="F7F8F9"/>
            <w:vAlign w:val="top"/>
          </w:tcPr>
          <w:p>
            <w:pPr>
              <w:spacing w:after="0"/>
            </w:pPr>
            <w:r>
              <w:rPr>
                <w:sz w:val="14"/>
              </w:rPr>
              <w:t>Separate identified clinical operations from de-identified research</w:t>
            </w:r>
          </w:p>
        </w:tc>
      </w:tr>
      <w:tr>
        <w:tc>
          <w:tcPr>
            <w:tcW w:type="dxa" w:w="5074"/>
            <w:vAlign w:val="top"/>
          </w:tcPr>
          <w:p>
            <w:pPr>
              <w:spacing w:after="0"/>
            </w:pPr>
            <w:r>
              <w:rPr>
                <w:sz w:val="14"/>
              </w:rPr>
              <w:t>H-ADR-03</w:t>
            </w:r>
          </w:p>
        </w:tc>
        <w:tc>
          <w:tcPr>
            <w:tcW w:type="dxa" w:w="5074"/>
            <w:vAlign w:val="top"/>
          </w:tcPr>
          <w:p>
            <w:pPr>
              <w:spacing w:after="0"/>
            </w:pPr>
            <w:r>
              <w:rPr>
                <w:sz w:val="14"/>
              </w:rPr>
              <w:t>Require human clinical authority for high-impact AI</w:t>
            </w:r>
          </w:p>
        </w:tc>
      </w:tr>
      <w:tr>
        <w:tc>
          <w:tcPr>
            <w:tcW w:type="dxa" w:w="5074"/>
            <w:shd w:fill="F7F8F9"/>
            <w:vAlign w:val="top"/>
          </w:tcPr>
          <w:p>
            <w:pPr>
              <w:spacing w:after="0"/>
            </w:pPr>
            <w:r>
              <w:rPr>
                <w:sz w:val="14"/>
              </w:rPr>
              <w:t>H-ADR-04</w:t>
            </w:r>
          </w:p>
        </w:tc>
        <w:tc>
          <w:tcPr>
            <w:tcW w:type="dxa" w:w="5074"/>
            <w:shd w:fill="F7F8F9"/>
            <w:vAlign w:val="top"/>
          </w:tcPr>
          <w:p>
            <w:pPr>
              <w:spacing w:after="0"/>
            </w:pPr>
            <w:r>
              <w:rPr>
                <w:sz w:val="14"/>
              </w:rPr>
              <w:t>Use regional PHI data planes and explicit cross-region approvals</w:t>
            </w:r>
          </w:p>
        </w:tc>
      </w:tr>
    </w:tbl>
    <w:p>
      <w:pPr>
        <w:spacing w:after="0"/>
      </w:pPr>
    </w:p>
    <w:p>
      <w:pPr>
        <w:pStyle w:val="Heading2"/>
      </w:pPr>
      <w:r>
        <w:t>4.16 Risk Register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Risk</w:t>
            </w:r>
          </w:p>
        </w:tc>
        <w:tc>
          <w:tcPr>
            <w:tcW w:type="dxa" w:w="5074"/>
            <w:shd w:fill="174EA6"/>
          </w:tcPr>
          <w:p>
            <w:pPr>
              <w:spacing w:after="0"/>
            </w:pPr>
            <w:r>
              <w:rPr>
                <w:b/>
                <w:color w:val="FFFFFF"/>
                <w:sz w:val="14"/>
              </w:rPr>
              <w:t>Control response</w:t>
            </w:r>
          </w:p>
        </w:tc>
      </w:tr>
      <w:tr>
        <w:tc>
          <w:tcPr>
            <w:tcW w:type="dxa" w:w="5074"/>
            <w:vAlign w:val="top"/>
          </w:tcPr>
          <w:p>
            <w:pPr>
              <w:spacing w:after="0"/>
            </w:pPr>
            <w:r>
              <w:rPr>
                <w:sz w:val="14"/>
              </w:rPr>
              <w:t>Patient matching error</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PHI disclosure through logs or RAG</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Clinical model over-reliance</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Consent/deletion not propagated</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Interoperability schema drift</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DICOM storage and egress cost</w:t>
            </w:r>
          </w:p>
        </w:tc>
        <w:tc>
          <w:tcPr>
            <w:tcW w:type="dxa" w:w="5074"/>
            <w:shd w:fill="F7F8F9"/>
            <w:vAlign w:val="top"/>
          </w:tcPr>
          <w:p>
            <w:pPr>
              <w:spacing w:after="0"/>
            </w:pPr>
            <w:r>
              <w:rPr>
                <w:sz w:val="14"/>
              </w:rPr>
              <w:t>Named owner, preventive/detective controls, tested response and residual-risk review</w:t>
            </w:r>
          </w:p>
        </w:tc>
      </w:tr>
    </w:tbl>
    <w:p>
      <w:pPr>
        <w:spacing w:after="0"/>
      </w:pPr>
    </w:p>
    <w:p>
      <w:pPr>
        <w:pStyle w:val="Heading2"/>
      </w:pPr>
      <w:r>
        <w:t>4.17 Implementation Examples</w:t>
      </w:r>
    </w:p>
    <w:p>
      <w:r>
        <w:t>The package folder examples/healthcare contains a streaming pipeline, BigQuery industry interface, governed AI prompt and Terraform variables. The common folder contains the reusable regional landing and curated-data foundation.</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CREATE OR REPLACE VIEW `healthcare_semantic.patient_360` AS</w:t>
            </w:r>
          </w:p>
          <w:p>
            <w:pPr>
              <w:pStyle w:val="CodeBlock"/>
            </w:pPr>
            <w:r>
              <w:t>SELECT patient_token, ARRAY_AGG(STRUCT(encounter_id, encounter_type, start_ts, end_ts) ORDER BY start_ts DESC LIMIT 100) encounters,</w:t>
            </w:r>
          </w:p>
          <w:p>
            <w:pPr>
              <w:pStyle w:val="CodeBlock"/>
            </w:pPr>
            <w:r>
              <w:t xml:space="preserve">       MAX(updated_at) AS data_freshness_ts</w:t>
            </w:r>
          </w:p>
          <w:p>
            <w:pPr>
              <w:pStyle w:val="CodeBlock"/>
            </w:pPr>
            <w:r>
              <w:t>FROM `healthcare_curated.encounter`</w:t>
            </w:r>
          </w:p>
          <w:p>
            <w:pPr>
              <w:pStyle w:val="CodeBlock"/>
            </w:pPr>
            <w:r>
              <w:t>WHERE permitted_for_analytics = TRUE</w:t>
            </w:r>
          </w:p>
          <w:p>
            <w:pPr>
              <w:pStyle w:val="CodeBlock"/>
            </w:pPr>
            <w:r>
              <w:t>GROUP BY patient_token;</w:t>
            </w:r>
          </w:p>
        </w:tc>
        <w:trPr>
          <w:tblHeader/>
        </w:trPr>
      </w:tr>
    </w:tbl>
    <w:p>
      <w:pPr>
        <w:spacing w:after="0"/>
      </w:pP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prompt_id: healthcare-industry-assistant-v1</w:t>
            </w:r>
          </w:p>
          <w:p>
            <w:pPr>
              <w:pStyle w:val="CodeBlock"/>
            </w:pPr>
            <w:r>
              <w:t>owner: healthcare-data-ai-product</w:t>
            </w:r>
          </w:p>
          <w:p>
            <w:pPr>
              <w:pStyle w:val="CodeBlock"/>
            </w:pPr>
            <w:r>
              <w:t>risk_tier: tier-2</w:t>
            </w:r>
          </w:p>
          <w:p>
            <w:pPr>
              <w:pStyle w:val="CodeBlock"/>
            </w:pPr>
            <w:r>
              <w:t>system_instruction: |</w:t>
            </w:r>
          </w:p>
          <w:p>
            <w:pPr>
              <w:pStyle w:val="CodeBlock"/>
            </w:pPr>
            <w:r>
              <w:t xml:space="preserve">  You are a clinical operations assistant. Use only approved policy and de-identified context. Cite every source. Do not diagnose, prescribe, or override clinical judgment. Escalate uncertain or high-risk questions to an authorized clinician.</w:t>
            </w:r>
          </w:p>
          <w:p>
            <w:pPr>
              <w:pStyle w:val="CodeBlock"/>
            </w:pPr>
            <w:r>
              <w:t>output_schema:</w:t>
            </w:r>
          </w:p>
          <w:p>
            <w:pPr>
              <w:pStyle w:val="CodeBlock"/>
            </w:pPr>
            <w:r>
              <w:t xml:space="preserve">  required: [answer, citations, confidence]</w:t>
            </w:r>
          </w:p>
          <w:p>
            <w:pPr>
              <w:pStyle w:val="CodeBlock"/>
            </w:pPr>
            <w:r>
              <w:t>rollback_version: healthcare-industry-assistant-v0</w:t>
            </w:r>
          </w:p>
        </w:tc>
        <w:trPr>
          <w:tblHeader/>
        </w:trPr>
      </w:tr>
    </w:tbl>
    <w:p>
      <w:pPr>
        <w:spacing w:after="0"/>
      </w:pPr>
    </w:p>
    <w:p>
      <w:pPr>
        <w:pStyle w:val="Heading2"/>
      </w:pPr>
      <w:r>
        <w:t>4.18 Industry Production Readiness</w:t>
      </w:r>
    </w:p>
    <w:p>
      <w:pPr>
        <w:pStyle w:val="ListBullet"/>
      </w:pPr>
      <w:r>
        <w:t>Regulatory scope and accountable industry control owners approved.</w:t>
      </w:r>
    </w:p>
    <w:p>
      <w:pPr>
        <w:pStyle w:val="ListBullet"/>
      </w:pPr>
      <w:r>
        <w:t>Source contracts, product interfaces, classification, quality and lineage complete.</w:t>
      </w:r>
    </w:p>
    <w:p>
      <w:pPr>
        <w:pStyle w:val="ListBullet"/>
      </w:pPr>
      <w:r>
        <w:t>Network, IAM, perimeter, KMS, tokenization/de-identification and audit paths tested.</w:t>
      </w:r>
    </w:p>
    <w:p>
      <w:pPr>
        <w:pStyle w:val="ListBullet"/>
      </w:pPr>
      <w:r>
        <w:t>Critical journeys meet SLO, load, quota, recovery and vendor-escalation criteria.</w:t>
      </w:r>
    </w:p>
    <w:p>
      <w:pPr>
        <w:pStyle w:val="ListBullet"/>
      </w:pPr>
      <w:r>
        <w:t>AI evaluation, prohibited uses, human oversight, monitoring and rollback approved.</w:t>
      </w:r>
    </w:p>
    <w:p>
      <w:pPr>
        <w:pStyle w:val="ListBullet"/>
      </w:pPr>
      <w:r>
        <w:t>Cost allocation, forecast and unit economics accepted by product and finance owners.</w:t>
      </w:r>
    </w:p>
    <w:p>
      <w:r>
        <w:br w:type="page"/>
      </w:r>
    </w:p>
    <w:p>
      <w:pPr>
        <w:pStyle w:val="Heading2"/>
      </w:pPr>
      <w:r>
        <w:t>4.19 Project and Dataset Topology</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Project / dataset</w:t>
            </w:r>
          </w:p>
        </w:tc>
        <w:tc>
          <w:tcPr>
            <w:tcW w:type="dxa" w:w="3383"/>
            <w:shd w:fill="174EA6"/>
          </w:tcPr>
          <w:p>
            <w:pPr>
              <w:spacing w:after="0"/>
            </w:pPr>
            <w:r>
              <w:rPr>
                <w:b/>
                <w:color w:val="FFFFFF"/>
                <w:sz w:val="14"/>
              </w:rPr>
              <w:t>Purpose</w:t>
            </w:r>
          </w:p>
        </w:tc>
        <w:tc>
          <w:tcPr>
            <w:tcW w:type="dxa" w:w="3383"/>
            <w:shd w:fill="174EA6"/>
          </w:tcPr>
          <w:p>
            <w:pPr>
              <w:spacing w:after="0"/>
            </w:pPr>
            <w:r>
              <w:rPr>
                <w:b/>
                <w:color w:val="FFFFFF"/>
                <w:sz w:val="14"/>
              </w:rPr>
              <w:t>Control boundary</w:t>
            </w:r>
          </w:p>
        </w:tc>
      </w:tr>
      <w:tr>
        <w:tc>
          <w:tcPr>
            <w:tcW w:type="dxa" w:w="3383"/>
            <w:vAlign w:val="top"/>
          </w:tcPr>
          <w:p>
            <w:pPr>
              <w:spacing w:after="0"/>
            </w:pPr>
            <w:r>
              <w:rPr>
                <w:sz w:val="14"/>
              </w:rPr>
              <w:t>prj-egcdp-&lt;region&gt;-healthcare-ing-prd</w:t>
            </w:r>
          </w:p>
        </w:tc>
        <w:tc>
          <w:tcPr>
            <w:tcW w:type="dxa" w:w="3383"/>
            <w:vAlign w:val="top"/>
          </w:tcPr>
          <w:p>
            <w:pPr>
              <w:spacing w:after="0"/>
            </w:pPr>
            <w:r>
              <w:rPr>
                <w:sz w:val="14"/>
              </w:rPr>
              <w:t>Industry ingestion, quarantine and source connectivity</w:t>
            </w:r>
          </w:p>
        </w:tc>
        <w:tc>
          <w:tcPr>
            <w:tcW w:type="dxa" w:w="3383"/>
            <w:vAlign w:val="top"/>
          </w:tcPr>
          <w:p>
            <w:pPr>
              <w:spacing w:after="0"/>
            </w:pPr>
            <w:r>
              <w:rPr>
                <w:sz w:val="14"/>
              </w:rPr>
              <w:t>Dedicated runtime identities, private network, perimeter and KMS</w:t>
            </w:r>
          </w:p>
        </w:tc>
      </w:tr>
      <w:tr>
        <w:tc>
          <w:tcPr>
            <w:tcW w:type="dxa" w:w="3383"/>
            <w:shd w:fill="F7F8F9"/>
            <w:vAlign w:val="top"/>
          </w:tcPr>
          <w:p>
            <w:pPr>
              <w:spacing w:after="0"/>
            </w:pPr>
            <w:r>
              <w:rPr>
                <w:sz w:val="14"/>
              </w:rPr>
              <w:t>prj-egcdp-&lt;region&gt;-healthcare-data-prd</w:t>
            </w:r>
          </w:p>
        </w:tc>
        <w:tc>
          <w:tcPr>
            <w:tcW w:type="dxa" w:w="3383"/>
            <w:shd w:fill="F7F8F9"/>
            <w:vAlign w:val="top"/>
          </w:tcPr>
          <w:p>
            <w:pPr>
              <w:spacing w:after="0"/>
            </w:pPr>
            <w:r>
              <w:rPr>
                <w:sz w:val="14"/>
              </w:rPr>
              <w:t>Standardized and curated domain products</w:t>
            </w:r>
          </w:p>
        </w:tc>
        <w:tc>
          <w:tcPr>
            <w:tcW w:type="dxa" w:w="3383"/>
            <w:shd w:fill="F7F8F9"/>
            <w:vAlign w:val="top"/>
          </w:tcPr>
          <w:p>
            <w:pPr>
              <w:spacing w:after="0"/>
            </w:pPr>
            <w:r>
              <w:rPr>
                <w:sz w:val="14"/>
              </w:rPr>
              <w:t>Domain owner, classification, contract, policy tags and cost labels</w:t>
            </w:r>
          </w:p>
        </w:tc>
      </w:tr>
      <w:tr>
        <w:tc>
          <w:tcPr>
            <w:tcW w:type="dxa" w:w="3383"/>
            <w:vAlign w:val="top"/>
          </w:tcPr>
          <w:p>
            <w:pPr>
              <w:spacing w:after="0"/>
            </w:pPr>
            <w:r>
              <w:rPr>
                <w:sz w:val="14"/>
              </w:rPr>
              <w:t>prj-egcdp-&lt;region&gt;-healthcare-ai-prd</w:t>
            </w:r>
          </w:p>
        </w:tc>
        <w:tc>
          <w:tcPr>
            <w:tcW w:type="dxa" w:w="3383"/>
            <w:vAlign w:val="top"/>
          </w:tcPr>
          <w:p>
            <w:pPr>
              <w:spacing w:after="0"/>
            </w:pPr>
            <w:r>
              <w:rPr>
                <w:sz w:val="14"/>
              </w:rPr>
              <w:t>Approved models, prompts, corpora/indexes and agents</w:t>
            </w:r>
          </w:p>
        </w:tc>
        <w:tc>
          <w:tcPr>
            <w:tcW w:type="dxa" w:w="3383"/>
            <w:vAlign w:val="top"/>
          </w:tcPr>
          <w:p>
            <w:pPr>
              <w:spacing w:after="0"/>
            </w:pPr>
            <w:r>
              <w:rPr>
                <w:sz w:val="14"/>
              </w:rPr>
              <w:t>AI risk tier, evaluation, model/tool allowlist and rollback</w:t>
            </w:r>
          </w:p>
        </w:tc>
      </w:tr>
      <w:tr>
        <w:tc>
          <w:tcPr>
            <w:tcW w:type="dxa" w:w="3383"/>
            <w:shd w:fill="F7F8F9"/>
            <w:vAlign w:val="top"/>
          </w:tcPr>
          <w:p>
            <w:pPr>
              <w:spacing w:after="0"/>
            </w:pPr>
            <w:r>
              <w:rPr>
                <w:sz w:val="14"/>
              </w:rPr>
              <w:t>healthcare_landing / quarantine</w:t>
            </w:r>
          </w:p>
        </w:tc>
        <w:tc>
          <w:tcPr>
            <w:tcW w:type="dxa" w:w="3383"/>
            <w:shd w:fill="F7F8F9"/>
            <w:vAlign w:val="top"/>
          </w:tcPr>
          <w:p>
            <w:pPr>
              <w:spacing w:after="0"/>
            </w:pPr>
            <w:r>
              <w:rPr>
                <w:sz w:val="14"/>
              </w:rPr>
              <w:t>Immutable source and rejected records</w:t>
            </w:r>
          </w:p>
        </w:tc>
        <w:tc>
          <w:tcPr>
            <w:tcW w:type="dxa" w:w="3383"/>
            <w:shd w:fill="F7F8F9"/>
            <w:vAlign w:val="top"/>
          </w:tcPr>
          <w:p>
            <w:pPr>
              <w:spacing w:after="0"/>
            </w:pPr>
            <w:r>
              <w:rPr>
                <w:sz w:val="14"/>
              </w:rPr>
              <w:t>Restricted operators, retention, legal hold and replay evidence</w:t>
            </w:r>
          </w:p>
        </w:tc>
      </w:tr>
      <w:tr>
        <w:tc>
          <w:tcPr>
            <w:tcW w:type="dxa" w:w="3383"/>
            <w:vAlign w:val="top"/>
          </w:tcPr>
          <w:p>
            <w:pPr>
              <w:spacing w:after="0"/>
            </w:pPr>
            <w:r>
              <w:rPr>
                <w:sz w:val="14"/>
              </w:rPr>
              <w:t>healthcare_standardized</w:t>
            </w:r>
          </w:p>
        </w:tc>
        <w:tc>
          <w:tcPr>
            <w:tcW w:type="dxa" w:w="3383"/>
            <w:vAlign w:val="top"/>
          </w:tcPr>
          <w:p>
            <w:pPr>
              <w:spacing w:after="0"/>
            </w:pPr>
            <w:r>
              <w:rPr>
                <w:sz w:val="14"/>
              </w:rPr>
              <w:t>Canonical industry entities and source-aligned history</w:t>
            </w:r>
          </w:p>
        </w:tc>
        <w:tc>
          <w:tcPr>
            <w:tcW w:type="dxa" w:w="3383"/>
            <w:vAlign w:val="top"/>
          </w:tcPr>
          <w:p>
            <w:pPr>
              <w:spacing w:after="0"/>
            </w:pPr>
            <w:r>
              <w:rPr>
                <w:sz w:val="14"/>
              </w:rPr>
              <w:t>Schema/version, event/validity time and quality results</w:t>
            </w:r>
          </w:p>
        </w:tc>
      </w:tr>
      <w:tr>
        <w:tc>
          <w:tcPr>
            <w:tcW w:type="dxa" w:w="3383"/>
            <w:shd w:fill="F7F8F9"/>
            <w:vAlign w:val="top"/>
          </w:tcPr>
          <w:p>
            <w:pPr>
              <w:spacing w:after="0"/>
            </w:pPr>
            <w:r>
              <w:rPr>
                <w:sz w:val="14"/>
              </w:rPr>
              <w:t>healthcare_curated / semantic</w:t>
            </w:r>
          </w:p>
        </w:tc>
        <w:tc>
          <w:tcPr>
            <w:tcW w:type="dxa" w:w="3383"/>
            <w:shd w:fill="F7F8F9"/>
            <w:vAlign w:val="top"/>
          </w:tcPr>
          <w:p>
            <w:pPr>
              <w:spacing w:after="0"/>
            </w:pPr>
            <w:r>
              <w:rPr>
                <w:sz w:val="14"/>
              </w:rPr>
              <w:t>Certified products and consumption interfaces</w:t>
            </w:r>
          </w:p>
        </w:tc>
        <w:tc>
          <w:tcPr>
            <w:tcW w:type="dxa" w:w="3383"/>
            <w:shd w:fill="F7F8F9"/>
            <w:vAlign w:val="top"/>
          </w:tcPr>
          <w:p>
            <w:pPr>
              <w:spacing w:after="0"/>
            </w:pPr>
            <w:r>
              <w:rPr>
                <w:sz w:val="14"/>
              </w:rPr>
              <w:t>Owner, SLO, authorized views and semantic governance</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Topology rule - </w:t>
            </w:r>
            <w:r>
              <w:t>Project and dataset boundaries follow region, environment, industry domain, classification, blast radius and ownership. One global project is prohibited for Restricted or Regulated production data.</w:t>
            </w:r>
          </w:p>
        </w:tc>
        <w:trPr>
          <w:tblHeader/>
        </w:trPr>
      </w:tr>
    </w:tbl>
    <w:p>
      <w:pPr>
        <w:spacing w:after="0"/>
      </w:pPr>
    </w:p>
    <w:p>
      <w:r>
        <w:br w:type="page"/>
      </w:r>
    </w:p>
    <w:p>
      <w:pPr>
        <w:pStyle w:val="Heading2"/>
      </w:pPr>
      <w:r>
        <w:t>4.20 Source-to-Product Mapping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Source</w:t>
            </w:r>
          </w:p>
        </w:tc>
        <w:tc>
          <w:tcPr>
            <w:tcW w:type="dxa" w:w="2030"/>
            <w:shd w:fill="174EA6"/>
          </w:tcPr>
          <w:p>
            <w:pPr>
              <w:spacing w:after="0"/>
            </w:pPr>
            <w:r>
              <w:rPr>
                <w:b/>
                <w:color w:val="FFFFFF"/>
                <w:sz w:val="13"/>
              </w:rPr>
              <w:t>Ingestion pattern</w:t>
            </w:r>
          </w:p>
        </w:tc>
        <w:tc>
          <w:tcPr>
            <w:tcW w:type="dxa" w:w="2030"/>
            <w:shd w:fill="174EA6"/>
          </w:tcPr>
          <w:p>
            <w:pPr>
              <w:spacing w:after="0"/>
            </w:pPr>
            <w:r>
              <w:rPr>
                <w:b/>
                <w:color w:val="FFFFFF"/>
                <w:sz w:val="13"/>
              </w:rPr>
              <w:t>Target product</w:t>
            </w:r>
          </w:p>
        </w:tc>
        <w:tc>
          <w:tcPr>
            <w:tcW w:type="dxa" w:w="2030"/>
            <w:shd w:fill="174EA6"/>
          </w:tcPr>
          <w:p>
            <w:pPr>
              <w:spacing w:after="0"/>
            </w:pPr>
            <w:r>
              <w:rPr>
                <w:b/>
                <w:color w:val="FFFFFF"/>
                <w:sz w:val="13"/>
              </w:rPr>
              <w:t>Validation</w:t>
            </w:r>
          </w:p>
        </w:tc>
        <w:tc>
          <w:tcPr>
            <w:tcW w:type="dxa" w:w="2030"/>
            <w:shd w:fill="174EA6"/>
          </w:tcPr>
          <w:p>
            <w:pPr>
              <w:spacing w:after="0"/>
            </w:pPr>
            <w:r>
              <w:rPr>
                <w:b/>
                <w:color w:val="FFFFFF"/>
                <w:sz w:val="13"/>
              </w:rPr>
              <w:t>Tier</w:t>
            </w:r>
          </w:p>
        </w:tc>
      </w:tr>
      <w:tr>
        <w:tc>
          <w:tcPr>
            <w:tcW w:type="dxa" w:w="2030"/>
            <w:vAlign w:val="top"/>
          </w:tcPr>
          <w:p>
            <w:pPr>
              <w:spacing w:after="0"/>
            </w:pPr>
            <w:r>
              <w:rPr>
                <w:sz w:val="13"/>
              </w:rPr>
              <w:t>EHR and EMR platforms</w:t>
            </w:r>
          </w:p>
        </w:tc>
        <w:tc>
          <w:tcPr>
            <w:tcW w:type="dxa" w:w="2030"/>
            <w:vAlign w:val="top"/>
          </w:tcPr>
          <w:p>
            <w:pPr>
              <w:spacing w:after="0"/>
            </w:pPr>
            <w:r>
              <w:rPr>
                <w:sz w:val="13"/>
              </w:rPr>
              <w:t>Cloud Healthcare API + Pub/Sub/Dataflow</w:t>
            </w:r>
          </w:p>
        </w:tc>
        <w:tc>
          <w:tcPr>
            <w:tcW w:type="dxa" w:w="2030"/>
            <w:vAlign w:val="top"/>
          </w:tcPr>
          <w:p>
            <w:pPr>
              <w:spacing w:after="0"/>
            </w:pPr>
            <w:r>
              <w:rPr>
                <w:sz w:val="13"/>
              </w:rPr>
              <w:t>Patient 360 longitudinal record</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FHIR servers and APIs</w:t>
            </w:r>
          </w:p>
        </w:tc>
        <w:tc>
          <w:tcPr>
            <w:tcW w:type="dxa" w:w="2030"/>
            <w:shd w:fill="F7F8F9"/>
            <w:vAlign w:val="top"/>
          </w:tcPr>
          <w:p>
            <w:pPr>
              <w:spacing w:after="0"/>
            </w:pPr>
            <w:r>
              <w:rPr>
                <w:sz w:val="13"/>
              </w:rPr>
              <w:t>Cloud Healthcare API + Pub/Sub/Dataflow</w:t>
            </w:r>
          </w:p>
        </w:tc>
        <w:tc>
          <w:tcPr>
            <w:tcW w:type="dxa" w:w="2030"/>
            <w:shd w:fill="F7F8F9"/>
            <w:vAlign w:val="top"/>
          </w:tcPr>
          <w:p>
            <w:pPr>
              <w:spacing w:after="0"/>
            </w:pPr>
            <w:r>
              <w:rPr>
                <w:sz w:val="13"/>
              </w:rPr>
              <w:t>Encounter and care-journey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HL7v2 ADT, ORU and ORM feeds</w:t>
            </w:r>
          </w:p>
        </w:tc>
        <w:tc>
          <w:tcPr>
            <w:tcW w:type="dxa" w:w="2030"/>
            <w:vAlign w:val="top"/>
          </w:tcPr>
          <w:p>
            <w:pPr>
              <w:spacing w:after="0"/>
            </w:pPr>
            <w:r>
              <w:rPr>
                <w:sz w:val="13"/>
              </w:rPr>
              <w:t>Cloud Healthcare API + Pub/Sub/Dataflow</w:t>
            </w:r>
          </w:p>
        </w:tc>
        <w:tc>
          <w:tcPr>
            <w:tcW w:type="dxa" w:w="2030"/>
            <w:vAlign w:val="top"/>
          </w:tcPr>
          <w:p>
            <w:pPr>
              <w:spacing w:after="0"/>
            </w:pPr>
            <w:r>
              <w:rPr>
                <w:sz w:val="13"/>
              </w:rPr>
              <w:t>Clinical observations and laboratory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DICOM imaging repositories and PACS</w:t>
            </w:r>
          </w:p>
        </w:tc>
        <w:tc>
          <w:tcPr>
            <w:tcW w:type="dxa" w:w="2030"/>
            <w:shd w:fill="F7F8F9"/>
            <w:vAlign w:val="top"/>
          </w:tcPr>
          <w:p>
            <w:pPr>
              <w:spacing w:after="0"/>
            </w:pPr>
            <w:r>
              <w:rPr>
                <w:sz w:val="13"/>
              </w:rPr>
              <w:t>Cloud Healthcare API + Pub/Sub/Dataflow</w:t>
            </w:r>
          </w:p>
        </w:tc>
        <w:tc>
          <w:tcPr>
            <w:tcW w:type="dxa" w:w="2030"/>
            <w:shd w:fill="F7F8F9"/>
            <w:vAlign w:val="top"/>
          </w:tcPr>
          <w:p>
            <w:pPr>
              <w:spacing w:after="0"/>
            </w:pPr>
            <w:r>
              <w:rPr>
                <w:sz w:val="13"/>
              </w:rPr>
              <w:t>Medication and pharmacy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Laboratory and pharmacy systems</w:t>
            </w:r>
          </w:p>
        </w:tc>
        <w:tc>
          <w:tcPr>
            <w:tcW w:type="dxa" w:w="2030"/>
            <w:vAlign w:val="top"/>
          </w:tcPr>
          <w:p>
            <w:pPr>
              <w:spacing w:after="0"/>
            </w:pPr>
            <w:r>
              <w:rPr>
                <w:sz w:val="13"/>
              </w:rPr>
              <w:t>Datastream CDC</w:t>
            </w:r>
          </w:p>
        </w:tc>
        <w:tc>
          <w:tcPr>
            <w:tcW w:type="dxa" w:w="2030"/>
            <w:vAlign w:val="top"/>
          </w:tcPr>
          <w:p>
            <w:pPr>
              <w:spacing w:after="0"/>
            </w:pPr>
            <w:r>
              <w:rPr>
                <w:sz w:val="13"/>
              </w:rPr>
              <w:t>Claims and utilization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Claims and eligibility feeds</w:t>
            </w:r>
          </w:p>
        </w:tc>
        <w:tc>
          <w:tcPr>
            <w:tcW w:type="dxa" w:w="2030"/>
            <w:shd w:fill="F7F8F9"/>
            <w:vAlign w:val="top"/>
          </w:tcPr>
          <w:p>
            <w:pPr>
              <w:spacing w:after="0"/>
            </w:pPr>
            <w:r>
              <w:rPr>
                <w:sz w:val="13"/>
              </w:rPr>
              <w:t>Cloud Storage/API batch</w:t>
            </w:r>
          </w:p>
        </w:tc>
        <w:tc>
          <w:tcPr>
            <w:tcW w:type="dxa" w:w="2030"/>
            <w:shd w:fill="F7F8F9"/>
            <w:vAlign w:val="top"/>
          </w:tcPr>
          <w:p>
            <w:pPr>
              <w:spacing w:after="0"/>
            </w:pPr>
            <w:r>
              <w:rPr>
                <w:sz w:val="13"/>
              </w:rPr>
              <w:t>Provider and facility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Remote monitoring and medical devices</w:t>
            </w:r>
          </w:p>
        </w:tc>
        <w:tc>
          <w:tcPr>
            <w:tcW w:type="dxa" w:w="2030"/>
            <w:vAlign w:val="top"/>
          </w:tcPr>
          <w:p>
            <w:pPr>
              <w:spacing w:after="0"/>
            </w:pPr>
            <w:r>
              <w:rPr>
                <w:sz w:val="13"/>
              </w:rPr>
              <w:t>Pub/Sub/Dataflow streaming</w:t>
            </w:r>
          </w:p>
        </w:tc>
        <w:tc>
          <w:tcPr>
            <w:tcW w:type="dxa" w:w="2030"/>
            <w:vAlign w:val="top"/>
          </w:tcPr>
          <w:p>
            <w:pPr>
              <w:spacing w:after="0"/>
            </w:pPr>
            <w:r>
              <w:rPr>
                <w:sz w:val="13"/>
              </w:rPr>
              <w:t>Quality measures and outcomes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Provider directories and master data</w:t>
            </w:r>
          </w:p>
        </w:tc>
        <w:tc>
          <w:tcPr>
            <w:tcW w:type="dxa" w:w="2030"/>
            <w:shd w:fill="F7F8F9"/>
            <w:vAlign w:val="top"/>
          </w:tcPr>
          <w:p>
            <w:pPr>
              <w:spacing w:after="0"/>
            </w:pPr>
            <w:r>
              <w:rPr>
                <w:sz w:val="13"/>
              </w:rPr>
              <w:t>Datastream CDC</w:t>
            </w:r>
          </w:p>
        </w:tc>
        <w:tc>
          <w:tcPr>
            <w:tcW w:type="dxa" w:w="2030"/>
            <w:shd w:fill="F7F8F9"/>
            <w:vAlign w:val="top"/>
          </w:tcPr>
          <w:p>
            <w:pPr>
              <w:spacing w:after="0"/>
            </w:pPr>
            <w:r>
              <w:rPr>
                <w:sz w:val="13"/>
              </w:rPr>
              <w:t>De-identified research cohort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Consent, privacy and research systems</w:t>
            </w:r>
          </w:p>
        </w:tc>
        <w:tc>
          <w:tcPr>
            <w:tcW w:type="dxa" w:w="2030"/>
            <w:vAlign w:val="top"/>
          </w:tcPr>
          <w:p>
            <w:pPr>
              <w:spacing w:after="0"/>
            </w:pPr>
            <w:r>
              <w:rPr>
                <w:sz w:val="13"/>
              </w:rPr>
              <w:t>Cloud Storage/API batch</w:t>
            </w:r>
          </w:p>
        </w:tc>
        <w:tc>
          <w:tcPr>
            <w:tcW w:type="dxa" w:w="2030"/>
            <w:vAlign w:val="top"/>
          </w:tcPr>
          <w:p>
            <w:pPr>
              <w:spacing w:after="0"/>
            </w:pPr>
            <w:r>
              <w:rPr>
                <w:sz w:val="13"/>
              </w:rPr>
              <w:t>Imaging metadata and diagnostic workflow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Public-health and social determinants data</w:t>
            </w:r>
          </w:p>
        </w:tc>
        <w:tc>
          <w:tcPr>
            <w:tcW w:type="dxa" w:w="2030"/>
            <w:shd w:fill="F7F8F9"/>
            <w:vAlign w:val="top"/>
          </w:tcPr>
          <w:p>
            <w:pPr>
              <w:spacing w:after="0"/>
            </w:pPr>
            <w:r>
              <w:rPr>
                <w:sz w:val="13"/>
              </w:rPr>
              <w:t>Pub/Sub/Dataflow streaming</w:t>
            </w:r>
          </w:p>
        </w:tc>
        <w:tc>
          <w:tcPr>
            <w:tcW w:type="dxa" w:w="2030"/>
            <w:shd w:fill="F7F8F9"/>
            <w:vAlign w:val="top"/>
          </w:tcPr>
          <w:p>
            <w:pPr>
              <w:spacing w:after="0"/>
            </w:pPr>
            <w:r>
              <w:rPr>
                <w:sz w:val="13"/>
              </w:rPr>
              <w:t>Consent and purpose-of-use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bl>
    <w:p>
      <w:pPr>
        <w:spacing w:after="0"/>
      </w:pPr>
    </w:p>
    <w:p>
      <w:r>
        <w:br w:type="page"/>
      </w:r>
    </w:p>
    <w:p>
      <w:pPr>
        <w:pStyle w:val="Heading2"/>
      </w:pPr>
      <w:r>
        <w:t>4.21 Detailed Data-Product Contract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Contract section</w:t>
            </w:r>
          </w:p>
        </w:tc>
        <w:tc>
          <w:tcPr>
            <w:tcW w:type="dxa" w:w="5074"/>
            <w:shd w:fill="174EA6"/>
          </w:tcPr>
          <w:p>
            <w:pPr>
              <w:spacing w:after="0"/>
            </w:pPr>
            <w:r>
              <w:rPr>
                <w:b/>
                <w:color w:val="FFFFFF"/>
                <w:sz w:val="14"/>
              </w:rPr>
              <w:t>Industry specification</w:t>
            </w:r>
          </w:p>
        </w:tc>
      </w:tr>
      <w:tr>
        <w:tc>
          <w:tcPr>
            <w:tcW w:type="dxa" w:w="5074"/>
            <w:vAlign w:val="top"/>
          </w:tcPr>
          <w:p>
            <w:pPr>
              <w:spacing w:after="0"/>
            </w:pPr>
            <w:r>
              <w:rPr>
                <w:sz w:val="14"/>
              </w:rPr>
              <w:t>Product identity</w:t>
            </w:r>
          </w:p>
        </w:tc>
        <w:tc>
          <w:tcPr>
            <w:tcW w:type="dxa" w:w="5074"/>
            <w:vAlign w:val="top"/>
          </w:tcPr>
          <w:p>
            <w:pPr>
              <w:spacing w:after="0"/>
            </w:pPr>
            <w:r>
              <w:rPr>
                <w:sz w:val="14"/>
              </w:rPr>
              <w:t>healthcare.patient-360-longitudinal-record.v1; accountable domain product owner and steward</w:t>
            </w:r>
          </w:p>
        </w:tc>
      </w:tr>
      <w:tr>
        <w:tc>
          <w:tcPr>
            <w:tcW w:type="dxa" w:w="5074"/>
            <w:shd w:fill="F7F8F9"/>
            <w:vAlign w:val="top"/>
          </w:tcPr>
          <w:p>
            <w:pPr>
              <w:spacing w:after="0"/>
            </w:pPr>
            <w:r>
              <w:rPr>
                <w:sz w:val="14"/>
              </w:rPr>
              <w:t>Entities and grain</w:t>
            </w:r>
          </w:p>
        </w:tc>
        <w:tc>
          <w:tcPr>
            <w:tcW w:type="dxa" w:w="5074"/>
            <w:shd w:fill="F7F8F9"/>
            <w:vAlign w:val="top"/>
          </w:tcPr>
          <w:p>
            <w:pPr>
              <w:spacing w:after="0"/>
            </w:pPr>
            <w:r>
              <w:rPr>
                <w:sz w:val="14"/>
              </w:rPr>
              <w:t>Business entity, stable key, event/validity timestamps, source identifier and record version</w:t>
            </w:r>
          </w:p>
        </w:tc>
      </w:tr>
      <w:tr>
        <w:tc>
          <w:tcPr>
            <w:tcW w:type="dxa" w:w="5074"/>
            <w:vAlign w:val="top"/>
          </w:tcPr>
          <w:p>
            <w:pPr>
              <w:spacing w:after="0"/>
            </w:pPr>
            <w:r>
              <w:rPr>
                <w:sz w:val="14"/>
              </w:rPr>
              <w:t>Classification</w:t>
            </w:r>
          </w:p>
        </w:tc>
        <w:tc>
          <w:tcPr>
            <w:tcW w:type="dxa" w:w="5074"/>
            <w:vAlign w:val="top"/>
          </w:tcPr>
          <w:p>
            <w:pPr>
              <w:spacing w:after="0"/>
            </w:pPr>
            <w:r>
              <w:rPr>
                <w:sz w:val="14"/>
              </w:rPr>
              <w:t>Highest applicable industry class; Restricted/Regulated detail separated from broader analytical views</w:t>
            </w:r>
          </w:p>
        </w:tc>
      </w:tr>
      <w:tr>
        <w:tc>
          <w:tcPr>
            <w:tcW w:type="dxa" w:w="5074"/>
            <w:shd w:fill="F7F8F9"/>
            <w:vAlign w:val="top"/>
          </w:tcPr>
          <w:p>
            <w:pPr>
              <w:spacing w:after="0"/>
            </w:pPr>
            <w:r>
              <w:rPr>
                <w:sz w:val="14"/>
              </w:rPr>
              <w:t>Quality</w:t>
            </w:r>
          </w:p>
        </w:tc>
        <w:tc>
          <w:tcPr>
            <w:tcW w:type="dxa" w:w="5074"/>
            <w:shd w:fill="F7F8F9"/>
            <w:vAlign w:val="top"/>
          </w:tcPr>
          <w:p>
            <w:pPr>
              <w:spacing w:after="0"/>
            </w:pPr>
            <w:r>
              <w:rPr>
                <w:sz w:val="14"/>
              </w:rPr>
              <w:t>Critical keys non-null, uniqueness, referential integrity, validity, freshness and business reconciliation</w:t>
            </w:r>
          </w:p>
        </w:tc>
      </w:tr>
      <w:tr>
        <w:tc>
          <w:tcPr>
            <w:tcW w:type="dxa" w:w="5074"/>
            <w:vAlign w:val="top"/>
          </w:tcPr>
          <w:p>
            <w:pPr>
              <w:spacing w:after="0"/>
            </w:pPr>
            <w:r>
              <w:rPr>
                <w:sz w:val="14"/>
              </w:rPr>
              <w:t>Reliability</w:t>
            </w:r>
          </w:p>
        </w:tc>
        <w:tc>
          <w:tcPr>
            <w:tcW w:type="dxa" w:w="5074"/>
            <w:vAlign w:val="top"/>
          </w:tcPr>
          <w:p>
            <w:pPr>
              <w:spacing w:after="0"/>
            </w:pPr>
            <w:r>
              <w:rPr>
                <w:sz w:val="14"/>
              </w:rPr>
              <w:t>Tier-defined availability/freshness, RTO/RPO, replay interval and degraded mode</w:t>
            </w:r>
          </w:p>
        </w:tc>
      </w:tr>
      <w:tr>
        <w:tc>
          <w:tcPr>
            <w:tcW w:type="dxa" w:w="5074"/>
            <w:shd w:fill="F7F8F9"/>
            <w:vAlign w:val="top"/>
          </w:tcPr>
          <w:p>
            <w:pPr>
              <w:spacing w:after="0"/>
            </w:pPr>
            <w:r>
              <w:rPr>
                <w:sz w:val="14"/>
              </w:rPr>
              <w:t>Access</w:t>
            </w:r>
          </w:p>
        </w:tc>
        <w:tc>
          <w:tcPr>
            <w:tcW w:type="dxa" w:w="5074"/>
            <w:shd w:fill="F7F8F9"/>
            <w:vAlign w:val="top"/>
          </w:tcPr>
          <w:p>
            <w:pPr>
              <w:spacing w:after="0"/>
            </w:pPr>
            <w:r>
              <w:rPr>
                <w:sz w:val="14"/>
              </w:rPr>
              <w:t>Purpose-specific groups, service identities, authorized views/policies and approval workflow</w:t>
            </w:r>
          </w:p>
        </w:tc>
      </w:tr>
      <w:tr>
        <w:tc>
          <w:tcPr>
            <w:tcW w:type="dxa" w:w="5074"/>
            <w:vAlign w:val="top"/>
          </w:tcPr>
          <w:p>
            <w:pPr>
              <w:spacing w:after="0"/>
            </w:pPr>
            <w:r>
              <w:rPr>
                <w:sz w:val="14"/>
              </w:rPr>
              <w:t>Lifecycle</w:t>
            </w:r>
          </w:p>
        </w:tc>
        <w:tc>
          <w:tcPr>
            <w:tcW w:type="dxa" w:w="5074"/>
            <w:vAlign w:val="top"/>
          </w:tcPr>
          <w:p>
            <w:pPr>
              <w:spacing w:after="0"/>
            </w:pPr>
            <w:r>
              <w:rPr>
                <w:sz w:val="14"/>
              </w:rPr>
              <w:t>Retention, legal hold, deletion, deprecation and derived-artifact propagation</w:t>
            </w:r>
          </w:p>
        </w:tc>
      </w:tr>
      <w:tr>
        <w:tc>
          <w:tcPr>
            <w:tcW w:type="dxa" w:w="5074"/>
            <w:shd w:fill="F7F8F9"/>
            <w:vAlign w:val="top"/>
          </w:tcPr>
          <w:p>
            <w:pPr>
              <w:spacing w:after="0"/>
            </w:pPr>
            <w:r>
              <w:rPr>
                <w:sz w:val="14"/>
              </w:rPr>
              <w:t>Economics</w:t>
            </w:r>
          </w:p>
        </w:tc>
        <w:tc>
          <w:tcPr>
            <w:tcW w:type="dxa" w:w="5074"/>
            <w:shd w:fill="F7F8F9"/>
            <w:vAlign w:val="top"/>
          </w:tcPr>
          <w:p>
            <w:pPr>
              <w:spacing w:after="0"/>
            </w:pPr>
            <w:r>
              <w:rPr>
                <w:sz w:val="14"/>
              </w:rPr>
              <w:t>Product budget, forecast, cost center and unit-cost denominator</w:t>
            </w:r>
          </w:p>
        </w:tc>
      </w:tr>
      <w:tr>
        <w:tc>
          <w:tcPr>
            <w:tcW w:type="dxa" w:w="5074"/>
            <w:vAlign w:val="top"/>
          </w:tcPr>
          <w:p>
            <w:pPr>
              <w:spacing w:after="0"/>
            </w:pPr>
            <w:r>
              <w:rPr>
                <w:sz w:val="14"/>
              </w:rPr>
              <w:t>Evidence</w:t>
            </w:r>
          </w:p>
        </w:tc>
        <w:tc>
          <w:tcPr>
            <w:tcW w:type="dxa" w:w="5074"/>
            <w:vAlign w:val="top"/>
          </w:tcPr>
          <w:p>
            <w:pPr>
              <w:spacing w:after="0"/>
            </w:pPr>
            <w:r>
              <w:rPr>
                <w:sz w:val="14"/>
              </w:rPr>
              <w:t>Source-to-product lineage, run/model/prompt/index versions, quality and approval records</w:t>
            </w:r>
          </w:p>
        </w:tc>
      </w:tr>
    </w:tbl>
    <w:p>
      <w:pPr>
        <w:spacing w:after="0"/>
      </w:pPr>
    </w:p>
    <w:p>
      <w:r>
        <w:br w:type="page"/>
      </w:r>
    </w:p>
    <w:p>
      <w:pPr>
        <w:pStyle w:val="Heading2"/>
      </w:pPr>
      <w:r>
        <w:t>4.22 Ingestion, Reconciliation and Exception Controls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Control stage</w:t>
            </w:r>
          </w:p>
        </w:tc>
        <w:tc>
          <w:tcPr>
            <w:tcW w:type="dxa" w:w="3383"/>
            <w:shd w:fill="174EA6"/>
          </w:tcPr>
          <w:p>
            <w:pPr>
              <w:spacing w:after="0"/>
            </w:pPr>
            <w:r>
              <w:rPr>
                <w:b/>
                <w:color w:val="FFFFFF"/>
                <w:sz w:val="14"/>
              </w:rPr>
              <w:t>Required tests</w:t>
            </w:r>
          </w:p>
        </w:tc>
        <w:tc>
          <w:tcPr>
            <w:tcW w:type="dxa" w:w="3383"/>
            <w:shd w:fill="174EA6"/>
          </w:tcPr>
          <w:p>
            <w:pPr>
              <w:spacing w:after="0"/>
            </w:pPr>
            <w:r>
              <w:rPr>
                <w:b/>
                <w:color w:val="FFFFFF"/>
                <w:sz w:val="14"/>
              </w:rPr>
              <w:t>Failure action</w:t>
            </w:r>
          </w:p>
        </w:tc>
      </w:tr>
      <w:tr>
        <w:tc>
          <w:tcPr>
            <w:tcW w:type="dxa" w:w="3383"/>
            <w:vAlign w:val="top"/>
          </w:tcPr>
          <w:p>
            <w:pPr>
              <w:spacing w:after="0"/>
            </w:pPr>
            <w:r>
              <w:rPr>
                <w:sz w:val="14"/>
              </w:rPr>
              <w:t>Source authorization</w:t>
            </w:r>
          </w:p>
        </w:tc>
        <w:tc>
          <w:tcPr>
            <w:tcW w:type="dxa" w:w="3383"/>
            <w:vAlign w:val="top"/>
          </w:tcPr>
          <w:p>
            <w:pPr>
              <w:spacing w:after="0"/>
            </w:pPr>
            <w:r>
              <w:rPr>
                <w:sz w:val="14"/>
              </w:rPr>
              <w:t>Identity, private path, certificate/secret and approved source scope</w:t>
            </w:r>
          </w:p>
        </w:tc>
        <w:tc>
          <w:tcPr>
            <w:tcW w:type="dxa" w:w="3383"/>
            <w:vAlign w:val="top"/>
          </w:tcPr>
          <w:p>
            <w:pPr>
              <w:spacing w:after="0"/>
            </w:pPr>
            <w:r>
              <w:rPr>
                <w:sz w:val="14"/>
              </w:rPr>
              <w:t>Reject and open security/connection incident</w:t>
            </w:r>
          </w:p>
        </w:tc>
      </w:tr>
      <w:tr>
        <w:tc>
          <w:tcPr>
            <w:tcW w:type="dxa" w:w="3383"/>
            <w:shd w:fill="F7F8F9"/>
            <w:vAlign w:val="top"/>
          </w:tcPr>
          <w:p>
            <w:pPr>
              <w:spacing w:after="0"/>
            </w:pPr>
            <w:r>
              <w:rPr>
                <w:sz w:val="14"/>
              </w:rPr>
              <w:t>Arrival / event contract</w:t>
            </w:r>
          </w:p>
        </w:tc>
        <w:tc>
          <w:tcPr>
            <w:tcW w:type="dxa" w:w="3383"/>
            <w:shd w:fill="F7F8F9"/>
            <w:vAlign w:val="top"/>
          </w:tcPr>
          <w:p>
            <w:pPr>
              <w:spacing w:after="0"/>
            </w:pPr>
            <w:r>
              <w:rPr>
                <w:sz w:val="14"/>
              </w:rPr>
              <w:t>Manifest/checksum or message schema, event ID and timestamp</w:t>
            </w:r>
          </w:p>
        </w:tc>
        <w:tc>
          <w:tcPr>
            <w:tcW w:type="dxa" w:w="3383"/>
            <w:shd w:fill="F7F8F9"/>
            <w:vAlign w:val="top"/>
          </w:tcPr>
          <w:p>
            <w:pPr>
              <w:spacing w:after="0"/>
            </w:pPr>
            <w:r>
              <w:rPr>
                <w:sz w:val="14"/>
              </w:rPr>
              <w:t>Quarantine or dead-letter; no silent drop</w:t>
            </w:r>
          </w:p>
        </w:tc>
      </w:tr>
      <w:tr>
        <w:tc>
          <w:tcPr>
            <w:tcW w:type="dxa" w:w="3383"/>
            <w:vAlign w:val="top"/>
          </w:tcPr>
          <w:p>
            <w:pPr>
              <w:spacing w:after="0"/>
            </w:pPr>
            <w:r>
              <w:rPr>
                <w:sz w:val="14"/>
              </w:rPr>
              <w:t>Standardization</w:t>
            </w:r>
          </w:p>
        </w:tc>
        <w:tc>
          <w:tcPr>
            <w:tcW w:type="dxa" w:w="3383"/>
            <w:vAlign w:val="top"/>
          </w:tcPr>
          <w:p>
            <w:pPr>
              <w:spacing w:after="0"/>
            </w:pPr>
            <w:r>
              <w:rPr>
                <w:sz w:val="14"/>
              </w:rPr>
              <w:t>Type, code set, canonical entity, duplicate and late-data behavior</w:t>
            </w:r>
          </w:p>
        </w:tc>
        <w:tc>
          <w:tcPr>
            <w:tcW w:type="dxa" w:w="3383"/>
            <w:vAlign w:val="top"/>
          </w:tcPr>
          <w:p>
            <w:pPr>
              <w:spacing w:after="0"/>
            </w:pPr>
            <w:r>
              <w:rPr>
                <w:sz w:val="14"/>
              </w:rPr>
              <w:t>Side output or fail interval by severity</w:t>
            </w:r>
          </w:p>
        </w:tc>
      </w:tr>
      <w:tr>
        <w:tc>
          <w:tcPr>
            <w:tcW w:type="dxa" w:w="3383"/>
            <w:shd w:fill="F7F8F9"/>
            <w:vAlign w:val="top"/>
          </w:tcPr>
          <w:p>
            <w:pPr>
              <w:spacing w:after="0"/>
            </w:pPr>
            <w:r>
              <w:rPr>
                <w:sz w:val="14"/>
              </w:rPr>
              <w:t>Reconciliation</w:t>
            </w:r>
          </w:p>
        </w:tc>
        <w:tc>
          <w:tcPr>
            <w:tcW w:type="dxa" w:w="3383"/>
            <w:shd w:fill="F7F8F9"/>
            <w:vAlign w:val="top"/>
          </w:tcPr>
          <w:p>
            <w:pPr>
              <w:spacing w:after="0"/>
            </w:pPr>
            <w:r>
              <w:rPr>
                <w:sz w:val="14"/>
              </w:rPr>
              <w:t>Counts, amounts/quantities, hashes, coverage and source-to-target balance</w:t>
            </w:r>
          </w:p>
        </w:tc>
        <w:tc>
          <w:tcPr>
            <w:tcW w:type="dxa" w:w="3383"/>
            <w:shd w:fill="F7F8F9"/>
            <w:vAlign w:val="top"/>
          </w:tcPr>
          <w:p>
            <w:pPr>
              <w:spacing w:after="0"/>
            </w:pPr>
            <w:r>
              <w:rPr>
                <w:sz w:val="14"/>
              </w:rPr>
              <w:t>Block certification and consumer publication</w:t>
            </w:r>
          </w:p>
        </w:tc>
      </w:tr>
      <w:tr>
        <w:tc>
          <w:tcPr>
            <w:tcW w:type="dxa" w:w="3383"/>
            <w:vAlign w:val="top"/>
          </w:tcPr>
          <w:p>
            <w:pPr>
              <w:spacing w:after="0"/>
            </w:pPr>
            <w:r>
              <w:rPr>
                <w:sz w:val="14"/>
              </w:rPr>
              <w:t>Replay/backfill</w:t>
            </w:r>
          </w:p>
        </w:tc>
        <w:tc>
          <w:tcPr>
            <w:tcW w:type="dxa" w:w="3383"/>
            <w:vAlign w:val="top"/>
          </w:tcPr>
          <w:p>
            <w:pPr>
              <w:spacing w:after="0"/>
            </w:pPr>
            <w:r>
              <w:rPr>
                <w:sz w:val="14"/>
              </w:rPr>
              <w:t>Bounded range, original IDs, isolated capacity and privacy/retention policy</w:t>
            </w:r>
          </w:p>
        </w:tc>
        <w:tc>
          <w:tcPr>
            <w:tcW w:type="dxa" w:w="3383"/>
            <w:vAlign w:val="top"/>
          </w:tcPr>
          <w:p>
            <w:pPr>
              <w:spacing w:after="0"/>
            </w:pPr>
            <w:r>
              <w:rPr>
                <w:sz w:val="14"/>
              </w:rPr>
              <w:t>Stop if idempotency or reconciliation fails</w:t>
            </w:r>
          </w:p>
        </w:tc>
      </w:tr>
      <w:tr>
        <w:tc>
          <w:tcPr>
            <w:tcW w:type="dxa" w:w="3383"/>
            <w:shd w:fill="F7F8F9"/>
            <w:vAlign w:val="top"/>
          </w:tcPr>
          <w:p>
            <w:pPr>
              <w:spacing w:after="0"/>
            </w:pPr>
            <w:r>
              <w:rPr>
                <w:sz w:val="14"/>
              </w:rPr>
              <w:t>Closure</w:t>
            </w:r>
          </w:p>
        </w:tc>
        <w:tc>
          <w:tcPr>
            <w:tcW w:type="dxa" w:w="3383"/>
            <w:shd w:fill="F7F8F9"/>
            <w:vAlign w:val="top"/>
          </w:tcPr>
          <w:p>
            <w:pPr>
              <w:spacing w:after="0"/>
            </w:pPr>
            <w:r>
              <w:rPr>
                <w:sz w:val="14"/>
              </w:rPr>
              <w:t>Evidence, owner, corrective action, downstream communication and rule update</w:t>
            </w:r>
          </w:p>
        </w:tc>
        <w:tc>
          <w:tcPr>
            <w:tcW w:type="dxa" w:w="3383"/>
            <w:shd w:fill="F7F8F9"/>
            <w:vAlign w:val="top"/>
          </w:tcPr>
          <w:p>
            <w:pPr>
              <w:spacing w:after="0"/>
            </w:pPr>
            <w:r>
              <w:rPr>
                <w:sz w:val="14"/>
              </w:rPr>
              <w:t>Incident/problem record remains open until verified</w:t>
            </w:r>
          </w:p>
        </w:tc>
      </w:tr>
    </w:tbl>
    <w:p>
      <w:pPr>
        <w:spacing w:after="0"/>
      </w:pPr>
    </w:p>
    <w:p>
      <w:r>
        <w:br w:type="page"/>
      </w:r>
    </w:p>
    <w:p>
      <w:pPr>
        <w:pStyle w:val="Heading2"/>
      </w:pPr>
      <w:r>
        <w:t>4.23 Analytics KPI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Business capability</w:t>
            </w:r>
          </w:p>
        </w:tc>
        <w:tc>
          <w:tcPr>
            <w:tcW w:type="dxa" w:w="2030"/>
            <w:shd w:fill="174EA6"/>
          </w:tcPr>
          <w:p>
            <w:pPr>
              <w:spacing w:after="0"/>
            </w:pPr>
            <w:r>
              <w:rPr>
                <w:b/>
                <w:color w:val="FFFFFF"/>
                <w:sz w:val="13"/>
              </w:rPr>
              <w:t>KPI ID</w:t>
            </w:r>
          </w:p>
        </w:tc>
        <w:tc>
          <w:tcPr>
            <w:tcW w:type="dxa" w:w="2030"/>
            <w:shd w:fill="174EA6"/>
          </w:tcPr>
          <w:p>
            <w:pPr>
              <w:spacing w:after="0"/>
            </w:pPr>
            <w:r>
              <w:rPr>
                <w:b/>
                <w:color w:val="FFFFFF"/>
                <w:sz w:val="13"/>
              </w:rPr>
              <w:t>Definition standard</w:t>
            </w:r>
          </w:p>
        </w:tc>
        <w:tc>
          <w:tcPr>
            <w:tcW w:type="dxa" w:w="2030"/>
            <w:shd w:fill="174EA6"/>
          </w:tcPr>
          <w:p>
            <w:pPr>
              <w:spacing w:after="0"/>
            </w:pPr>
            <w:r>
              <w:rPr>
                <w:b/>
                <w:color w:val="FFFFFF"/>
                <w:sz w:val="13"/>
              </w:rPr>
              <w:t>Owner</w:t>
            </w:r>
          </w:p>
        </w:tc>
        <w:tc>
          <w:tcPr>
            <w:tcW w:type="dxa" w:w="2030"/>
            <w:shd w:fill="174EA6"/>
          </w:tcPr>
          <w:p>
            <w:pPr>
              <w:spacing w:after="0"/>
            </w:pPr>
            <w:r>
              <w:rPr>
                <w:b/>
                <w:color w:val="FFFFFF"/>
                <w:sz w:val="13"/>
              </w:rPr>
              <w:t>Dashboard control</w:t>
            </w:r>
          </w:p>
        </w:tc>
      </w:tr>
      <w:tr>
        <w:tc>
          <w:tcPr>
            <w:tcW w:type="dxa" w:w="2030"/>
            <w:vAlign w:val="top"/>
          </w:tcPr>
          <w:p>
            <w:pPr>
              <w:spacing w:after="0"/>
            </w:pPr>
            <w:r>
              <w:rPr>
                <w:sz w:val="13"/>
              </w:rPr>
              <w:t>Patient identity and longitudinal record</w:t>
            </w:r>
          </w:p>
        </w:tc>
        <w:tc>
          <w:tcPr>
            <w:tcW w:type="dxa" w:w="2030"/>
            <w:vAlign w:val="top"/>
          </w:tcPr>
          <w:p>
            <w:pPr>
              <w:spacing w:after="0"/>
            </w:pPr>
            <w:r>
              <w:rPr>
                <w:sz w:val="13"/>
              </w:rPr>
              <w:t>healthcare_kpi_01</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Clinical interoperability and encounter processing</w:t>
            </w:r>
          </w:p>
        </w:tc>
        <w:tc>
          <w:tcPr>
            <w:tcW w:type="dxa" w:w="2030"/>
            <w:shd w:fill="F7F8F9"/>
            <w:vAlign w:val="top"/>
          </w:tcPr>
          <w:p>
            <w:pPr>
              <w:spacing w:after="0"/>
            </w:pPr>
            <w:r>
              <w:rPr>
                <w:sz w:val="13"/>
              </w:rPr>
              <w:t>healthcare_kpi_02</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Claims, utilization and revenue-cycle analytics</w:t>
            </w:r>
          </w:p>
        </w:tc>
        <w:tc>
          <w:tcPr>
            <w:tcW w:type="dxa" w:w="2030"/>
            <w:vAlign w:val="top"/>
          </w:tcPr>
          <w:p>
            <w:pPr>
              <w:spacing w:after="0"/>
            </w:pPr>
            <w:r>
              <w:rPr>
                <w:sz w:val="13"/>
              </w:rPr>
              <w:t>healthcare_kpi_03</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Population health and quality measurement</w:t>
            </w:r>
          </w:p>
        </w:tc>
        <w:tc>
          <w:tcPr>
            <w:tcW w:type="dxa" w:w="2030"/>
            <w:shd w:fill="F7F8F9"/>
            <w:vAlign w:val="top"/>
          </w:tcPr>
          <w:p>
            <w:pPr>
              <w:spacing w:after="0"/>
            </w:pPr>
            <w:r>
              <w:rPr>
                <w:sz w:val="13"/>
              </w:rPr>
              <w:t>healthcare_kpi_04</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Imaging and laboratory analytics</w:t>
            </w:r>
          </w:p>
        </w:tc>
        <w:tc>
          <w:tcPr>
            <w:tcW w:type="dxa" w:w="2030"/>
            <w:vAlign w:val="top"/>
          </w:tcPr>
          <w:p>
            <w:pPr>
              <w:spacing w:after="0"/>
            </w:pPr>
            <w:r>
              <w:rPr>
                <w:sz w:val="13"/>
              </w:rPr>
              <w:t>healthcare_kpi_05</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Care operations and capacity optimization</w:t>
            </w:r>
          </w:p>
        </w:tc>
        <w:tc>
          <w:tcPr>
            <w:tcW w:type="dxa" w:w="2030"/>
            <w:shd w:fill="F7F8F9"/>
            <w:vAlign w:val="top"/>
          </w:tcPr>
          <w:p>
            <w:pPr>
              <w:spacing w:after="0"/>
            </w:pPr>
            <w:r>
              <w:rPr>
                <w:sz w:val="13"/>
              </w:rPr>
              <w:t>healthcare_kpi_06</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Research and de-identified data access</w:t>
            </w:r>
          </w:p>
        </w:tc>
        <w:tc>
          <w:tcPr>
            <w:tcW w:type="dxa" w:w="2030"/>
            <w:vAlign w:val="top"/>
          </w:tcPr>
          <w:p>
            <w:pPr>
              <w:spacing w:after="0"/>
            </w:pPr>
            <w:r>
              <w:rPr>
                <w:sz w:val="13"/>
              </w:rPr>
              <w:t>healthcare_kpi_07</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Clinical knowledge retrieval and assisted workflows</w:t>
            </w:r>
          </w:p>
        </w:tc>
        <w:tc>
          <w:tcPr>
            <w:tcW w:type="dxa" w:w="2030"/>
            <w:shd w:fill="F7F8F9"/>
            <w:vAlign w:val="top"/>
          </w:tcPr>
          <w:p>
            <w:pPr>
              <w:spacing w:after="0"/>
            </w:pPr>
            <w:r>
              <w:rPr>
                <w:sz w:val="13"/>
              </w:rPr>
              <w:t>healthcare_kpi_08</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E6F4EA"/>
          </w:tcPr>
          <w:p>
            <w:r>
              <w:rPr>
                <w:b/>
                <w:color w:val="17365D"/>
              </w:rPr>
              <w:t xml:space="preserve">KPI governance - </w:t>
            </w:r>
            <w:r>
              <w:t>Regulatory and executive measures require a named business owner, formula, grain, time basis, exclusions, unit/currency, source reconciliation and change approval.</w:t>
            </w:r>
          </w:p>
        </w:tc>
        <w:trPr>
          <w:tblHeader/>
        </w:trPr>
      </w:tr>
    </w:tbl>
    <w:p>
      <w:pPr>
        <w:spacing w:after="0"/>
      </w:pPr>
    </w:p>
    <w:p>
      <w:r>
        <w:br w:type="page"/>
      </w:r>
    </w:p>
    <w:p>
      <w:pPr>
        <w:pStyle w:val="Heading2"/>
      </w:pPr>
      <w:r>
        <w:t>4.24 AI Evaluation and Model-System Card</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AI use case</w:t>
            </w:r>
          </w:p>
        </w:tc>
        <w:tc>
          <w:tcPr>
            <w:tcW w:type="dxa" w:w="2537"/>
            <w:shd w:fill="174EA6"/>
          </w:tcPr>
          <w:p>
            <w:pPr>
              <w:spacing w:after="0"/>
            </w:pPr>
            <w:r>
              <w:rPr>
                <w:b/>
                <w:color w:val="FFFFFF"/>
                <w:sz w:val="13"/>
              </w:rPr>
              <w:t>Evaluation suite</w:t>
            </w:r>
          </w:p>
        </w:tc>
        <w:tc>
          <w:tcPr>
            <w:tcW w:type="dxa" w:w="2537"/>
            <w:shd w:fill="174EA6"/>
          </w:tcPr>
          <w:p>
            <w:pPr>
              <w:spacing w:after="0"/>
            </w:pPr>
            <w:r>
              <w:rPr>
                <w:b/>
                <w:color w:val="FFFFFF"/>
                <w:sz w:val="13"/>
              </w:rPr>
              <w:t>Human control</w:t>
            </w:r>
          </w:p>
        </w:tc>
        <w:tc>
          <w:tcPr>
            <w:tcW w:type="dxa" w:w="2537"/>
            <w:shd w:fill="174EA6"/>
          </w:tcPr>
          <w:p>
            <w:pPr>
              <w:spacing w:after="0"/>
            </w:pPr>
            <w:r>
              <w:rPr>
                <w:b/>
                <w:color w:val="FFFFFF"/>
                <w:sz w:val="13"/>
              </w:rPr>
              <w:t>Rollback</w:t>
            </w:r>
          </w:p>
        </w:tc>
      </w:tr>
      <w:tr>
        <w:tc>
          <w:tcPr>
            <w:tcW w:type="dxa" w:w="2537"/>
            <w:vAlign w:val="top"/>
          </w:tcPr>
          <w:p>
            <w:pPr>
              <w:spacing w:after="0"/>
            </w:pPr>
            <w:r>
              <w:rPr>
                <w:sz w:val="13"/>
              </w:rPr>
              <w:t>Clinical knowledge RAG grounded only in approved policies and literature</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Care-gap prioritization with human review</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Readmission and deterioration risk support</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Document summarization with provenance and clinical validation</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Coding and prior-authorization assistance</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Imaging workflow prioritization without autonomous diagnosis</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Operations agent for bed, staffing and discharge coordination</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System-card field</w:t>
            </w:r>
          </w:p>
        </w:tc>
        <w:tc>
          <w:tcPr>
            <w:tcW w:type="dxa" w:w="5074"/>
            <w:shd w:fill="174EA6"/>
          </w:tcPr>
          <w:p>
            <w:pPr>
              <w:spacing w:after="0"/>
            </w:pPr>
            <w:r>
              <w:rPr>
                <w:b/>
                <w:color w:val="FFFFFF"/>
                <w:sz w:val="14"/>
              </w:rPr>
              <w:t>Required record</w:t>
            </w:r>
          </w:p>
        </w:tc>
      </w:tr>
      <w:tr>
        <w:tc>
          <w:tcPr>
            <w:tcW w:type="dxa" w:w="5074"/>
            <w:vAlign w:val="top"/>
          </w:tcPr>
          <w:p>
            <w:pPr>
              <w:spacing w:after="0"/>
            </w:pPr>
            <w:r>
              <w:rPr>
                <w:sz w:val="14"/>
              </w:rPr>
              <w:t>Intended/prohibited use</w:t>
            </w:r>
          </w:p>
        </w:tc>
        <w:tc>
          <w:tcPr>
            <w:tcW w:type="dxa" w:w="5074"/>
            <w:vAlign w:val="top"/>
          </w:tcPr>
          <w:p>
            <w:pPr>
              <w:spacing w:after="0"/>
            </w:pPr>
            <w:r>
              <w:rPr>
                <w:sz w:val="14"/>
              </w:rPr>
              <w:t>Authorized users, workflow, jurisdictions, decision role and explicit prohibited actions</w:t>
            </w:r>
          </w:p>
        </w:tc>
      </w:tr>
      <w:tr>
        <w:tc>
          <w:tcPr>
            <w:tcW w:type="dxa" w:w="5074"/>
            <w:shd w:fill="F7F8F9"/>
            <w:vAlign w:val="top"/>
          </w:tcPr>
          <w:p>
            <w:pPr>
              <w:spacing w:after="0"/>
            </w:pPr>
            <w:r>
              <w:rPr>
                <w:sz w:val="14"/>
              </w:rPr>
              <w:t>Data and model</w:t>
            </w:r>
          </w:p>
        </w:tc>
        <w:tc>
          <w:tcPr>
            <w:tcW w:type="dxa" w:w="5074"/>
            <w:shd w:fill="F7F8F9"/>
            <w:vAlign w:val="top"/>
          </w:tcPr>
          <w:p>
            <w:pPr>
              <w:spacing w:after="0"/>
            </w:pPr>
            <w:r>
              <w:rPr>
                <w:sz w:val="14"/>
              </w:rPr>
              <w:t>Approved product versions, model/version/region, prompt, retrieval/index and tool catalog</w:t>
            </w:r>
          </w:p>
        </w:tc>
      </w:tr>
      <w:tr>
        <w:tc>
          <w:tcPr>
            <w:tcW w:type="dxa" w:w="5074"/>
            <w:vAlign w:val="top"/>
          </w:tcPr>
          <w:p>
            <w:pPr>
              <w:spacing w:after="0"/>
            </w:pPr>
            <w:r>
              <w:rPr>
                <w:sz w:val="14"/>
              </w:rPr>
              <w:t>Performance and safety</w:t>
            </w:r>
          </w:p>
        </w:tc>
        <w:tc>
          <w:tcPr>
            <w:tcW w:type="dxa" w:w="5074"/>
            <w:vAlign w:val="top"/>
          </w:tcPr>
          <w:p>
            <w:pPr>
              <w:spacing w:after="0"/>
            </w:pPr>
            <w:r>
              <w:rPr>
                <w:sz w:val="14"/>
              </w:rPr>
              <w:t>Primary and segment metrics, groundedness/citations, robustness, privacy and red-team evidence</w:t>
            </w:r>
          </w:p>
        </w:tc>
      </w:tr>
      <w:tr>
        <w:tc>
          <w:tcPr>
            <w:tcW w:type="dxa" w:w="5074"/>
            <w:shd w:fill="F7F8F9"/>
            <w:vAlign w:val="top"/>
          </w:tcPr>
          <w:p>
            <w:pPr>
              <w:spacing w:after="0"/>
            </w:pPr>
            <w:r>
              <w:rPr>
                <w:sz w:val="14"/>
              </w:rPr>
              <w:t>Operations</w:t>
            </w:r>
          </w:p>
        </w:tc>
        <w:tc>
          <w:tcPr>
            <w:tcW w:type="dxa" w:w="5074"/>
            <w:shd w:fill="F7F8F9"/>
            <w:vAlign w:val="top"/>
          </w:tcPr>
          <w:p>
            <w:pPr>
              <w:spacing w:after="0"/>
            </w:pPr>
            <w:r>
              <w:rPr>
                <w:sz w:val="14"/>
              </w:rPr>
              <w:t>SLO, quotas, monitoring, feedback, incident, rollback, DR and periodic review</w:t>
            </w:r>
          </w:p>
        </w:tc>
      </w:tr>
      <w:tr>
        <w:tc>
          <w:tcPr>
            <w:tcW w:type="dxa" w:w="5074"/>
            <w:vAlign w:val="top"/>
          </w:tcPr>
          <w:p>
            <w:pPr>
              <w:spacing w:after="0"/>
            </w:pPr>
            <w:r>
              <w:rPr>
                <w:sz w:val="14"/>
              </w:rPr>
              <w:t>Accountability</w:t>
            </w:r>
          </w:p>
        </w:tc>
        <w:tc>
          <w:tcPr>
            <w:tcW w:type="dxa" w:w="5074"/>
            <w:vAlign w:val="top"/>
          </w:tcPr>
          <w:p>
            <w:pPr>
              <w:spacing w:after="0"/>
            </w:pPr>
            <w:r>
              <w:rPr>
                <w:sz w:val="14"/>
              </w:rPr>
              <w:t>Business owner, AI product owner, validators, security/privacy/legal and human decision authority</w:t>
            </w:r>
          </w:p>
        </w:tc>
      </w:tr>
    </w:tbl>
    <w:p>
      <w:pPr>
        <w:spacing w:after="0"/>
      </w:pPr>
    </w:p>
    <w:p>
      <w:r>
        <w:br w:type="page"/>
      </w:r>
    </w:p>
    <w:p>
      <w:pPr>
        <w:pStyle w:val="Heading2"/>
      </w:pPr>
      <w:r>
        <w:t>4.25 Security and Regulatory Control Mapping</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Industry control</w:t>
            </w:r>
          </w:p>
        </w:tc>
        <w:tc>
          <w:tcPr>
            <w:tcW w:type="dxa" w:w="2537"/>
            <w:shd w:fill="174EA6"/>
          </w:tcPr>
          <w:p>
            <w:pPr>
              <w:spacing w:after="0"/>
            </w:pPr>
            <w:r>
              <w:rPr>
                <w:b/>
                <w:color w:val="FFFFFF"/>
                <w:sz w:val="13"/>
              </w:rPr>
              <w:t>Implementation type</w:t>
            </w:r>
          </w:p>
        </w:tc>
        <w:tc>
          <w:tcPr>
            <w:tcW w:type="dxa" w:w="2537"/>
            <w:shd w:fill="174EA6"/>
          </w:tcPr>
          <w:p>
            <w:pPr>
              <w:spacing w:after="0"/>
            </w:pPr>
            <w:r>
              <w:rPr>
                <w:b/>
                <w:color w:val="FFFFFF"/>
                <w:sz w:val="13"/>
              </w:rPr>
              <w:t>Evidence</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HIPAA-eligible service and BAA validation</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Regional PHI projects and VPC Service Controls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CMEK for PHI stores where required and supported</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Cloud Healthcare API de-identification plus Sensitive Data Protection</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Purpose-of-use and consent checks before data disclosure</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Break-glass clinical access with justification and post-use review</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No PHI in general telemetry or model evaluation logs</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Human oversight for clinical recommendations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Compliance boundary - </w:t>
            </w:r>
            <w:r>
              <w:t>This mapping supports control design and evidence collection; legal counsel and qualified assessors determine applicability and compliance conclusions.</w:t>
            </w:r>
          </w:p>
        </w:tc>
        <w:trPr>
          <w:tblHeader/>
        </w:trPr>
      </w:tr>
    </w:tbl>
    <w:p>
      <w:pPr>
        <w:spacing w:after="0"/>
      </w:pPr>
    </w:p>
    <w:p>
      <w:r>
        <w:br w:type="page"/>
      </w:r>
    </w:p>
    <w:p>
      <w:pPr>
        <w:pStyle w:val="Heading2"/>
      </w:pPr>
      <w:r>
        <w:t>4.26 Network Flows and Trust Boundaries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Flow</w:t>
            </w:r>
          </w:p>
        </w:tc>
        <w:tc>
          <w:tcPr>
            <w:tcW w:type="dxa" w:w="2537"/>
            <w:shd w:fill="174EA6"/>
          </w:tcPr>
          <w:p>
            <w:pPr>
              <w:spacing w:after="0"/>
            </w:pPr>
            <w:r>
              <w:rPr>
                <w:b/>
                <w:color w:val="FFFFFF"/>
                <w:sz w:val="13"/>
              </w:rPr>
              <w:t>Source -&gt; destination</w:t>
            </w:r>
          </w:p>
        </w:tc>
        <w:tc>
          <w:tcPr>
            <w:tcW w:type="dxa" w:w="2537"/>
            <w:shd w:fill="174EA6"/>
          </w:tcPr>
          <w:p>
            <w:pPr>
              <w:spacing w:after="0"/>
            </w:pPr>
            <w:r>
              <w:rPr>
                <w:b/>
                <w:color w:val="FFFFFF"/>
                <w:sz w:val="13"/>
              </w:rPr>
              <w:t>Protocol / path</w:t>
            </w:r>
          </w:p>
        </w:tc>
        <w:tc>
          <w:tcPr>
            <w:tcW w:type="dxa" w:w="2537"/>
            <w:shd w:fill="174EA6"/>
          </w:tcPr>
          <w:p>
            <w:pPr>
              <w:spacing w:after="0"/>
            </w:pPr>
            <w:r>
              <w:rPr>
                <w:b/>
                <w:color w:val="FFFFFF"/>
                <w:sz w:val="13"/>
              </w:rPr>
              <w:t>Authorization and control</w:t>
            </w:r>
          </w:p>
        </w:tc>
      </w:tr>
      <w:tr>
        <w:tc>
          <w:tcPr>
            <w:tcW w:type="dxa" w:w="2537"/>
            <w:vAlign w:val="top"/>
          </w:tcPr>
          <w:p>
            <w:pPr>
              <w:spacing w:after="0"/>
            </w:pPr>
            <w:r>
              <w:rPr>
                <w:sz w:val="13"/>
              </w:rPr>
              <w:t>Hybrid ingestion</w:t>
            </w:r>
          </w:p>
        </w:tc>
        <w:tc>
          <w:tcPr>
            <w:tcW w:type="dxa" w:w="2537"/>
            <w:vAlign w:val="top"/>
          </w:tcPr>
          <w:p>
            <w:pPr>
              <w:spacing w:after="0"/>
            </w:pPr>
            <w:r>
              <w:rPr>
                <w:sz w:val="13"/>
              </w:rPr>
              <w:t>Industry source -&gt; regional ingestion project</w:t>
            </w:r>
          </w:p>
        </w:tc>
        <w:tc>
          <w:tcPr>
            <w:tcW w:type="dxa" w:w="2537"/>
            <w:vAlign w:val="top"/>
          </w:tcPr>
          <w:p>
            <w:pPr>
              <w:spacing w:after="0"/>
            </w:pPr>
            <w:r>
              <w:rPr>
                <w:sz w:val="13"/>
              </w:rPr>
              <w:t>Interconnect/VPN/private endpoint/API</w:t>
            </w:r>
          </w:p>
        </w:tc>
        <w:tc>
          <w:tcPr>
            <w:tcW w:type="dxa" w:w="2537"/>
            <w:vAlign w:val="top"/>
          </w:tcPr>
          <w:p>
            <w:pPr>
              <w:spacing w:after="0"/>
            </w:pPr>
            <w:r>
              <w:rPr>
                <w:sz w:val="13"/>
              </w:rPr>
              <w:t>Workload identity, source allowlist, encryption and schema contract</w:t>
            </w:r>
          </w:p>
        </w:tc>
      </w:tr>
      <w:tr>
        <w:tc>
          <w:tcPr>
            <w:tcW w:type="dxa" w:w="2537"/>
            <w:shd w:fill="F7F8F9"/>
            <w:vAlign w:val="top"/>
          </w:tcPr>
          <w:p>
            <w:pPr>
              <w:spacing w:after="0"/>
            </w:pPr>
            <w:r>
              <w:rPr>
                <w:sz w:val="13"/>
              </w:rPr>
              <w:t>Managed data processing</w:t>
            </w:r>
          </w:p>
        </w:tc>
        <w:tc>
          <w:tcPr>
            <w:tcW w:type="dxa" w:w="2537"/>
            <w:shd w:fill="F7F8F9"/>
            <w:vAlign w:val="top"/>
          </w:tcPr>
          <w:p>
            <w:pPr>
              <w:spacing w:after="0"/>
            </w:pPr>
            <w:r>
              <w:rPr>
                <w:sz w:val="13"/>
              </w:rPr>
              <w:t>Ingestion runtime -&gt; Cloud Storage/BigQuery/Pub/Sub</w:t>
            </w:r>
          </w:p>
        </w:tc>
        <w:tc>
          <w:tcPr>
            <w:tcW w:type="dxa" w:w="2537"/>
            <w:shd w:fill="F7F8F9"/>
            <w:vAlign w:val="top"/>
          </w:tcPr>
          <w:p>
            <w:pPr>
              <w:spacing w:after="0"/>
            </w:pPr>
            <w:r>
              <w:rPr>
                <w:sz w:val="13"/>
              </w:rPr>
              <w:t>Private Google API path/PSC where supported</w:t>
            </w:r>
          </w:p>
        </w:tc>
        <w:tc>
          <w:tcPr>
            <w:tcW w:type="dxa" w:w="2537"/>
            <w:shd w:fill="F7F8F9"/>
            <w:vAlign w:val="top"/>
          </w:tcPr>
          <w:p>
            <w:pPr>
              <w:spacing w:after="0"/>
            </w:pPr>
            <w:r>
              <w:rPr>
                <w:sz w:val="13"/>
              </w:rPr>
              <w:t>Dedicated SA, VPC SC, CMEK and egress policy</w:t>
            </w:r>
          </w:p>
        </w:tc>
      </w:tr>
      <w:tr>
        <w:tc>
          <w:tcPr>
            <w:tcW w:type="dxa" w:w="2537"/>
            <w:vAlign w:val="top"/>
          </w:tcPr>
          <w:p>
            <w:pPr>
              <w:spacing w:after="0"/>
            </w:pPr>
            <w:r>
              <w:rPr>
                <w:sz w:val="13"/>
              </w:rPr>
              <w:t>Analytics</w:t>
            </w:r>
          </w:p>
        </w:tc>
        <w:tc>
          <w:tcPr>
            <w:tcW w:type="dxa" w:w="2537"/>
            <w:vAlign w:val="top"/>
          </w:tcPr>
          <w:p>
            <w:pPr>
              <w:spacing w:after="0"/>
            </w:pPr>
            <w:r>
              <w:rPr>
                <w:sz w:val="13"/>
              </w:rPr>
              <w:t>Looker/authorized consumer -&gt; curated/semantic product</w:t>
            </w:r>
          </w:p>
        </w:tc>
        <w:tc>
          <w:tcPr>
            <w:tcW w:type="dxa" w:w="2537"/>
            <w:vAlign w:val="top"/>
          </w:tcPr>
          <w:p>
            <w:pPr>
              <w:spacing w:after="0"/>
            </w:pPr>
            <w:r>
              <w:rPr>
                <w:sz w:val="13"/>
              </w:rPr>
              <w:t>Approved Google API/application path</w:t>
            </w:r>
          </w:p>
        </w:tc>
        <w:tc>
          <w:tcPr>
            <w:tcW w:type="dxa" w:w="2537"/>
            <w:vAlign w:val="top"/>
          </w:tcPr>
          <w:p>
            <w:pPr>
              <w:spacing w:after="0"/>
            </w:pPr>
            <w:r>
              <w:rPr>
                <w:sz w:val="13"/>
              </w:rPr>
              <w:t>Group/attribute access, row/column policy and audit</w:t>
            </w:r>
          </w:p>
        </w:tc>
      </w:tr>
      <w:tr>
        <w:tc>
          <w:tcPr>
            <w:tcW w:type="dxa" w:w="2537"/>
            <w:shd w:fill="F7F8F9"/>
            <w:vAlign w:val="top"/>
          </w:tcPr>
          <w:p>
            <w:pPr>
              <w:spacing w:after="0"/>
            </w:pPr>
            <w:r>
              <w:rPr>
                <w:sz w:val="13"/>
              </w:rPr>
              <w:t>AI retrieval</w:t>
            </w:r>
          </w:p>
        </w:tc>
        <w:tc>
          <w:tcPr>
            <w:tcW w:type="dxa" w:w="2537"/>
            <w:shd w:fill="F7F8F9"/>
            <w:vAlign w:val="top"/>
          </w:tcPr>
          <w:p>
            <w:pPr>
              <w:spacing w:after="0"/>
            </w:pPr>
            <w:r>
              <w:rPr>
                <w:sz w:val="13"/>
              </w:rPr>
              <w:t>Agent/application -&gt; approved data product/corpus/index</w:t>
            </w:r>
          </w:p>
        </w:tc>
        <w:tc>
          <w:tcPr>
            <w:tcW w:type="dxa" w:w="2537"/>
            <w:shd w:fill="F7F8F9"/>
            <w:vAlign w:val="top"/>
          </w:tcPr>
          <w:p>
            <w:pPr>
              <w:spacing w:after="0"/>
            </w:pPr>
            <w:r>
              <w:rPr>
                <w:sz w:val="13"/>
              </w:rPr>
              <w:t>Private managed-service path where supported</w:t>
            </w:r>
          </w:p>
        </w:tc>
        <w:tc>
          <w:tcPr>
            <w:tcW w:type="dxa" w:w="2537"/>
            <w:shd w:fill="F7F8F9"/>
            <w:vAlign w:val="top"/>
          </w:tcPr>
          <w:p>
            <w:pPr>
              <w:spacing w:after="0"/>
            </w:pPr>
            <w:r>
              <w:rPr>
                <w:sz w:val="13"/>
              </w:rPr>
              <w:t>Caller identity, purpose/ACL filter, safety and citation controls</w:t>
            </w:r>
          </w:p>
        </w:tc>
      </w:tr>
      <w:tr>
        <w:tc>
          <w:tcPr>
            <w:tcW w:type="dxa" w:w="2537"/>
            <w:vAlign w:val="top"/>
          </w:tcPr>
          <w:p>
            <w:pPr>
              <w:spacing w:after="0"/>
            </w:pPr>
            <w:r>
              <w:rPr>
                <w:sz w:val="13"/>
              </w:rPr>
              <w:t>Operations</w:t>
            </w:r>
          </w:p>
        </w:tc>
        <w:tc>
          <w:tcPr>
            <w:tcW w:type="dxa" w:w="2537"/>
            <w:vAlign w:val="top"/>
          </w:tcPr>
          <w:p>
            <w:pPr>
              <w:spacing w:after="0"/>
            </w:pPr>
            <w:r>
              <w:rPr>
                <w:sz w:val="13"/>
              </w:rPr>
              <w:t>Runtime -&gt; logging/monitoring/SCC</w:t>
            </w:r>
          </w:p>
        </w:tc>
        <w:tc>
          <w:tcPr>
            <w:tcW w:type="dxa" w:w="2537"/>
            <w:vAlign w:val="top"/>
          </w:tcPr>
          <w:p>
            <w:pPr>
              <w:spacing w:after="0"/>
            </w:pPr>
            <w:r>
              <w:rPr>
                <w:sz w:val="13"/>
              </w:rPr>
              <w:t>Central regional control projects</w:t>
            </w:r>
          </w:p>
        </w:tc>
        <w:tc>
          <w:tcPr>
            <w:tcW w:type="dxa" w:w="2537"/>
            <w:vAlign w:val="top"/>
          </w:tcPr>
          <w:p>
            <w:pPr>
              <w:spacing w:after="0"/>
            </w:pPr>
            <w:r>
              <w:rPr>
                <w:sz w:val="13"/>
              </w:rPr>
              <w:t>Redaction, retention, immutable sinks and least privilege</w:t>
            </w:r>
          </w:p>
        </w:tc>
      </w:tr>
      <w:tr>
        <w:tc>
          <w:tcPr>
            <w:tcW w:type="dxa" w:w="2537"/>
            <w:shd w:fill="F7F8F9"/>
            <w:vAlign w:val="top"/>
          </w:tcPr>
          <w:p>
            <w:pPr>
              <w:spacing w:after="0"/>
            </w:pPr>
            <w:r>
              <w:rPr>
                <w:sz w:val="13"/>
              </w:rPr>
              <w:t>Cross-region</w:t>
            </w:r>
          </w:p>
        </w:tc>
        <w:tc>
          <w:tcPr>
            <w:tcW w:type="dxa" w:w="2537"/>
            <w:shd w:fill="F7F8F9"/>
            <w:vAlign w:val="top"/>
          </w:tcPr>
          <w:p>
            <w:pPr>
              <w:spacing w:after="0"/>
            </w:pPr>
            <w:r>
              <w:rPr>
                <w:sz w:val="13"/>
              </w:rPr>
              <w:t>Regional product -&gt; approved recovery/sharing destination</w:t>
            </w:r>
          </w:p>
        </w:tc>
        <w:tc>
          <w:tcPr>
            <w:tcW w:type="dxa" w:w="2537"/>
            <w:shd w:fill="F7F8F9"/>
            <w:vAlign w:val="top"/>
          </w:tcPr>
          <w:p>
            <w:pPr>
              <w:spacing w:after="0"/>
            </w:pPr>
            <w:r>
              <w:rPr>
                <w:sz w:val="13"/>
              </w:rPr>
              <w:t>Explicit replication/export path</w:t>
            </w:r>
          </w:p>
        </w:tc>
        <w:tc>
          <w:tcPr>
            <w:tcW w:type="dxa" w:w="2537"/>
            <w:shd w:fill="F7F8F9"/>
            <w:vAlign w:val="top"/>
          </w:tcPr>
          <w:p>
            <w:pPr>
              <w:spacing w:after="0"/>
            </w:pPr>
            <w:r>
              <w:rPr>
                <w:sz w:val="13"/>
              </w:rPr>
              <w:t>Residency approval, encryption, manifest and reconciliation</w:t>
            </w:r>
          </w:p>
        </w:tc>
      </w:tr>
    </w:tbl>
    <w:p>
      <w:pPr>
        <w:spacing w:after="0"/>
      </w:pPr>
    </w:p>
    <w:p>
      <w:r>
        <w:br w:type="page"/>
      </w:r>
    </w:p>
    <w:p>
      <w:pPr>
        <w:pStyle w:val="Heading2"/>
      </w:pPr>
      <w:r>
        <w:t>4.27 SLI, SLO and Support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SLO ID</w:t>
            </w:r>
          </w:p>
        </w:tc>
        <w:tc>
          <w:tcPr>
            <w:tcW w:type="dxa" w:w="2030"/>
            <w:shd w:fill="174EA6"/>
          </w:tcPr>
          <w:p>
            <w:pPr>
              <w:spacing w:after="0"/>
            </w:pPr>
            <w:r>
              <w:rPr>
                <w:b/>
                <w:color w:val="FFFFFF"/>
                <w:sz w:val="13"/>
              </w:rPr>
              <w:t>Critical service/journey</w:t>
            </w:r>
          </w:p>
        </w:tc>
        <w:tc>
          <w:tcPr>
            <w:tcW w:type="dxa" w:w="2030"/>
            <w:shd w:fill="174EA6"/>
          </w:tcPr>
          <w:p>
            <w:pPr>
              <w:spacing w:after="0"/>
            </w:pPr>
            <w:r>
              <w:rPr>
                <w:b/>
                <w:color w:val="FFFFFF"/>
                <w:sz w:val="13"/>
              </w:rPr>
              <w:t>Target</w:t>
            </w:r>
          </w:p>
        </w:tc>
        <w:tc>
          <w:tcPr>
            <w:tcW w:type="dxa" w:w="2030"/>
            <w:shd w:fill="174EA6"/>
          </w:tcPr>
          <w:p>
            <w:pPr>
              <w:spacing w:after="0"/>
            </w:pPr>
            <w:r>
              <w:rPr>
                <w:b/>
                <w:color w:val="FFFFFF"/>
                <w:sz w:val="13"/>
              </w:rPr>
              <w:t>Window</w:t>
            </w:r>
          </w:p>
        </w:tc>
        <w:tc>
          <w:tcPr>
            <w:tcW w:type="dxa" w:w="2030"/>
            <w:shd w:fill="174EA6"/>
          </w:tcPr>
          <w:p>
            <w:pPr>
              <w:spacing w:after="0"/>
            </w:pPr>
            <w:r>
              <w:rPr>
                <w:b/>
                <w:color w:val="FFFFFF"/>
                <w:sz w:val="13"/>
              </w:rPr>
              <w:t>Owner</w:t>
            </w:r>
          </w:p>
        </w:tc>
      </w:tr>
      <w:tr>
        <w:tc>
          <w:tcPr>
            <w:tcW w:type="dxa" w:w="2030"/>
            <w:vAlign w:val="top"/>
          </w:tcPr>
          <w:p>
            <w:pPr>
              <w:spacing w:after="0"/>
            </w:pPr>
            <w:r>
              <w:rPr>
                <w:sz w:val="13"/>
              </w:rPr>
              <w:t>healthcare-SLO-01</w:t>
            </w:r>
          </w:p>
        </w:tc>
        <w:tc>
          <w:tcPr>
            <w:tcW w:type="dxa" w:w="2030"/>
            <w:vAlign w:val="top"/>
          </w:tcPr>
          <w:p>
            <w:pPr>
              <w:spacing w:after="0"/>
            </w:pPr>
            <w:r>
              <w:rPr>
                <w:sz w:val="13"/>
              </w:rPr>
              <w:t>Tier 0 clinical interoperability feeds and patient-context APIs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healthcare-SLO-02</w:t>
            </w:r>
          </w:p>
        </w:tc>
        <w:tc>
          <w:tcPr>
            <w:tcW w:type="dxa" w:w="2030"/>
            <w:shd w:fill="F7F8F9"/>
            <w:vAlign w:val="top"/>
          </w:tcPr>
          <w:p>
            <w:pPr>
              <w:spacing w:after="0"/>
            </w:pPr>
            <w:r>
              <w:rPr>
                <w:sz w:val="13"/>
              </w:rPr>
              <w:t>Freshness, message rejection, FHIR import, DICOM ingest and consent-policy SLIs</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r>
        <w:tc>
          <w:tcPr>
            <w:tcW w:type="dxa" w:w="2030"/>
            <w:vAlign w:val="top"/>
          </w:tcPr>
          <w:p>
            <w:pPr>
              <w:spacing w:after="0"/>
            </w:pPr>
            <w:r>
              <w:rPr>
                <w:sz w:val="13"/>
              </w:rPr>
              <w:t>healthcare-SLO-03</w:t>
            </w:r>
          </w:p>
        </w:tc>
        <w:tc>
          <w:tcPr>
            <w:tcW w:type="dxa" w:w="2030"/>
            <w:vAlign w:val="top"/>
          </w:tcPr>
          <w:p>
            <w:pPr>
              <w:spacing w:after="0"/>
            </w:pPr>
            <w:r>
              <w:rPr>
                <w:sz w:val="13"/>
              </w:rPr>
              <w:t>Clinical downtime and source-system fallback procedures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healthcare-SLO-04</w:t>
            </w:r>
          </w:p>
        </w:tc>
        <w:tc>
          <w:tcPr>
            <w:tcW w:type="dxa" w:w="2030"/>
            <w:shd w:fill="F7F8F9"/>
            <w:vAlign w:val="top"/>
          </w:tcPr>
          <w:p>
            <w:pPr>
              <w:spacing w:after="0"/>
            </w:pPr>
            <w:r>
              <w:rPr>
                <w:sz w:val="13"/>
              </w:rPr>
              <w:t>Runbooks co-owned by clinical integration and platform SRE</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Alert severity</w:t>
            </w:r>
          </w:p>
        </w:tc>
        <w:tc>
          <w:tcPr>
            <w:tcW w:type="dxa" w:w="3383"/>
            <w:shd w:fill="174EA6"/>
          </w:tcPr>
          <w:p>
            <w:pPr>
              <w:spacing w:after="0"/>
            </w:pPr>
            <w:r>
              <w:rPr>
                <w:b/>
                <w:color w:val="FFFFFF"/>
                <w:sz w:val="14"/>
              </w:rPr>
              <w:t>Trigger</w:t>
            </w:r>
          </w:p>
        </w:tc>
        <w:tc>
          <w:tcPr>
            <w:tcW w:type="dxa" w:w="3383"/>
            <w:shd w:fill="174EA6"/>
          </w:tcPr>
          <w:p>
            <w:pPr>
              <w:spacing w:after="0"/>
            </w:pPr>
            <w:r>
              <w:rPr>
                <w:b/>
                <w:color w:val="FFFFFF"/>
                <w:sz w:val="14"/>
              </w:rPr>
              <w:t>Response</w:t>
            </w:r>
          </w:p>
        </w:tc>
      </w:tr>
      <w:tr>
        <w:tc>
          <w:tcPr>
            <w:tcW w:type="dxa" w:w="3383"/>
            <w:vAlign w:val="top"/>
          </w:tcPr>
          <w:p>
            <w:pPr>
              <w:spacing w:after="0"/>
            </w:pPr>
            <w:r>
              <w:rPr>
                <w:sz w:val="14"/>
              </w:rPr>
              <w:t>SEV-1</w:t>
            </w:r>
          </w:p>
        </w:tc>
        <w:tc>
          <w:tcPr>
            <w:tcW w:type="dxa" w:w="3383"/>
            <w:vAlign w:val="top"/>
          </w:tcPr>
          <w:p>
            <w:pPr>
              <w:spacing w:after="0"/>
            </w:pPr>
            <w:r>
              <w:rPr>
                <w:sz w:val="14"/>
              </w:rPr>
              <w:t>Tier 0 outage, data loss/exposure, unsafe high-impact action or critical regulated error</w:t>
            </w:r>
          </w:p>
        </w:tc>
        <w:tc>
          <w:tcPr>
            <w:tcW w:type="dxa" w:w="3383"/>
            <w:vAlign w:val="top"/>
          </w:tcPr>
          <w:p>
            <w:pPr>
              <w:spacing w:after="0"/>
            </w:pPr>
            <w:r>
              <w:rPr>
                <w:sz w:val="14"/>
              </w:rPr>
              <w:t>Immediate incident command, business/security/control owners and vendor escalation</w:t>
            </w:r>
          </w:p>
        </w:tc>
      </w:tr>
      <w:tr>
        <w:tc>
          <w:tcPr>
            <w:tcW w:type="dxa" w:w="3383"/>
            <w:shd w:fill="F7F8F9"/>
            <w:vAlign w:val="top"/>
          </w:tcPr>
          <w:p>
            <w:pPr>
              <w:spacing w:after="0"/>
            </w:pPr>
            <w:r>
              <w:rPr>
                <w:sz w:val="14"/>
              </w:rPr>
              <w:t>SEV-2</w:t>
            </w:r>
          </w:p>
        </w:tc>
        <w:tc>
          <w:tcPr>
            <w:tcW w:type="dxa" w:w="3383"/>
            <w:shd w:fill="F7F8F9"/>
            <w:vAlign w:val="top"/>
          </w:tcPr>
          <w:p>
            <w:pPr>
              <w:spacing w:after="0"/>
            </w:pPr>
            <w:r>
              <w:rPr>
                <w:sz w:val="14"/>
              </w:rPr>
              <w:t>Tier 1 SLO breach, rapidly growing backlog or material quality failure</w:t>
            </w:r>
          </w:p>
        </w:tc>
        <w:tc>
          <w:tcPr>
            <w:tcW w:type="dxa" w:w="3383"/>
            <w:shd w:fill="F7F8F9"/>
            <w:vAlign w:val="top"/>
          </w:tcPr>
          <w:p>
            <w:pPr>
              <w:spacing w:after="0"/>
            </w:pPr>
            <w:r>
              <w:rPr>
                <w:sz w:val="14"/>
              </w:rPr>
              <w:t>Page product and platform on-call; protect capacity and users</w:t>
            </w:r>
          </w:p>
        </w:tc>
      </w:tr>
      <w:tr>
        <w:tc>
          <w:tcPr>
            <w:tcW w:type="dxa" w:w="3383"/>
            <w:vAlign w:val="top"/>
          </w:tcPr>
          <w:p>
            <w:pPr>
              <w:spacing w:after="0"/>
            </w:pPr>
            <w:r>
              <w:rPr>
                <w:sz w:val="14"/>
              </w:rPr>
              <w:t>SEV-3</w:t>
            </w:r>
          </w:p>
        </w:tc>
        <w:tc>
          <w:tcPr>
            <w:tcW w:type="dxa" w:w="3383"/>
            <w:vAlign w:val="top"/>
          </w:tcPr>
          <w:p>
            <w:pPr>
              <w:spacing w:after="0"/>
            </w:pPr>
            <w:r>
              <w:rPr>
                <w:sz w:val="14"/>
              </w:rPr>
              <w:t>Degradation with workaround, aging DLQ or forecast risk</w:t>
            </w:r>
          </w:p>
        </w:tc>
        <w:tc>
          <w:tcPr>
            <w:tcW w:type="dxa" w:w="3383"/>
            <w:vAlign w:val="top"/>
          </w:tcPr>
          <w:p>
            <w:pPr>
              <w:spacing w:after="0"/>
            </w:pPr>
            <w:r>
              <w:rPr>
                <w:sz w:val="14"/>
              </w:rPr>
              <w:t>Ticket and bounded remediation</w:t>
            </w:r>
          </w:p>
        </w:tc>
      </w:tr>
      <w:tr>
        <w:tc>
          <w:tcPr>
            <w:tcW w:type="dxa" w:w="3383"/>
            <w:shd w:fill="F7F8F9"/>
            <w:vAlign w:val="top"/>
          </w:tcPr>
          <w:p>
            <w:pPr>
              <w:spacing w:after="0"/>
            </w:pPr>
            <w:r>
              <w:rPr>
                <w:sz w:val="14"/>
              </w:rPr>
              <w:t>SEV-4</w:t>
            </w:r>
          </w:p>
        </w:tc>
        <w:tc>
          <w:tcPr>
            <w:tcW w:type="dxa" w:w="3383"/>
            <w:shd w:fill="F7F8F9"/>
            <w:vAlign w:val="top"/>
          </w:tcPr>
          <w:p>
            <w:pPr>
              <w:spacing w:after="0"/>
            </w:pPr>
            <w:r>
              <w:rPr>
                <w:sz w:val="14"/>
              </w:rPr>
              <w:t>Optimization, lifecycle or documentation gap</w:t>
            </w:r>
          </w:p>
        </w:tc>
        <w:tc>
          <w:tcPr>
            <w:tcW w:type="dxa" w:w="3383"/>
            <w:shd w:fill="F7F8F9"/>
            <w:vAlign w:val="top"/>
          </w:tcPr>
          <w:p>
            <w:pPr>
              <w:spacing w:after="0"/>
            </w:pPr>
            <w:r>
              <w:rPr>
                <w:sz w:val="14"/>
              </w:rPr>
              <w:t>Backlog and service review</w:t>
            </w:r>
          </w:p>
        </w:tc>
      </w:tr>
    </w:tbl>
    <w:p>
      <w:pPr>
        <w:spacing w:after="0"/>
      </w:pPr>
    </w:p>
    <w:p>
      <w:r>
        <w:br w:type="page"/>
      </w:r>
    </w:p>
    <w:p>
      <w:pPr>
        <w:pStyle w:val="Heading2"/>
      </w:pPr>
      <w:r>
        <w:t>4.28 Disaster-Recovery Pattern</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Recovery requirement</w:t>
            </w:r>
          </w:p>
        </w:tc>
        <w:tc>
          <w:tcPr>
            <w:tcW w:type="dxa" w:w="2537"/>
            <w:shd w:fill="174EA6"/>
          </w:tcPr>
          <w:p>
            <w:pPr>
              <w:spacing w:after="0"/>
            </w:pPr>
            <w:r>
              <w:rPr>
                <w:b/>
                <w:color w:val="FFFFFF"/>
                <w:sz w:val="13"/>
              </w:rPr>
              <w:t>Primary</w:t>
            </w:r>
          </w:p>
        </w:tc>
        <w:tc>
          <w:tcPr>
            <w:tcW w:type="dxa" w:w="2537"/>
            <w:shd w:fill="174EA6"/>
          </w:tcPr>
          <w:p>
            <w:pPr>
              <w:spacing w:after="0"/>
            </w:pPr>
            <w:r>
              <w:rPr>
                <w:b/>
                <w:color w:val="FFFFFF"/>
                <w:sz w:val="13"/>
              </w:rPr>
              <w:t>Recovery pattern</w:t>
            </w:r>
          </w:p>
        </w:tc>
        <w:tc>
          <w:tcPr>
            <w:tcW w:type="dxa" w:w="2537"/>
            <w:shd w:fill="174EA6"/>
          </w:tcPr>
          <w:p>
            <w:pPr>
              <w:spacing w:after="0"/>
            </w:pPr>
            <w:r>
              <w:rPr>
                <w:b/>
                <w:color w:val="FFFFFF"/>
                <w:sz w:val="13"/>
              </w:rPr>
              <w:t>Evidence</w:t>
            </w:r>
          </w:p>
        </w:tc>
      </w:tr>
      <w:tr>
        <w:tc>
          <w:tcPr>
            <w:tcW w:type="dxa" w:w="2537"/>
            <w:vAlign w:val="top"/>
          </w:tcPr>
          <w:p>
            <w:pPr>
              <w:spacing w:after="0"/>
            </w:pPr>
            <w:r>
              <w:rPr>
                <w:sz w:val="13"/>
              </w:rPr>
              <w:t>Regional recovery for critical clinical data products</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Immutable source retention and Healthcare API export/import procedures</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r>
        <w:tc>
          <w:tcPr>
            <w:tcW w:type="dxa" w:w="2537"/>
            <w:vAlign w:val="top"/>
          </w:tcPr>
          <w:p>
            <w:pPr>
              <w:spacing w:after="0"/>
            </w:pPr>
            <w:r>
              <w:rPr>
                <w:sz w:val="13"/>
              </w:rPr>
              <w:t>RTO/RPO aligned to clinical impact; no claim that analytics replaces EHR downtime controls</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Quarterly clinical data and consent recovery exercises</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Component</w:t>
            </w:r>
          </w:p>
        </w:tc>
        <w:tc>
          <w:tcPr>
            <w:tcW w:type="dxa" w:w="5074"/>
            <w:shd w:fill="174EA6"/>
          </w:tcPr>
          <w:p>
            <w:pPr>
              <w:spacing w:after="0"/>
            </w:pPr>
            <w:r>
              <w:rPr>
                <w:b/>
                <w:color w:val="FFFFFF"/>
                <w:sz w:val="14"/>
              </w:rPr>
              <w:t>Recoverable artifacts</w:t>
            </w:r>
          </w:p>
        </w:tc>
      </w:tr>
      <w:tr>
        <w:tc>
          <w:tcPr>
            <w:tcW w:type="dxa" w:w="5074"/>
            <w:vAlign w:val="top"/>
          </w:tcPr>
          <w:p>
            <w:pPr>
              <w:spacing w:after="0"/>
            </w:pPr>
            <w:r>
              <w:rPr>
                <w:sz w:val="14"/>
              </w:rPr>
              <w:t>Data</w:t>
            </w:r>
          </w:p>
        </w:tc>
        <w:tc>
          <w:tcPr>
            <w:tcW w:type="dxa" w:w="5074"/>
            <w:vAlign w:val="top"/>
          </w:tcPr>
          <w:p>
            <w:pPr>
              <w:spacing w:after="0"/>
            </w:pPr>
            <w:r>
              <w:rPr>
                <w:sz w:val="14"/>
              </w:rPr>
              <w:t>Immutable source, table snapshots/replicas/exports, product manifest and quality evidence</w:t>
            </w:r>
          </w:p>
        </w:tc>
      </w:tr>
      <w:tr>
        <w:tc>
          <w:tcPr>
            <w:tcW w:type="dxa" w:w="5074"/>
            <w:shd w:fill="F7F8F9"/>
            <w:vAlign w:val="top"/>
          </w:tcPr>
          <w:p>
            <w:pPr>
              <w:spacing w:after="0"/>
            </w:pPr>
            <w:r>
              <w:rPr>
                <w:sz w:val="14"/>
              </w:rPr>
              <w:t>Pipelines</w:t>
            </w:r>
          </w:p>
        </w:tc>
        <w:tc>
          <w:tcPr>
            <w:tcW w:type="dxa" w:w="5074"/>
            <w:shd w:fill="F7F8F9"/>
            <w:vAlign w:val="top"/>
          </w:tcPr>
          <w:p>
            <w:pPr>
              <w:spacing w:after="0"/>
            </w:pPr>
            <w:r>
              <w:rPr>
                <w:sz w:val="14"/>
              </w:rPr>
              <w:t>Source code, compiled template/image digest, parameters, checkpoint/offset and runbook</w:t>
            </w:r>
          </w:p>
        </w:tc>
      </w:tr>
      <w:tr>
        <w:tc>
          <w:tcPr>
            <w:tcW w:type="dxa" w:w="5074"/>
            <w:vAlign w:val="top"/>
          </w:tcPr>
          <w:p>
            <w:pPr>
              <w:spacing w:after="0"/>
            </w:pPr>
            <w:r>
              <w:rPr>
                <w:sz w:val="14"/>
              </w:rPr>
              <w:t>Analytics</w:t>
            </w:r>
          </w:p>
        </w:tc>
        <w:tc>
          <w:tcPr>
            <w:tcW w:type="dxa" w:w="5074"/>
            <w:vAlign w:val="top"/>
          </w:tcPr>
          <w:p>
            <w:pPr>
              <w:spacing w:after="0"/>
            </w:pPr>
            <w:r>
              <w:rPr>
                <w:sz w:val="14"/>
              </w:rPr>
              <w:t>Semantic model, KPI definitions, dashboards and reservation assignments</w:t>
            </w:r>
          </w:p>
        </w:tc>
      </w:tr>
      <w:tr>
        <w:tc>
          <w:tcPr>
            <w:tcW w:type="dxa" w:w="5074"/>
            <w:shd w:fill="F7F8F9"/>
            <w:vAlign w:val="top"/>
          </w:tcPr>
          <w:p>
            <w:pPr>
              <w:spacing w:after="0"/>
            </w:pPr>
            <w:r>
              <w:rPr>
                <w:sz w:val="14"/>
              </w:rPr>
              <w:t>AI</w:t>
            </w:r>
          </w:p>
        </w:tc>
        <w:tc>
          <w:tcPr>
            <w:tcW w:type="dxa" w:w="5074"/>
            <w:shd w:fill="F7F8F9"/>
            <w:vAlign w:val="top"/>
          </w:tcPr>
          <w:p>
            <w:pPr>
              <w:spacing w:after="0"/>
            </w:pPr>
            <w:r>
              <w:rPr>
                <w:sz w:val="14"/>
              </w:rPr>
              <w:t>Model/prompt/evaluation/index/tool/policy bundle, approvals and prior champion</w:t>
            </w:r>
          </w:p>
        </w:tc>
      </w:tr>
      <w:tr>
        <w:tc>
          <w:tcPr>
            <w:tcW w:type="dxa" w:w="5074"/>
            <w:vAlign w:val="top"/>
          </w:tcPr>
          <w:p>
            <w:pPr>
              <w:spacing w:after="0"/>
            </w:pPr>
            <w:r>
              <w:rPr>
                <w:sz w:val="14"/>
              </w:rPr>
              <w:t>Security/operations</w:t>
            </w:r>
          </w:p>
        </w:tc>
        <w:tc>
          <w:tcPr>
            <w:tcW w:type="dxa" w:w="5074"/>
            <w:vAlign w:val="top"/>
          </w:tcPr>
          <w:p>
            <w:pPr>
              <w:spacing w:after="0"/>
            </w:pPr>
            <w:r>
              <w:rPr>
                <w:sz w:val="14"/>
              </w:rPr>
              <w:t>IAM/perimeter/KMS references, alert/runbook, incident and evidence-retention configuration</w:t>
            </w:r>
          </w:p>
        </w:tc>
      </w:tr>
    </w:tbl>
    <w:p>
      <w:pPr>
        <w:spacing w:after="0"/>
      </w:pPr>
    </w:p>
    <w:p>
      <w:r>
        <w:br w:type="page"/>
      </w:r>
    </w:p>
    <w:p>
      <w:pPr>
        <w:pStyle w:val="Heading2"/>
      </w:pPr>
      <w:r>
        <w:t>4.29 FinOps Unit-Economics Model</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Unit-economics focus</w:t>
            </w:r>
          </w:p>
        </w:tc>
        <w:tc>
          <w:tcPr>
            <w:tcW w:type="dxa" w:w="2537"/>
            <w:shd w:fill="174EA6"/>
          </w:tcPr>
          <w:p>
            <w:pPr>
              <w:spacing w:after="0"/>
            </w:pPr>
            <w:r>
              <w:rPr>
                <w:b/>
                <w:color w:val="FFFFFF"/>
                <w:sz w:val="13"/>
              </w:rPr>
              <w:t>Variable model</w:t>
            </w:r>
          </w:p>
        </w:tc>
        <w:tc>
          <w:tcPr>
            <w:tcW w:type="dxa" w:w="2537"/>
            <w:shd w:fill="174EA6"/>
          </w:tcPr>
          <w:p>
            <w:pPr>
              <w:spacing w:after="0"/>
            </w:pPr>
            <w:r>
              <w:rPr>
                <w:b/>
                <w:color w:val="FFFFFF"/>
                <w:sz w:val="13"/>
              </w:rPr>
              <w:t>Owner</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Cost per patient/month, encounter, image study and accepted clinical message</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Separate research, operational and regulatory workloads</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r>
        <w:tc>
          <w:tcPr>
            <w:tcW w:type="dxa" w:w="2537"/>
            <w:vAlign w:val="top"/>
          </w:tcPr>
          <w:p>
            <w:pPr>
              <w:spacing w:after="0"/>
            </w:pPr>
            <w:r>
              <w:rPr>
                <w:sz w:val="13"/>
              </w:rPr>
              <w:t>Lifecycle DICOM and raw object storage</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BigQuery reservations for predictable population-health and reporting workloads</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Cost domain</w:t>
            </w:r>
          </w:p>
        </w:tc>
        <w:tc>
          <w:tcPr>
            <w:tcW w:type="dxa" w:w="3383"/>
            <w:shd w:fill="174EA6"/>
          </w:tcPr>
          <w:p>
            <w:pPr>
              <w:spacing w:after="0"/>
            </w:pPr>
            <w:r>
              <w:rPr>
                <w:b/>
                <w:color w:val="FFFFFF"/>
                <w:sz w:val="13"/>
              </w:rPr>
              <w:t>Measured variables</w:t>
            </w:r>
          </w:p>
        </w:tc>
        <w:tc>
          <w:tcPr>
            <w:tcW w:type="dxa" w:w="3383"/>
            <w:shd w:fill="174EA6"/>
          </w:tcPr>
          <w:p>
            <w:pPr>
              <w:spacing w:after="0"/>
            </w:pPr>
            <w:r>
              <w:rPr>
                <w:b/>
                <w:color w:val="FFFFFF"/>
                <w:sz w:val="13"/>
              </w:rPr>
              <w:t>Optimization guardrail</w:t>
            </w:r>
          </w:p>
        </w:tc>
      </w:tr>
      <w:tr>
        <w:tc>
          <w:tcPr>
            <w:tcW w:type="dxa" w:w="3383"/>
            <w:vAlign w:val="top"/>
          </w:tcPr>
          <w:p>
            <w:pPr>
              <w:spacing w:after="0"/>
            </w:pPr>
            <w:r>
              <w:rPr>
                <w:sz w:val="13"/>
              </w:rPr>
              <w:t>Ingestion/processing</w:t>
            </w:r>
          </w:p>
        </w:tc>
        <w:tc>
          <w:tcPr>
            <w:tcW w:type="dxa" w:w="3383"/>
            <w:vAlign w:val="top"/>
          </w:tcPr>
          <w:p>
            <w:pPr>
              <w:spacing w:after="0"/>
            </w:pPr>
            <w:r>
              <w:rPr>
                <w:sz w:val="13"/>
              </w:rPr>
              <w:t>events, bytes, worker/compute duration, shuffle, connector usage</w:t>
            </w:r>
          </w:p>
        </w:tc>
        <w:tc>
          <w:tcPr>
            <w:tcW w:type="dxa" w:w="3383"/>
            <w:vAlign w:val="top"/>
          </w:tcPr>
          <w:p>
            <w:pPr>
              <w:spacing w:after="0"/>
            </w:pPr>
            <w:r>
              <w:rPr>
                <w:sz w:val="13"/>
              </w:rPr>
              <w:t>Freshness, correctness and recovery cannot be weakened</w:t>
            </w:r>
          </w:p>
        </w:tc>
      </w:tr>
      <w:tr>
        <w:tc>
          <w:tcPr>
            <w:tcW w:type="dxa" w:w="3383"/>
            <w:shd w:fill="F7F8F9"/>
            <w:vAlign w:val="top"/>
          </w:tcPr>
          <w:p>
            <w:pPr>
              <w:spacing w:after="0"/>
            </w:pPr>
            <w:r>
              <w:rPr>
                <w:sz w:val="13"/>
              </w:rPr>
              <w:t>Warehouse/storage</w:t>
            </w:r>
          </w:p>
        </w:tc>
        <w:tc>
          <w:tcPr>
            <w:tcW w:type="dxa" w:w="3383"/>
            <w:shd w:fill="F7F8F9"/>
            <w:vAlign w:val="top"/>
          </w:tcPr>
          <w:p>
            <w:pPr>
              <w:spacing w:after="0"/>
            </w:pPr>
            <w:r>
              <w:rPr>
                <w:sz w:val="13"/>
              </w:rPr>
              <w:t>bytes/slots, table/index/storage class, retention and replication</w:t>
            </w:r>
          </w:p>
        </w:tc>
        <w:tc>
          <w:tcPr>
            <w:tcW w:type="dxa" w:w="3383"/>
            <w:shd w:fill="F7F8F9"/>
            <w:vAlign w:val="top"/>
          </w:tcPr>
          <w:p>
            <w:pPr>
              <w:spacing w:after="0"/>
            </w:pPr>
            <w:r>
              <w:rPr>
                <w:sz w:val="13"/>
              </w:rPr>
              <w:t>Regulatory retention and query performance maintained</w:t>
            </w:r>
          </w:p>
        </w:tc>
      </w:tr>
      <w:tr>
        <w:tc>
          <w:tcPr>
            <w:tcW w:type="dxa" w:w="3383"/>
            <w:vAlign w:val="top"/>
          </w:tcPr>
          <w:p>
            <w:pPr>
              <w:spacing w:after="0"/>
            </w:pPr>
            <w:r>
              <w:rPr>
                <w:sz w:val="13"/>
              </w:rPr>
              <w:t>Analytics</w:t>
            </w:r>
          </w:p>
        </w:tc>
        <w:tc>
          <w:tcPr>
            <w:tcW w:type="dxa" w:w="3383"/>
            <w:vAlign w:val="top"/>
          </w:tcPr>
          <w:p>
            <w:pPr>
              <w:spacing w:after="0"/>
            </w:pPr>
            <w:r>
              <w:rPr>
                <w:sz w:val="13"/>
              </w:rPr>
              <w:t>queries, BI Engine/cache, concurrency and extracts</w:t>
            </w:r>
          </w:p>
        </w:tc>
        <w:tc>
          <w:tcPr>
            <w:tcW w:type="dxa" w:w="3383"/>
            <w:vAlign w:val="top"/>
          </w:tcPr>
          <w:p>
            <w:pPr>
              <w:spacing w:after="0"/>
            </w:pPr>
            <w:r>
              <w:rPr>
                <w:sz w:val="13"/>
              </w:rPr>
              <w:t>Certified KPI correctness and access controls preserved</w:t>
            </w:r>
          </w:p>
        </w:tc>
      </w:tr>
      <w:tr>
        <w:tc>
          <w:tcPr>
            <w:tcW w:type="dxa" w:w="3383"/>
            <w:shd w:fill="F7F8F9"/>
            <w:vAlign w:val="top"/>
          </w:tcPr>
          <w:p>
            <w:pPr>
              <w:spacing w:after="0"/>
            </w:pPr>
            <w:r>
              <w:rPr>
                <w:sz w:val="13"/>
              </w:rPr>
              <w:t>AI</w:t>
            </w:r>
          </w:p>
        </w:tc>
        <w:tc>
          <w:tcPr>
            <w:tcW w:type="dxa" w:w="3383"/>
            <w:shd w:fill="F7F8F9"/>
            <w:vAlign w:val="top"/>
          </w:tcPr>
          <w:p>
            <w:pPr>
              <w:spacing w:after="0"/>
            </w:pPr>
            <w:r>
              <w:rPr>
                <w:sz w:val="13"/>
              </w:rPr>
              <w:t>input/output/cached tokens, model calls, vector operations, tool calls and evaluation</w:t>
            </w:r>
          </w:p>
        </w:tc>
        <w:tc>
          <w:tcPr>
            <w:tcW w:type="dxa" w:w="3383"/>
            <w:shd w:fill="F7F8F9"/>
            <w:vAlign w:val="top"/>
          </w:tcPr>
          <w:p>
            <w:pPr>
              <w:spacing w:after="0"/>
            </w:pPr>
            <w:r>
              <w:rPr>
                <w:sz w:val="13"/>
              </w:rPr>
              <w:t>Quality, safety, privacy and human control thresholds maintained</w:t>
            </w:r>
          </w:p>
        </w:tc>
      </w:tr>
      <w:tr>
        <w:tc>
          <w:tcPr>
            <w:tcW w:type="dxa" w:w="3383"/>
            <w:vAlign w:val="top"/>
          </w:tcPr>
          <w:p>
            <w:pPr>
              <w:spacing w:after="0"/>
            </w:pPr>
            <w:r>
              <w:rPr>
                <w:sz w:val="13"/>
              </w:rPr>
              <w:t>Telemetry/security</w:t>
            </w:r>
          </w:p>
        </w:tc>
        <w:tc>
          <w:tcPr>
            <w:tcW w:type="dxa" w:w="3383"/>
            <w:vAlign w:val="top"/>
          </w:tcPr>
          <w:p>
            <w:pPr>
              <w:spacing w:after="0"/>
            </w:pPr>
            <w:r>
              <w:rPr>
                <w:sz w:val="13"/>
              </w:rPr>
              <w:t>log/metric volume, retention, findings and scanning</w:t>
            </w:r>
          </w:p>
        </w:tc>
        <w:tc>
          <w:tcPr>
            <w:tcW w:type="dxa" w:w="3383"/>
            <w:vAlign w:val="top"/>
          </w:tcPr>
          <w:p>
            <w:pPr>
              <w:spacing w:after="0"/>
            </w:pPr>
            <w:r>
              <w:rPr>
                <w:sz w:val="13"/>
              </w:rPr>
              <w:t>Audit and incident evidence remain sufficient</w:t>
            </w:r>
          </w:p>
        </w:tc>
      </w:tr>
    </w:tbl>
    <w:p>
      <w:pPr>
        <w:spacing w:after="0"/>
      </w:pPr>
    </w:p>
    <w:p>
      <w:r>
        <w:br w:type="page"/>
      </w:r>
    </w:p>
    <w:p>
      <w:pPr>
        <w:pStyle w:val="Heading2"/>
      </w:pPr>
      <w:r>
        <w:t>4.30 Delivery Work Packages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Work package</w:t>
            </w:r>
          </w:p>
        </w:tc>
        <w:tc>
          <w:tcPr>
            <w:tcW w:type="dxa" w:w="2537"/>
            <w:shd w:fill="174EA6"/>
          </w:tcPr>
          <w:p>
            <w:pPr>
              <w:spacing w:after="0"/>
            </w:pPr>
            <w:r>
              <w:rPr>
                <w:b/>
                <w:color w:val="FFFFFF"/>
                <w:sz w:val="13"/>
              </w:rPr>
              <w:t>Outcome</w:t>
            </w:r>
          </w:p>
        </w:tc>
        <w:tc>
          <w:tcPr>
            <w:tcW w:type="dxa" w:w="2537"/>
            <w:shd w:fill="174EA6"/>
          </w:tcPr>
          <w:p>
            <w:pPr>
              <w:spacing w:after="0"/>
            </w:pPr>
            <w:r>
              <w:rPr>
                <w:b/>
                <w:color w:val="FFFFFF"/>
                <w:sz w:val="13"/>
              </w:rPr>
              <w:t>Team composition</w:t>
            </w:r>
          </w:p>
        </w:tc>
        <w:tc>
          <w:tcPr>
            <w:tcW w:type="dxa" w:w="2537"/>
            <w:shd w:fill="174EA6"/>
          </w:tcPr>
          <w:p>
            <w:pPr>
              <w:spacing w:after="0"/>
            </w:pPr>
            <w:r>
              <w:rPr>
                <w:b/>
                <w:color w:val="FFFFFF"/>
                <w:sz w:val="13"/>
              </w:rPr>
              <w:t>Exit gate</w:t>
            </w:r>
          </w:p>
        </w:tc>
      </w:tr>
      <w:tr>
        <w:tc>
          <w:tcPr>
            <w:tcW w:type="dxa" w:w="2537"/>
            <w:vAlign w:val="top"/>
          </w:tcPr>
          <w:p>
            <w:pPr>
              <w:spacing w:after="0"/>
            </w:pPr>
            <w:r>
              <w:rPr>
                <w:sz w:val="13"/>
              </w:rPr>
              <w:t>WP-01</w:t>
            </w:r>
          </w:p>
        </w:tc>
        <w:tc>
          <w:tcPr>
            <w:tcW w:type="dxa" w:w="2537"/>
            <w:vAlign w:val="top"/>
          </w:tcPr>
          <w:p>
            <w:pPr>
              <w:spacing w:after="0"/>
            </w:pPr>
            <w:r>
              <w:rPr>
                <w:sz w:val="13"/>
              </w:rPr>
              <w:t>Interoperability and PHI landing foundation</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WP-02</w:t>
            </w:r>
          </w:p>
        </w:tc>
        <w:tc>
          <w:tcPr>
            <w:tcW w:type="dxa" w:w="2537"/>
            <w:shd w:fill="F7F8F9"/>
            <w:vAlign w:val="top"/>
          </w:tcPr>
          <w:p>
            <w:pPr>
              <w:spacing w:after="0"/>
            </w:pPr>
            <w:r>
              <w:rPr>
                <w:sz w:val="13"/>
              </w:rPr>
              <w:t>Patient identity and encounter products</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WP-03</w:t>
            </w:r>
          </w:p>
        </w:tc>
        <w:tc>
          <w:tcPr>
            <w:tcW w:type="dxa" w:w="2537"/>
            <w:vAlign w:val="top"/>
          </w:tcPr>
          <w:p>
            <w:pPr>
              <w:spacing w:after="0"/>
            </w:pPr>
            <w:r>
              <w:rPr>
                <w:sz w:val="13"/>
              </w:rPr>
              <w:t>Quality, claims and population-health analytics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WP-04</w:t>
            </w:r>
          </w:p>
        </w:tc>
        <w:tc>
          <w:tcPr>
            <w:tcW w:type="dxa" w:w="2537"/>
            <w:shd w:fill="F7F8F9"/>
            <w:vAlign w:val="top"/>
          </w:tcPr>
          <w:p>
            <w:pPr>
              <w:spacing w:after="0"/>
            </w:pPr>
            <w:r>
              <w:rPr>
                <w:sz w:val="13"/>
              </w:rPr>
              <w:t>De-identified research zone</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WP-05</w:t>
            </w:r>
          </w:p>
        </w:tc>
        <w:tc>
          <w:tcPr>
            <w:tcW w:type="dxa" w:w="2537"/>
            <w:vAlign w:val="top"/>
          </w:tcPr>
          <w:p>
            <w:pPr>
              <w:spacing w:after="0"/>
            </w:pPr>
            <w:r>
              <w:rPr>
                <w:sz w:val="13"/>
              </w:rPr>
              <w:t>Governed clinical AI pilots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WP-06</w:t>
            </w:r>
          </w:p>
        </w:tc>
        <w:tc>
          <w:tcPr>
            <w:tcW w:type="dxa" w:w="2537"/>
            <w:shd w:fill="F7F8F9"/>
            <w:vAlign w:val="top"/>
          </w:tcPr>
          <w:p>
            <w:pPr>
              <w:spacing w:after="0"/>
            </w:pPr>
            <w:r>
              <w:rPr>
                <w:sz w:val="13"/>
              </w:rPr>
              <w:t>Scale to additional facilities and jurisdictions</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bl>
    <w:p>
      <w:pPr>
        <w:spacing w:after="0"/>
      </w:pPr>
    </w:p>
    <w:p>
      <w:pPr>
        <w:pStyle w:val="ListBullet"/>
      </w:pPr>
      <w:r>
        <w:t>Use representative high-value workloads rather than only low-risk demonstrations.</w:t>
      </w:r>
    </w:p>
    <w:p>
      <w:pPr>
        <w:pStyle w:val="ListBullet"/>
      </w:pPr>
      <w:r>
        <w:t>Run legacy/target outputs in parallel until reconciliation, user acceptance and recovery evidence are complete.</w:t>
      </w:r>
    </w:p>
    <w:p>
      <w:pPr>
        <w:pStyle w:val="ListBullet"/>
      </w:pPr>
      <w:r>
        <w:t>Track migration debt, exceptions, vendor dependencies, data-retention gaps and unimplemented controls.</w:t>
      </w:r>
    </w:p>
    <w:p>
      <w:pPr>
        <w:pStyle w:val="ListBullet"/>
      </w:pPr>
      <w:r>
        <w:t>Scale only after reliability, security, regulatory, operational and unit-economics thresholds are achieved.</w:t>
      </w:r>
    </w:p>
    <w:p>
      <w:r>
        <w:br w:type="page"/>
      </w:r>
    </w:p>
    <w:p>
      <w:pPr>
        <w:pStyle w:val="Heading2"/>
      </w:pPr>
      <w:r>
        <w:t>4.31 Operational Runbooks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Runbook</w:t>
            </w:r>
          </w:p>
        </w:tc>
        <w:tc>
          <w:tcPr>
            <w:tcW w:type="dxa" w:w="2537"/>
            <w:shd w:fill="174EA6"/>
          </w:tcPr>
          <w:p>
            <w:pPr>
              <w:spacing w:after="0"/>
            </w:pPr>
            <w:r>
              <w:rPr>
                <w:b/>
                <w:color w:val="FFFFFF"/>
                <w:sz w:val="13"/>
              </w:rPr>
              <w:t>Trigger</w:t>
            </w:r>
          </w:p>
        </w:tc>
        <w:tc>
          <w:tcPr>
            <w:tcW w:type="dxa" w:w="2537"/>
            <w:shd w:fill="174EA6"/>
          </w:tcPr>
          <w:p>
            <w:pPr>
              <w:spacing w:after="0"/>
            </w:pPr>
            <w:r>
              <w:rPr>
                <w:b/>
                <w:color w:val="FFFFFF"/>
                <w:sz w:val="13"/>
              </w:rPr>
              <w:t>Key actions</w:t>
            </w:r>
          </w:p>
        </w:tc>
        <w:tc>
          <w:tcPr>
            <w:tcW w:type="dxa" w:w="2537"/>
            <w:shd w:fill="174EA6"/>
          </w:tcPr>
          <w:p>
            <w:pPr>
              <w:spacing w:after="0"/>
            </w:pPr>
            <w:r>
              <w:rPr>
                <w:b/>
                <w:color w:val="FFFFFF"/>
                <w:sz w:val="13"/>
              </w:rPr>
              <w:t>Closure evidence</w:t>
            </w:r>
          </w:p>
        </w:tc>
      </w:tr>
      <w:tr>
        <w:tc>
          <w:tcPr>
            <w:tcW w:type="dxa" w:w="2537"/>
            <w:vAlign w:val="top"/>
          </w:tcPr>
          <w:p>
            <w:pPr>
              <w:spacing w:after="0"/>
            </w:pPr>
            <w:r>
              <w:rPr>
                <w:sz w:val="13"/>
              </w:rPr>
              <w:t>Ingestion backlog / lag</w:t>
            </w:r>
          </w:p>
        </w:tc>
        <w:tc>
          <w:tcPr>
            <w:tcW w:type="dxa" w:w="2537"/>
            <w:vAlign w:val="top"/>
          </w:tcPr>
          <w:p>
            <w:pPr>
              <w:spacing w:after="0"/>
            </w:pPr>
            <w:r>
              <w:rPr>
                <w:sz w:val="13"/>
              </w:rPr>
              <w:t>Freshness burn-rate or subscription/CDC backlog</w:t>
            </w:r>
          </w:p>
        </w:tc>
        <w:tc>
          <w:tcPr>
            <w:tcW w:type="dxa" w:w="2537"/>
            <w:vAlign w:val="top"/>
          </w:tcPr>
          <w:p>
            <w:pPr>
              <w:spacing w:after="0"/>
            </w:pPr>
            <w:r>
              <w:rPr>
                <w:sz w:val="13"/>
              </w:rPr>
              <w:t>Protect Tier 0 capacity, identify source/sink constraint, scale or shed noncritical load</w:t>
            </w:r>
          </w:p>
        </w:tc>
        <w:tc>
          <w:tcPr>
            <w:tcW w:type="dxa" w:w="2537"/>
            <w:vAlign w:val="top"/>
          </w:tcPr>
          <w:p>
            <w:pPr>
              <w:spacing w:after="0"/>
            </w:pPr>
            <w:r>
              <w:rPr>
                <w:sz w:val="13"/>
              </w:rPr>
              <w:t>Backlog cleared and data reconciled</w:t>
            </w:r>
          </w:p>
        </w:tc>
      </w:tr>
      <w:tr>
        <w:tc>
          <w:tcPr>
            <w:tcW w:type="dxa" w:w="2537"/>
            <w:shd w:fill="F7F8F9"/>
            <w:vAlign w:val="top"/>
          </w:tcPr>
          <w:p>
            <w:pPr>
              <w:spacing w:after="0"/>
            </w:pPr>
            <w:r>
              <w:rPr>
                <w:sz w:val="13"/>
              </w:rPr>
              <w:t>Schema/contract failure</w:t>
            </w:r>
          </w:p>
        </w:tc>
        <w:tc>
          <w:tcPr>
            <w:tcW w:type="dxa" w:w="2537"/>
            <w:shd w:fill="F7F8F9"/>
            <w:vAlign w:val="top"/>
          </w:tcPr>
          <w:p>
            <w:pPr>
              <w:spacing w:after="0"/>
            </w:pPr>
            <w:r>
              <w:rPr>
                <w:sz w:val="13"/>
              </w:rPr>
              <w:t>Quarantine spike or incompatible change</w:t>
            </w:r>
          </w:p>
        </w:tc>
        <w:tc>
          <w:tcPr>
            <w:tcW w:type="dxa" w:w="2537"/>
            <w:shd w:fill="F7F8F9"/>
            <w:vAlign w:val="top"/>
          </w:tcPr>
          <w:p>
            <w:pPr>
              <w:spacing w:after="0"/>
            </w:pPr>
            <w:r>
              <w:rPr>
                <w:sz w:val="13"/>
              </w:rPr>
              <w:t>Block publication, engage source owner, version/migrate contract</w:t>
            </w:r>
          </w:p>
        </w:tc>
        <w:tc>
          <w:tcPr>
            <w:tcW w:type="dxa" w:w="2537"/>
            <w:shd w:fill="F7F8F9"/>
            <w:vAlign w:val="top"/>
          </w:tcPr>
          <w:p>
            <w:pPr>
              <w:spacing w:after="0"/>
            </w:pPr>
            <w:r>
              <w:rPr>
                <w:sz w:val="13"/>
              </w:rPr>
              <w:t>Compatibility tests and consumer approval</w:t>
            </w:r>
          </w:p>
        </w:tc>
      </w:tr>
      <w:tr>
        <w:tc>
          <w:tcPr>
            <w:tcW w:type="dxa" w:w="2537"/>
            <w:vAlign w:val="top"/>
          </w:tcPr>
          <w:p>
            <w:pPr>
              <w:spacing w:after="0"/>
            </w:pPr>
            <w:r>
              <w:rPr>
                <w:sz w:val="13"/>
              </w:rPr>
              <w:t>Data-quality failure</w:t>
            </w:r>
          </w:p>
        </w:tc>
        <w:tc>
          <w:tcPr>
            <w:tcW w:type="dxa" w:w="2537"/>
            <w:vAlign w:val="top"/>
          </w:tcPr>
          <w:p>
            <w:pPr>
              <w:spacing w:after="0"/>
            </w:pPr>
            <w:r>
              <w:rPr>
                <w:sz w:val="13"/>
              </w:rPr>
              <w:t>Critical assertion or reconciliation mismatch</w:t>
            </w:r>
          </w:p>
        </w:tc>
        <w:tc>
          <w:tcPr>
            <w:tcW w:type="dxa" w:w="2537"/>
            <w:vAlign w:val="top"/>
          </w:tcPr>
          <w:p>
            <w:pPr>
              <w:spacing w:after="0"/>
            </w:pPr>
            <w:r>
              <w:rPr>
                <w:sz w:val="13"/>
              </w:rPr>
              <w:t>Stop certification, assess impact, correct and bounded replay</w:t>
            </w:r>
          </w:p>
        </w:tc>
        <w:tc>
          <w:tcPr>
            <w:tcW w:type="dxa" w:w="2537"/>
            <w:vAlign w:val="top"/>
          </w:tcPr>
          <w:p>
            <w:pPr>
              <w:spacing w:after="0"/>
            </w:pPr>
            <w:r>
              <w:rPr>
                <w:sz w:val="13"/>
              </w:rPr>
              <w:t>Quality and business totals pass</w:t>
            </w:r>
          </w:p>
        </w:tc>
      </w:tr>
      <w:tr>
        <w:tc>
          <w:tcPr>
            <w:tcW w:type="dxa" w:w="2537"/>
            <w:shd w:fill="F7F8F9"/>
            <w:vAlign w:val="top"/>
          </w:tcPr>
          <w:p>
            <w:pPr>
              <w:spacing w:after="0"/>
            </w:pPr>
            <w:r>
              <w:rPr>
                <w:sz w:val="13"/>
              </w:rPr>
              <w:t>Unauthorized access / leakage</w:t>
            </w:r>
          </w:p>
        </w:tc>
        <w:tc>
          <w:tcPr>
            <w:tcW w:type="dxa" w:w="2537"/>
            <w:shd w:fill="F7F8F9"/>
            <w:vAlign w:val="top"/>
          </w:tcPr>
          <w:p>
            <w:pPr>
              <w:spacing w:after="0"/>
            </w:pPr>
            <w:r>
              <w:rPr>
                <w:sz w:val="13"/>
              </w:rPr>
              <w:t>Audit/SCC/DLP alert</w:t>
            </w:r>
          </w:p>
        </w:tc>
        <w:tc>
          <w:tcPr>
            <w:tcW w:type="dxa" w:w="2537"/>
            <w:shd w:fill="F7F8F9"/>
            <w:vAlign w:val="top"/>
          </w:tcPr>
          <w:p>
            <w:pPr>
              <w:spacing w:after="0"/>
            </w:pPr>
            <w:r>
              <w:rPr>
                <w:sz w:val="13"/>
              </w:rPr>
              <w:t>Contain identity/resource, preserve evidence, notify security/privacy/legal</w:t>
            </w:r>
          </w:p>
        </w:tc>
        <w:tc>
          <w:tcPr>
            <w:tcW w:type="dxa" w:w="2537"/>
            <w:shd w:fill="F7F8F9"/>
            <w:vAlign w:val="top"/>
          </w:tcPr>
          <w:p>
            <w:pPr>
              <w:spacing w:after="0"/>
            </w:pPr>
            <w:r>
              <w:rPr>
                <w:sz w:val="13"/>
              </w:rPr>
              <w:t>Incident closure and control regression test</w:t>
            </w:r>
          </w:p>
        </w:tc>
      </w:tr>
      <w:tr>
        <w:tc>
          <w:tcPr>
            <w:tcW w:type="dxa" w:w="2537"/>
            <w:vAlign w:val="top"/>
          </w:tcPr>
          <w:p>
            <w:pPr>
              <w:spacing w:after="0"/>
            </w:pPr>
            <w:r>
              <w:rPr>
                <w:sz w:val="13"/>
              </w:rPr>
              <w:t>AI safety/quality event</w:t>
            </w:r>
          </w:p>
        </w:tc>
        <w:tc>
          <w:tcPr>
            <w:tcW w:type="dxa" w:w="2537"/>
            <w:vAlign w:val="top"/>
          </w:tcPr>
          <w:p>
            <w:pPr>
              <w:spacing w:after="0"/>
            </w:pPr>
            <w:r>
              <w:rPr>
                <w:sz w:val="13"/>
              </w:rPr>
              <w:t>Unsafe output, unsupported claim or tool misuse</w:t>
            </w:r>
          </w:p>
        </w:tc>
        <w:tc>
          <w:tcPr>
            <w:tcW w:type="dxa" w:w="2537"/>
            <w:vAlign w:val="top"/>
          </w:tcPr>
          <w:p>
            <w:pPr>
              <w:spacing w:after="0"/>
            </w:pPr>
            <w:r>
              <w:rPr>
                <w:sz w:val="13"/>
              </w:rPr>
              <w:t>Disable model/prompt/tool, preserve trajectory, switch to approved fallback</w:t>
            </w:r>
          </w:p>
        </w:tc>
        <w:tc>
          <w:tcPr>
            <w:tcW w:type="dxa" w:w="2537"/>
            <w:vAlign w:val="top"/>
          </w:tcPr>
          <w:p>
            <w:pPr>
              <w:spacing w:after="0"/>
            </w:pPr>
            <w:r>
              <w:rPr>
                <w:sz w:val="13"/>
              </w:rPr>
              <w:t>Evaluation and independent approval</w:t>
            </w:r>
          </w:p>
        </w:tc>
      </w:tr>
      <w:tr>
        <w:tc>
          <w:tcPr>
            <w:tcW w:type="dxa" w:w="2537"/>
            <w:shd w:fill="F7F8F9"/>
            <w:vAlign w:val="top"/>
          </w:tcPr>
          <w:p>
            <w:pPr>
              <w:spacing w:after="0"/>
            </w:pPr>
            <w:r>
              <w:rPr>
                <w:sz w:val="13"/>
              </w:rPr>
              <w:t>Regional recovery</w:t>
            </w:r>
          </w:p>
        </w:tc>
        <w:tc>
          <w:tcPr>
            <w:tcW w:type="dxa" w:w="2537"/>
            <w:shd w:fill="F7F8F9"/>
            <w:vAlign w:val="top"/>
          </w:tcPr>
          <w:p>
            <w:pPr>
              <w:spacing w:after="0"/>
            </w:pPr>
            <w:r>
              <w:rPr>
                <w:sz w:val="13"/>
              </w:rPr>
              <w:t>Regional service or dependency failure</w:t>
            </w:r>
          </w:p>
        </w:tc>
        <w:tc>
          <w:tcPr>
            <w:tcW w:type="dxa" w:w="2537"/>
            <w:shd w:fill="F7F8F9"/>
            <w:vAlign w:val="top"/>
          </w:tcPr>
          <w:p>
            <w:pPr>
              <w:spacing w:after="0"/>
            </w:pPr>
            <w:r>
              <w:rPr>
                <w:sz w:val="13"/>
              </w:rPr>
              <w:t>Activate approved alternate/rebuild/replay path and communications</w:t>
            </w:r>
          </w:p>
        </w:tc>
        <w:tc>
          <w:tcPr>
            <w:tcW w:type="dxa" w:w="2537"/>
            <w:shd w:fill="F7F8F9"/>
            <w:vAlign w:val="top"/>
          </w:tcPr>
          <w:p>
            <w:pPr>
              <w:spacing w:after="0"/>
            </w:pPr>
            <w:r>
              <w:rPr>
                <w:sz w:val="13"/>
              </w:rPr>
              <w:t>RTO/RPO met, data reconciled and failback approved</w:t>
            </w:r>
          </w:p>
        </w:tc>
      </w:tr>
    </w:tbl>
    <w:p>
      <w:pPr>
        <w:spacing w:after="0"/>
      </w:pPr>
    </w:p>
    <w:p>
      <w:r>
        <w:br w:type="page"/>
      </w:r>
    </w:p>
    <w:p>
      <w:pPr>
        <w:pStyle w:val="Heading1"/>
      </w:pPr>
      <w:r>
        <w:t>5. Banking and Financial Services Reference Implementation</w:t>
      </w:r>
    </w:p>
    <w:p>
      <w:r>
        <w:t>A global retail and commercial bank with core banking, payments, cards, lending, treasury, digital channels and financial-crime operations. The platform supports near-real-time risk, customer and transaction analytics, regulated reporting, model governance and investigator productivity without weakening ledger integrity or segregation of duties.</w:t>
      </w:r>
    </w:p>
    <w:p>
      <w:pPr>
        <w:jc w:val="center"/>
      </w:pPr>
      <w:r>
        <w:drawing>
          <wp:inline xmlns:a="http://schemas.openxmlformats.org/drawingml/2006/main" xmlns:pic="http://schemas.openxmlformats.org/drawingml/2006/picture">
            <wp:extent cx="6156000" cy="938286"/>
            <wp:docPr id="5" name="Picture 5" descr="Image: image4.png"/>
            <wp:cNvGraphicFramePr>
              <a:graphicFrameLocks noChangeAspect="1"/>
            </wp:cNvGraphicFramePr>
            <a:graphic>
              <a:graphicData uri="http://schemas.openxmlformats.org/drawingml/2006/picture">
                <pic:pic>
                  <pic:nvPicPr>
                    <pic:cNvPr id="0" name="02_banking_architecture.png"/>
                    <pic:cNvPicPr/>
                  </pic:nvPicPr>
                  <pic:blipFill>
                    <a:blip r:embed="rId14"/>
                    <a:stretch>
                      <a:fillRect/>
                    </a:stretch>
                  </pic:blipFill>
                  <pic:spPr>
                    <a:xfrm>
                      <a:off x="0" y="0"/>
                      <a:ext cx="6156000" cy="938286"/>
                    </a:xfrm>
                    <a:prstGeom prst="rect"/>
                  </pic:spPr>
                </pic:pic>
              </a:graphicData>
            </a:graphic>
          </wp:inline>
        </w:drawing>
      </w:r>
    </w:p>
    <w:p>
      <w:pPr>
        <w:jc w:val="center"/>
      </w:pPr>
      <w:r>
        <w:rPr>
          <w:b/>
          <w:sz w:val="16"/>
        </w:rPr>
        <w:t>Figure 5-1. Banking and Financial Services logical reference architecture with industry controls.</w:t>
      </w:r>
    </w:p>
    <w:p>
      <w:pPr>
        <w:pStyle w:val="Heading2"/>
      </w:pPr>
      <w:r>
        <w:t>5.1 Business Context and Capabilities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Capability</w:t>
            </w:r>
          </w:p>
        </w:tc>
        <w:tc>
          <w:tcPr>
            <w:tcW w:type="dxa" w:w="5074"/>
            <w:shd w:fill="174EA6"/>
          </w:tcPr>
          <w:p>
            <w:pPr>
              <w:spacing w:after="0"/>
            </w:pPr>
            <w:r>
              <w:rPr>
                <w:b/>
                <w:color w:val="FFFFFF"/>
                <w:sz w:val="14"/>
              </w:rPr>
              <w:t>Architecture response</w:t>
            </w:r>
          </w:p>
        </w:tc>
      </w:tr>
      <w:tr>
        <w:tc>
          <w:tcPr>
            <w:tcW w:type="dxa" w:w="5074"/>
            <w:vAlign w:val="top"/>
          </w:tcPr>
          <w:p>
            <w:pPr>
              <w:spacing w:after="0"/>
            </w:pPr>
            <w:r>
              <w:rPr>
                <w:sz w:val="14"/>
              </w:rPr>
              <w:t>Customer and legal-entity 360</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Account, balance and transaction analytics</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Fraud and financial-crime detection</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Credit and liquidity risk analytics</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Finance, profitability and regulatory reporting</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Payments operations and reconciliation</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Digital-channel and service analytics</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Investigation and case-assistance workflows</w:t>
            </w:r>
          </w:p>
        </w:tc>
        <w:tc>
          <w:tcPr>
            <w:tcW w:type="dxa" w:w="5074"/>
            <w:shd w:fill="F7F8F9"/>
            <w:vAlign w:val="top"/>
          </w:tcPr>
          <w:p>
            <w:pPr>
              <w:spacing w:after="0"/>
            </w:pPr>
            <w:r>
              <w:rPr>
                <w:sz w:val="14"/>
              </w:rPr>
              <w:t>Delivered through governed domain products, analytical interfaces and risk-appropriate automation.</w:t>
            </w:r>
          </w:p>
        </w:tc>
      </w:tr>
    </w:tbl>
    <w:p>
      <w:pPr>
        <w:spacing w:after="0"/>
      </w:pPr>
    </w:p>
    <w:p>
      <w:pPr>
        <w:pStyle w:val="Heading2"/>
      </w:pPr>
      <w:r>
        <w:t>5.2 Regulatory Requirements</w:t>
      </w:r>
    </w:p>
    <w:p>
      <w:r>
        <w:t>DORA for applicable EU financial entities, FFIEC guidance for US banking operations, PCI DSS 4.0.1 for payment account data, GDPR and local banking secrecy/privacy requirements, records retention, model-risk management, sanctions and AML obligations. DORA establishes uniform ICT-risk and operational-resilience requirements for financial entities.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 objective</w:t>
            </w:r>
          </w:p>
        </w:tc>
        <w:tc>
          <w:tcPr>
            <w:tcW w:type="dxa" w:w="5074"/>
            <w:shd w:fill="174EA6"/>
          </w:tcPr>
          <w:p>
            <w:pPr>
              <w:spacing w:after="0"/>
            </w:pPr>
            <w:r>
              <w:rPr>
                <w:b/>
                <w:color w:val="FFFFFF"/>
                <w:sz w:val="14"/>
              </w:rPr>
              <w:t>Implementation pattern</w:t>
            </w:r>
          </w:p>
        </w:tc>
      </w:tr>
      <w:tr>
        <w:tc>
          <w:tcPr>
            <w:tcW w:type="dxa" w:w="5074"/>
            <w:vAlign w:val="top"/>
          </w:tcPr>
          <w:p>
            <w:pPr>
              <w:spacing w:after="0"/>
            </w:pPr>
            <w:r>
              <w:rPr>
                <w:sz w:val="14"/>
              </w:rPr>
              <w:t>Data inventory and purpose</w:t>
            </w:r>
          </w:p>
        </w:tc>
        <w:tc>
          <w:tcPr>
            <w:tcW w:type="dxa" w:w="5074"/>
            <w:vAlign w:val="top"/>
          </w:tcPr>
          <w:p>
            <w:pPr>
              <w:spacing w:after="0"/>
            </w:pPr>
            <w:r>
              <w:rPr>
                <w:sz w:val="14"/>
              </w:rPr>
              <w:t>Catalog every source/product and approved processing purpose.</w:t>
            </w:r>
          </w:p>
        </w:tc>
      </w:tr>
      <w:tr>
        <w:tc>
          <w:tcPr>
            <w:tcW w:type="dxa" w:w="5074"/>
            <w:shd w:fill="F7F8F9"/>
            <w:vAlign w:val="top"/>
          </w:tcPr>
          <w:p>
            <w:pPr>
              <w:spacing w:after="0"/>
            </w:pPr>
            <w:r>
              <w:rPr>
                <w:sz w:val="14"/>
              </w:rPr>
              <w:t>Access and segregation</w:t>
            </w:r>
          </w:p>
        </w:tc>
        <w:tc>
          <w:tcPr>
            <w:tcW w:type="dxa" w:w="5074"/>
            <w:shd w:fill="F7F8F9"/>
            <w:vAlign w:val="top"/>
          </w:tcPr>
          <w:p>
            <w:pPr>
              <w:spacing w:after="0"/>
            </w:pPr>
            <w:r>
              <w:rPr>
                <w:sz w:val="14"/>
              </w:rPr>
              <w:t>Group-based least privilege, workload identity, JIT elevation and separation of duties.</w:t>
            </w:r>
          </w:p>
        </w:tc>
      </w:tr>
      <w:tr>
        <w:tc>
          <w:tcPr>
            <w:tcW w:type="dxa" w:w="5074"/>
            <w:vAlign w:val="top"/>
          </w:tcPr>
          <w:p>
            <w:pPr>
              <w:spacing w:after="0"/>
            </w:pPr>
            <w:r>
              <w:rPr>
                <w:sz w:val="14"/>
              </w:rPr>
              <w:t>Protection</w:t>
            </w:r>
          </w:p>
        </w:tc>
        <w:tc>
          <w:tcPr>
            <w:tcW w:type="dxa" w:w="5074"/>
            <w:vAlign w:val="top"/>
          </w:tcPr>
          <w:p>
            <w:pPr>
              <w:spacing w:after="0"/>
            </w:pPr>
            <w:r>
              <w:rPr>
                <w:sz w:val="14"/>
              </w:rPr>
              <w:t>Regional projects, VPC Service Controls, CMEK/HSM as required, de-identification/tokenization.</w:t>
            </w:r>
          </w:p>
        </w:tc>
      </w:tr>
      <w:tr>
        <w:tc>
          <w:tcPr>
            <w:tcW w:type="dxa" w:w="5074"/>
            <w:shd w:fill="F7F8F9"/>
            <w:vAlign w:val="top"/>
          </w:tcPr>
          <w:p>
            <w:pPr>
              <w:spacing w:after="0"/>
            </w:pPr>
            <w:r>
              <w:rPr>
                <w:sz w:val="14"/>
              </w:rPr>
              <w:t>Evidence</w:t>
            </w:r>
          </w:p>
        </w:tc>
        <w:tc>
          <w:tcPr>
            <w:tcW w:type="dxa" w:w="5074"/>
            <w:shd w:fill="F7F8F9"/>
            <w:vAlign w:val="top"/>
          </w:tcPr>
          <w:p>
            <w:pPr>
              <w:spacing w:after="0"/>
            </w:pPr>
            <w:r>
              <w:rPr>
                <w:sz w:val="14"/>
              </w:rPr>
              <w:t>Immutable audit, data lineage, deployment/model evidence, incident and recovery records.</w:t>
            </w:r>
          </w:p>
        </w:tc>
      </w:tr>
      <w:tr>
        <w:tc>
          <w:tcPr>
            <w:tcW w:type="dxa" w:w="5074"/>
            <w:vAlign w:val="top"/>
          </w:tcPr>
          <w:p>
            <w:pPr>
              <w:spacing w:after="0"/>
            </w:pPr>
            <w:r>
              <w:rPr>
                <w:sz w:val="14"/>
              </w:rPr>
              <w:t>Resilience</w:t>
            </w:r>
          </w:p>
        </w:tc>
        <w:tc>
          <w:tcPr>
            <w:tcW w:type="dxa" w:w="5074"/>
            <w:vAlign w:val="top"/>
          </w:tcPr>
          <w:p>
            <w:pPr>
              <w:spacing w:after="0"/>
            </w:pPr>
            <w:r>
              <w:rPr>
                <w:sz w:val="14"/>
              </w:rPr>
              <w:t>Critical-journey SLOs, dependency mapping, tested failover/replay and third-party escalation.</w:t>
            </w:r>
          </w:p>
        </w:tc>
      </w:tr>
      <w:tr>
        <w:tc>
          <w:tcPr>
            <w:tcW w:type="dxa" w:w="5074"/>
            <w:shd w:fill="F7F8F9"/>
            <w:vAlign w:val="top"/>
          </w:tcPr>
          <w:p>
            <w:pPr>
              <w:spacing w:after="0"/>
            </w:pPr>
            <w:r>
              <w:rPr>
                <w:sz w:val="14"/>
              </w:rPr>
              <w:t>Lifecycle</w:t>
            </w:r>
          </w:p>
        </w:tc>
        <w:tc>
          <w:tcPr>
            <w:tcW w:type="dxa" w:w="5074"/>
            <w:shd w:fill="F7F8F9"/>
            <w:vAlign w:val="top"/>
          </w:tcPr>
          <w:p>
            <w:pPr>
              <w:spacing w:after="0"/>
            </w:pPr>
            <w:r>
              <w:rPr>
                <w:sz w:val="14"/>
              </w:rPr>
              <w:t>Retention, legal hold, deletion and derived-artifact propagation.</w:t>
            </w:r>
          </w:p>
        </w:tc>
      </w:tr>
    </w:tbl>
    <w:p>
      <w:pPr>
        <w:spacing w:after="0"/>
      </w:pPr>
    </w:p>
    <w:p>
      <w:pPr>
        <w:pStyle w:val="Heading2"/>
      </w:pPr>
      <w:r>
        <w:t>5.3 Data Sources and Ingestion</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Source category</w:t>
            </w:r>
          </w:p>
        </w:tc>
        <w:tc>
          <w:tcPr>
            <w:tcW w:type="dxa" w:w="3383"/>
            <w:shd w:fill="174EA6"/>
          </w:tcPr>
          <w:p>
            <w:pPr>
              <w:spacing w:after="0"/>
            </w:pPr>
            <w:r>
              <w:rPr>
                <w:b/>
                <w:color w:val="FFFFFF"/>
                <w:sz w:val="13"/>
              </w:rPr>
              <w:t>Recommended ingestion</w:t>
            </w:r>
          </w:p>
        </w:tc>
        <w:tc>
          <w:tcPr>
            <w:tcW w:type="dxa" w:w="3383"/>
            <w:shd w:fill="174EA6"/>
          </w:tcPr>
          <w:p>
            <w:pPr>
              <w:spacing w:after="0"/>
            </w:pPr>
            <w:r>
              <w:rPr>
                <w:b/>
                <w:color w:val="FFFFFF"/>
                <w:sz w:val="13"/>
              </w:rPr>
              <w:t>Key controls</w:t>
            </w:r>
          </w:p>
        </w:tc>
      </w:tr>
      <w:tr>
        <w:tc>
          <w:tcPr>
            <w:tcW w:type="dxa" w:w="3383"/>
            <w:vAlign w:val="top"/>
          </w:tcPr>
          <w:p>
            <w:pPr>
              <w:spacing w:after="0"/>
            </w:pPr>
            <w:r>
              <w:rPr>
                <w:sz w:val="13"/>
              </w:rPr>
              <w:t>Core banking and deposit systems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Card authorization and clearing</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Payments, ACH, wire and instant payment rails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Loan origination and servicing</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CRM, KYC and customer due diligence</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Sanctions and watchlists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Market and reference data</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General ledger and finance systems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Digital channel and contact center events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Fraud, AML and investigation case systems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bl>
    <w:p>
      <w:pPr>
        <w:spacing w:after="0"/>
      </w:pPr>
    </w:p>
    <w:p>
      <w:pPr>
        <w:pStyle w:val="Heading2"/>
      </w:pPr>
      <w:r>
        <w:t>5.4 Landing Zone and Networking</w:t>
      </w:r>
    </w:p>
    <w:p>
      <w:pPr>
        <w:pStyle w:val="ListBullet"/>
      </w:pPr>
      <w:r>
        <w:t>Separate regional production projects for shared platform, industry domains and high-risk workloads.</w:t>
      </w:r>
    </w:p>
    <w:p>
      <w:pPr>
        <w:pStyle w:val="ListBullet"/>
      </w:pPr>
      <w:r>
        <w:t>Use Shared VPC, private API paths/PSC where supported, restricted egress and hybrid connectivity sized to source/DR needs.</w:t>
      </w:r>
    </w:p>
    <w:p>
      <w:pPr>
        <w:pStyle w:val="ListBullet"/>
      </w:pPr>
      <w:r>
        <w:t>Apply tags/labels for industry, domain, product, environment, region, owner, classification, cost center and tier.</w:t>
      </w:r>
    </w:p>
    <w:p>
      <w:pPr>
        <w:pStyle w:val="ListBullet"/>
      </w:pPr>
      <w:r>
        <w:t>Place Restricted/Regulated projects in VPC Service Controls perimeters where service paths are supported and tested.</w:t>
      </w:r>
    </w:p>
    <w:p>
      <w:pPr>
        <w:pStyle w:val="ListBullet"/>
      </w:pPr>
      <w:r>
        <w:t>Use dedicated KMS key rings by region and classification; service-agent permissions are deployed through approved modules.</w:t>
      </w:r>
    </w:p>
    <w:p>
      <w:pPr>
        <w:pStyle w:val="Heading2"/>
      </w:pPr>
      <w:r>
        <w:t>5.5 Data Layers and Data Products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Layer</w:t>
            </w:r>
          </w:p>
        </w:tc>
        <w:tc>
          <w:tcPr>
            <w:tcW w:type="dxa" w:w="5074"/>
            <w:shd w:fill="174EA6"/>
          </w:tcPr>
          <w:p>
            <w:pPr>
              <w:spacing w:after="0"/>
            </w:pPr>
            <w:r>
              <w:rPr>
                <w:b/>
                <w:color w:val="FFFFFF"/>
                <w:sz w:val="14"/>
              </w:rPr>
              <w:t>Industry implementation</w:t>
            </w:r>
          </w:p>
        </w:tc>
      </w:tr>
      <w:tr>
        <w:tc>
          <w:tcPr>
            <w:tcW w:type="dxa" w:w="5074"/>
            <w:vAlign w:val="top"/>
          </w:tcPr>
          <w:p>
            <w:pPr>
              <w:spacing w:after="0"/>
            </w:pPr>
            <w:r>
              <w:rPr>
                <w:sz w:val="14"/>
              </w:rPr>
              <w:t>Landing/raw</w:t>
            </w:r>
          </w:p>
        </w:tc>
        <w:tc>
          <w:tcPr>
            <w:tcW w:type="dxa" w:w="5074"/>
            <w:vAlign w:val="top"/>
          </w:tcPr>
          <w:p>
            <w:pPr>
              <w:spacing w:after="0"/>
            </w:pPr>
            <w:r>
              <w:rPr>
                <w:sz w:val="14"/>
              </w:rPr>
              <w:t>Immutable source records, source metadata, legal/retention controls and quarantine.</w:t>
            </w:r>
          </w:p>
        </w:tc>
      </w:tr>
      <w:tr>
        <w:tc>
          <w:tcPr>
            <w:tcW w:type="dxa" w:w="5074"/>
            <w:shd w:fill="F7F8F9"/>
            <w:vAlign w:val="top"/>
          </w:tcPr>
          <w:p>
            <w:pPr>
              <w:spacing w:after="0"/>
            </w:pPr>
            <w:r>
              <w:rPr>
                <w:sz w:val="14"/>
              </w:rPr>
              <w:t>Standardized</w:t>
            </w:r>
          </w:p>
        </w:tc>
        <w:tc>
          <w:tcPr>
            <w:tcW w:type="dxa" w:w="5074"/>
            <w:shd w:fill="F7F8F9"/>
            <w:vAlign w:val="top"/>
          </w:tcPr>
          <w:p>
            <w:pPr>
              <w:spacing w:after="0"/>
            </w:pPr>
            <w:r>
              <w:rPr>
                <w:sz w:val="14"/>
              </w:rPr>
              <w:t>Canonical industry entities, source identifiers, event/validity timestamps and data-quality results.</w:t>
            </w:r>
          </w:p>
        </w:tc>
      </w:tr>
      <w:tr>
        <w:tc>
          <w:tcPr>
            <w:tcW w:type="dxa" w:w="5074"/>
            <w:vAlign w:val="top"/>
          </w:tcPr>
          <w:p>
            <w:pPr>
              <w:spacing w:after="0"/>
            </w:pPr>
            <w:r>
              <w:rPr>
                <w:sz w:val="14"/>
              </w:rPr>
              <w:t>Curated/product</w:t>
            </w:r>
          </w:p>
        </w:tc>
        <w:tc>
          <w:tcPr>
            <w:tcW w:type="dxa" w:w="5074"/>
            <w:vAlign w:val="top"/>
          </w:tcPr>
          <w:p>
            <w:pPr>
              <w:spacing w:after="0"/>
            </w:pPr>
            <w:r>
              <w:rPr>
                <w:sz w:val="14"/>
              </w:rPr>
              <w:t>Domain-owned products listed below with contracts, certification and SLOs.</w:t>
            </w:r>
          </w:p>
        </w:tc>
      </w:tr>
      <w:tr>
        <w:tc>
          <w:tcPr>
            <w:tcW w:type="dxa" w:w="5074"/>
            <w:shd w:fill="F7F8F9"/>
            <w:vAlign w:val="top"/>
          </w:tcPr>
          <w:p>
            <w:pPr>
              <w:spacing w:after="0"/>
            </w:pPr>
            <w:r>
              <w:rPr>
                <w:sz w:val="14"/>
              </w:rPr>
              <w:t>Semantic/serving</w:t>
            </w:r>
          </w:p>
        </w:tc>
        <w:tc>
          <w:tcPr>
            <w:tcW w:type="dxa" w:w="5074"/>
            <w:shd w:fill="F7F8F9"/>
            <w:vAlign w:val="top"/>
          </w:tcPr>
          <w:p>
            <w:pPr>
              <w:spacing w:after="0"/>
            </w:pPr>
            <w:r>
              <w:rPr>
                <w:sz w:val="14"/>
              </w:rPr>
              <w:t>Looker/BigQuery/API/feature/RAG interfaces separated by consumer and purpose.</w:t>
            </w:r>
          </w:p>
        </w:tc>
      </w:tr>
      <w:tr>
        <w:tc>
          <w:tcPr>
            <w:tcW w:type="dxa" w:w="5074"/>
            <w:vAlign w:val="top"/>
          </w:tcPr>
          <w:p>
            <w:pPr>
              <w:spacing w:after="0"/>
            </w:pPr>
            <w:r>
              <w:rPr>
                <w:sz w:val="14"/>
              </w:rPr>
              <w:t>Archive/recovery</w:t>
            </w:r>
          </w:p>
        </w:tc>
        <w:tc>
          <w:tcPr>
            <w:tcW w:type="dxa" w:w="5074"/>
            <w:vAlign w:val="top"/>
          </w:tcPr>
          <w:p>
            <w:pPr>
              <w:spacing w:after="0"/>
            </w:pPr>
            <w:r>
              <w:rPr>
                <w:sz w:val="14"/>
              </w:rPr>
              <w:t>Policy-driven retention, source replay, legal hold and recovery evidence.</w:t>
            </w:r>
          </w:p>
        </w:tc>
      </w:tr>
    </w:tbl>
    <w:p>
      <w:pPr>
        <w:spacing w:after="0"/>
      </w:pP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Data product</w:t>
            </w:r>
          </w:p>
        </w:tc>
        <w:tc>
          <w:tcPr>
            <w:tcW w:type="dxa" w:w="2537"/>
            <w:shd w:fill="174EA6"/>
          </w:tcPr>
          <w:p>
            <w:pPr>
              <w:spacing w:after="0"/>
            </w:pPr>
            <w:r>
              <w:rPr>
                <w:b/>
                <w:color w:val="FFFFFF"/>
                <w:sz w:val="13"/>
              </w:rPr>
              <w:t>Owner/accountability</w:t>
            </w:r>
          </w:p>
        </w:tc>
        <w:tc>
          <w:tcPr>
            <w:tcW w:type="dxa" w:w="2537"/>
            <w:shd w:fill="174EA6"/>
          </w:tcPr>
          <w:p>
            <w:pPr>
              <w:spacing w:after="0"/>
            </w:pPr>
            <w:r>
              <w:rPr>
                <w:b/>
                <w:color w:val="FFFFFF"/>
                <w:sz w:val="13"/>
              </w:rPr>
              <w:t>Primary consumers</w:t>
            </w:r>
          </w:p>
        </w:tc>
        <w:tc>
          <w:tcPr>
            <w:tcW w:type="dxa" w:w="2537"/>
            <w:shd w:fill="174EA6"/>
          </w:tcPr>
          <w:p>
            <w:pPr>
              <w:spacing w:after="0"/>
            </w:pPr>
            <w:r>
              <w:rPr>
                <w:b/>
                <w:color w:val="FFFFFF"/>
                <w:sz w:val="13"/>
              </w:rPr>
              <w:t>Baseline SLO</w:t>
            </w:r>
          </w:p>
        </w:tc>
      </w:tr>
      <w:tr>
        <w:tc>
          <w:tcPr>
            <w:tcW w:type="dxa" w:w="2537"/>
            <w:vAlign w:val="top"/>
          </w:tcPr>
          <w:p>
            <w:pPr>
              <w:spacing w:after="0"/>
            </w:pPr>
            <w:r>
              <w:rPr>
                <w:sz w:val="13"/>
              </w:rPr>
              <w:t>Party and legal-entity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Account and balance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Transaction and payment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Card authorization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KYC and customer-risk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AML investigation feature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Credit exposure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Liquidity and treasury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Regulatory finance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Digital service interaction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bl>
    <w:p>
      <w:pPr>
        <w:spacing w:after="0"/>
      </w:pPr>
    </w:p>
    <w:p>
      <w:pPr>
        <w:pStyle w:val="Heading2"/>
      </w:pPr>
      <w:r>
        <w:t>5.6 Data Mesh and Governance</w:t>
      </w:r>
    </w:p>
    <w:p>
      <w:r>
        <w:t>The industry is decomposed into business domains rather than technology silos. Domain product owners own meaning, quality, SLO, access intent and economics. The central platform team owns project factory, network, IAM/KMS patterns, ingestion/runtime templates, catalog integrations, observability and release controls. The federated governance council approves cross-domain definitions, high-risk sharing, certification and deprecation.</w:t>
      </w:r>
    </w:p>
    <w:p>
      <w:pPr>
        <w:pStyle w:val="Heading2"/>
      </w:pPr>
      <w:r>
        <w:t>5.7 Analytics and Semantic Layer</w:t>
      </w:r>
    </w:p>
    <w:p>
      <w:pPr>
        <w:pStyle w:val="ListBullet"/>
      </w:pPr>
      <w:r>
        <w:t>Define certified measures with business owner, formula, grain, time basis, exclusions, currency/unit and reconciliation source.</w:t>
      </w:r>
    </w:p>
    <w:p>
      <w:pPr>
        <w:pStyle w:val="ListBullet"/>
      </w:pPr>
      <w:r>
        <w:t>Expose Restricted detail through authorized views, row/column policies and purpose-specific semantic models.</w:t>
      </w:r>
    </w:p>
    <w:p>
      <w:pPr>
        <w:pStyle w:val="ListBullet"/>
      </w:pPr>
      <w:r>
        <w:t>Separate operational, executive, regulatory and exploratory workloads through reservations/assignments and cost labels.</w:t>
      </w:r>
    </w:p>
    <w:p>
      <w:pPr>
        <w:pStyle w:val="ListBullet"/>
      </w:pPr>
      <w:r>
        <w:t>Attach freshness and quality status to dashboards; do not display stale regulated metrics without clear indication.</w:t>
      </w:r>
    </w:p>
    <w:p>
      <w:pPr>
        <w:pStyle w:val="Heading2"/>
      </w:pPr>
      <w:r>
        <w:t>5.8 AI and GenAI</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Use case</w:t>
            </w:r>
          </w:p>
        </w:tc>
        <w:tc>
          <w:tcPr>
            <w:tcW w:type="dxa" w:w="5074"/>
            <w:shd w:fill="174EA6"/>
          </w:tcPr>
          <w:p>
            <w:pPr>
              <w:spacing w:after="0"/>
            </w:pPr>
            <w:r>
              <w:rPr>
                <w:b/>
                <w:color w:val="FFFFFF"/>
                <w:sz w:val="13"/>
              </w:rPr>
              <w:t>Required control</w:t>
            </w:r>
          </w:p>
        </w:tc>
      </w:tr>
      <w:tr>
        <w:tc>
          <w:tcPr>
            <w:tcW w:type="dxa" w:w="5074"/>
            <w:vAlign w:val="top"/>
          </w:tcPr>
          <w:p>
            <w:pPr>
              <w:spacing w:after="0"/>
            </w:pPr>
            <w:r>
              <w:rPr>
                <w:sz w:val="13"/>
              </w:rPr>
              <w:t>AML AI where product scope and data requirements fit retail/commercial banking</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Fraud models with low-latency features and investigator feedback</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Credit decision support subject to model-risk and fair-lending controls</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Grounded policy and procedure assistant</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Investigation summarization with citations and human disposition</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Contact-center agent with transaction/action approval gates</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Document intelligence for KYC and trade/loan documents</w:t>
            </w:r>
          </w:p>
        </w:tc>
        <w:tc>
          <w:tcPr>
            <w:tcW w:type="dxa" w:w="5074"/>
            <w:vAlign w:val="top"/>
          </w:tcPr>
          <w:p>
            <w:pPr>
              <w:spacing w:after="0"/>
            </w:pPr>
            <w:r>
              <w:rPr>
                <w:sz w:val="13"/>
              </w:rPr>
              <w:t>Risk tier, approved data/model, evaluation, human oversight, audit, rollback and prohibited-use statement</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CE8E6"/>
          </w:tcPr>
          <w:p>
            <w:r>
              <w:rPr>
                <w:b/>
                <w:color w:val="17365D"/>
              </w:rPr>
              <w:t xml:space="preserve">Industry AI rule - </w:t>
            </w:r>
            <w:r>
              <w:t>Models and agents cannot expand user authorization. Retrieval and tool access are enforced server-side using caller identity, product policy, purpose and action risk.</w:t>
            </w:r>
          </w:p>
        </w:tc>
        <w:trPr>
          <w:tblHeader/>
        </w:trPr>
      </w:tr>
    </w:tbl>
    <w:p>
      <w:pPr>
        <w:spacing w:after="0"/>
      </w:pPr>
    </w:p>
    <w:p>
      <w:pPr>
        <w:pStyle w:val="Heading2"/>
      </w:pPr>
      <w:r>
        <w:t>5.9 Security and Privacy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w:t>
            </w:r>
          </w:p>
        </w:tc>
        <w:tc>
          <w:tcPr>
            <w:tcW w:type="dxa" w:w="5074"/>
            <w:shd w:fill="174EA6"/>
          </w:tcPr>
          <w:p>
            <w:pPr>
              <w:spacing w:after="0"/>
            </w:pPr>
            <w:r>
              <w:rPr>
                <w:b/>
                <w:color w:val="FFFFFF"/>
                <w:sz w:val="14"/>
              </w:rPr>
              <w:t>Industry requirement</w:t>
            </w:r>
          </w:p>
        </w:tc>
      </w:tr>
      <w:tr>
        <w:tc>
          <w:tcPr>
            <w:tcW w:type="dxa" w:w="5074"/>
            <w:vAlign w:val="top"/>
          </w:tcPr>
          <w:p>
            <w:pPr>
              <w:spacing w:after="0"/>
            </w:pPr>
            <w:r>
              <w:rPr>
                <w:sz w:val="14"/>
              </w:rPr>
              <w:t>HSM/CMEK strategy for Restricted and Regulated data</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VPC Service Controls and regional financial-data perimeters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PCI cardholder-data segmentation and tokenization</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PAM and dual approval for production and key access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Immutable audit evidence and separation of maker/checker roles</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Model-risk, explainability and independent validation</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Transaction and case data excluded from uncontrolled prompts/logs</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DORA/FFIEC resilience and third-party dependency evidence</w:t>
            </w:r>
          </w:p>
        </w:tc>
        <w:tc>
          <w:tcPr>
            <w:tcW w:type="dxa" w:w="5074"/>
            <w:shd w:fill="F7F8F9"/>
            <w:vAlign w:val="top"/>
          </w:tcPr>
          <w:p>
            <w:pPr>
              <w:spacing w:after="0"/>
            </w:pPr>
            <w:r>
              <w:rPr>
                <w:sz w:val="14"/>
              </w:rPr>
              <w:t>Mandatory or risk-based implementation evidence before production</w:t>
            </w:r>
          </w:p>
        </w:tc>
      </w:tr>
    </w:tbl>
    <w:p>
      <w:pPr>
        <w:spacing w:after="0"/>
      </w:pPr>
    </w:p>
    <w:p>
      <w:pPr>
        <w:pStyle w:val="Heading2"/>
      </w:pPr>
      <w:r>
        <w:t>5.10 DevSecOps and Infrastructure as Code</w:t>
      </w:r>
    </w:p>
    <w:p>
      <w:pPr>
        <w:pStyle w:val="ListBullet"/>
      </w:pPr>
      <w:r>
        <w:t>Store Terraform, pipelines, SQL, semantic models, prompts, evaluation sets, policies and runbooks in protected repositories.</w:t>
      </w:r>
    </w:p>
    <w:p>
      <w:pPr>
        <w:pStyle w:val="ListBullet"/>
      </w:pPr>
      <w:r>
        <w:t>Build once and promote immutable artifact digests; do not rebuild per environment.</w:t>
      </w:r>
    </w:p>
    <w:p>
      <w:pPr>
        <w:pStyle w:val="ListBullet"/>
      </w:pPr>
      <w:r>
        <w:t>Run unit, contract, integration, data-quality, security, privacy, performance, resilience and rollback tests.</w:t>
      </w:r>
    </w:p>
    <w:p>
      <w:pPr>
        <w:pStyle w:val="ListBullet"/>
      </w:pPr>
      <w:r>
        <w:t>Require independent approvals for production and high-risk model/prompt/tool releases.</w:t>
      </w:r>
    </w:p>
    <w:p>
      <w:pPr>
        <w:pStyle w:val="ListBullet"/>
      </w:pPr>
      <w:r>
        <w:t>Volume 9 and Volume 13 provide the full CI/CD and Terraform operating implementation; this volume supplies industry-specific inputs and examples.</w:t>
      </w:r>
    </w:p>
    <w:p>
      <w:pPr>
        <w:pStyle w:val="Heading2"/>
      </w:pPr>
      <w:r>
        <w:t>5.11 SRE and Operational Model</w:t>
      </w:r>
    </w:p>
    <w:p>
      <w:r>
        <w:t>Tier 0 payment/fraud/AML ingestion and risk-scoring servicesEnd-to-end payment-event freshness, decision latency and backlog SLIsError budgets tied to financial impact and regulatory reporting windowsVendor and payment-rail escalation integrated into incident command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Operational requirement</w:t>
            </w:r>
          </w:p>
        </w:tc>
        <w:tc>
          <w:tcPr>
            <w:tcW w:type="dxa" w:w="5074"/>
            <w:shd w:fill="174EA6"/>
          </w:tcPr>
          <w:p>
            <w:pPr>
              <w:spacing w:after="0"/>
            </w:pPr>
            <w:r>
              <w:rPr>
                <w:b/>
                <w:color w:val="FFFFFF"/>
                <w:sz w:val="14"/>
              </w:rPr>
              <w:t>Standard</w:t>
            </w:r>
          </w:p>
        </w:tc>
      </w:tr>
      <w:tr>
        <w:tc>
          <w:tcPr>
            <w:tcW w:type="dxa" w:w="5074"/>
            <w:vAlign w:val="top"/>
          </w:tcPr>
          <w:p>
            <w:pPr>
              <w:spacing w:after="0"/>
            </w:pPr>
            <w:r>
              <w:rPr>
                <w:sz w:val="14"/>
              </w:rPr>
              <w:t>Ownership</w:t>
            </w:r>
          </w:p>
        </w:tc>
        <w:tc>
          <w:tcPr>
            <w:tcW w:type="dxa" w:w="5074"/>
            <w:vAlign w:val="top"/>
          </w:tcPr>
          <w:p>
            <w:pPr>
              <w:spacing w:after="0"/>
            </w:pPr>
            <w:r>
              <w:rPr>
                <w:sz w:val="14"/>
              </w:rPr>
              <w:t>Business service owner, product owner, technical owner and on-call recorded.</w:t>
            </w:r>
          </w:p>
        </w:tc>
      </w:tr>
      <w:tr>
        <w:tc>
          <w:tcPr>
            <w:tcW w:type="dxa" w:w="5074"/>
            <w:shd w:fill="F7F8F9"/>
            <w:vAlign w:val="top"/>
          </w:tcPr>
          <w:p>
            <w:pPr>
              <w:spacing w:after="0"/>
            </w:pPr>
            <w:r>
              <w:rPr>
                <w:sz w:val="14"/>
              </w:rPr>
              <w:t>SLIs/SLOs</w:t>
            </w:r>
          </w:p>
        </w:tc>
        <w:tc>
          <w:tcPr>
            <w:tcW w:type="dxa" w:w="5074"/>
            <w:shd w:fill="F7F8F9"/>
            <w:vAlign w:val="top"/>
          </w:tcPr>
          <w:p>
            <w:pPr>
              <w:spacing w:after="0"/>
            </w:pPr>
            <w:r>
              <w:rPr>
                <w:sz w:val="14"/>
              </w:rPr>
              <w:t>User journey, freshness, quality, availability, latency, backlog and recovery measured.</w:t>
            </w:r>
          </w:p>
        </w:tc>
      </w:tr>
      <w:tr>
        <w:tc>
          <w:tcPr>
            <w:tcW w:type="dxa" w:w="5074"/>
            <w:vAlign w:val="top"/>
          </w:tcPr>
          <w:p>
            <w:pPr>
              <w:spacing w:after="0"/>
            </w:pPr>
            <w:r>
              <w:rPr>
                <w:sz w:val="14"/>
              </w:rPr>
              <w:t>Alerting</w:t>
            </w:r>
          </w:p>
        </w:tc>
        <w:tc>
          <w:tcPr>
            <w:tcW w:type="dxa" w:w="5074"/>
            <w:vAlign w:val="top"/>
          </w:tcPr>
          <w:p>
            <w:pPr>
              <w:spacing w:after="0"/>
            </w:pPr>
            <w:r>
              <w:rPr>
                <w:sz w:val="14"/>
              </w:rPr>
              <w:t>Burn-rate/symptom pages; dependency and lifecycle tickets; every page has a runbook.</w:t>
            </w:r>
          </w:p>
        </w:tc>
      </w:tr>
      <w:tr>
        <w:tc>
          <w:tcPr>
            <w:tcW w:type="dxa" w:w="5074"/>
            <w:shd w:fill="F7F8F9"/>
            <w:vAlign w:val="top"/>
          </w:tcPr>
          <w:p>
            <w:pPr>
              <w:spacing w:after="0"/>
            </w:pPr>
            <w:r>
              <w:rPr>
                <w:sz w:val="14"/>
              </w:rPr>
              <w:t>Incident</w:t>
            </w:r>
          </w:p>
        </w:tc>
        <w:tc>
          <w:tcPr>
            <w:tcW w:type="dxa" w:w="5074"/>
            <w:shd w:fill="F7F8F9"/>
            <w:vAlign w:val="top"/>
          </w:tcPr>
          <w:p>
            <w:pPr>
              <w:spacing w:after="0"/>
            </w:pPr>
            <w:r>
              <w:rPr>
                <w:sz w:val="14"/>
              </w:rPr>
              <w:t>Industry/business control owner joins security/SRE according to impact.</w:t>
            </w:r>
          </w:p>
        </w:tc>
      </w:tr>
      <w:tr>
        <w:tc>
          <w:tcPr>
            <w:tcW w:type="dxa" w:w="5074"/>
            <w:vAlign w:val="top"/>
          </w:tcPr>
          <w:p>
            <w:pPr>
              <w:spacing w:after="0"/>
            </w:pPr>
            <w:r>
              <w:rPr>
                <w:sz w:val="14"/>
              </w:rPr>
              <w:t>Capacity</w:t>
            </w:r>
          </w:p>
        </w:tc>
        <w:tc>
          <w:tcPr>
            <w:tcW w:type="dxa" w:w="5074"/>
            <w:vAlign w:val="top"/>
          </w:tcPr>
          <w:p>
            <w:pPr>
              <w:spacing w:after="0"/>
            </w:pPr>
            <w:r>
              <w:rPr>
                <w:sz w:val="14"/>
              </w:rPr>
              <w:t>Forecast growth, seasonality, model/vector/token use and backfill capacity.</w:t>
            </w:r>
          </w:p>
        </w:tc>
      </w:tr>
      <w:tr>
        <w:tc>
          <w:tcPr>
            <w:tcW w:type="dxa" w:w="5074"/>
            <w:shd w:fill="F7F8F9"/>
            <w:vAlign w:val="top"/>
          </w:tcPr>
          <w:p>
            <w:pPr>
              <w:spacing w:after="0"/>
            </w:pPr>
            <w:r>
              <w:rPr>
                <w:sz w:val="14"/>
              </w:rPr>
              <w:t>Review</w:t>
            </w:r>
          </w:p>
        </w:tc>
        <w:tc>
          <w:tcPr>
            <w:tcW w:type="dxa" w:w="5074"/>
            <w:shd w:fill="F7F8F9"/>
            <w:vAlign w:val="top"/>
          </w:tcPr>
          <w:p>
            <w:pPr>
              <w:spacing w:after="0"/>
            </w:pPr>
            <w:r>
              <w:rPr>
                <w:sz w:val="14"/>
              </w:rPr>
              <w:t>Monthly service review and quarterly risk/cost/resilience review.</w:t>
            </w:r>
          </w:p>
        </w:tc>
      </w:tr>
    </w:tbl>
    <w:p>
      <w:pPr>
        <w:spacing w:after="0"/>
      </w:pPr>
    </w:p>
    <w:p>
      <w:pPr>
        <w:pStyle w:val="Heading2"/>
      </w:pPr>
      <w:r>
        <w:t>5.12 Disaster Recovery and Business Continuity</w:t>
      </w:r>
    </w:p>
    <w:p>
      <w:r>
        <w:t>Multi-region recovery for critical risk and transaction data productsPoint-in-time reproducible AML/risk datasets and model artifactsCyber-recovery isolation and evidence preservationDORA/FFIEC scenario testing including provider and data corruption failures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Tier</w:t>
            </w:r>
          </w:p>
        </w:tc>
        <w:tc>
          <w:tcPr>
            <w:tcW w:type="dxa" w:w="3383"/>
            <w:shd w:fill="174EA6"/>
          </w:tcPr>
          <w:p>
            <w:pPr>
              <w:spacing w:after="0"/>
            </w:pPr>
            <w:r>
              <w:rPr>
                <w:b/>
                <w:color w:val="FFFFFF"/>
                <w:sz w:val="14"/>
              </w:rPr>
              <w:t>Target</w:t>
            </w:r>
          </w:p>
        </w:tc>
        <w:tc>
          <w:tcPr>
            <w:tcW w:type="dxa" w:w="3383"/>
            <w:shd w:fill="174EA6"/>
          </w:tcPr>
          <w:p>
            <w:pPr>
              <w:spacing w:after="0"/>
            </w:pPr>
            <w:r>
              <w:rPr>
                <w:b/>
                <w:color w:val="FFFFFF"/>
                <w:sz w:val="14"/>
              </w:rPr>
              <w:t>Industry application</w:t>
            </w:r>
          </w:p>
        </w:tc>
      </w:tr>
      <w:tr>
        <w:tc>
          <w:tcPr>
            <w:tcW w:type="dxa" w:w="3383"/>
            <w:vAlign w:val="top"/>
          </w:tcPr>
          <w:p>
            <w:pPr>
              <w:spacing w:after="0"/>
            </w:pPr>
            <w:r>
              <w:rPr>
                <w:sz w:val="14"/>
              </w:rPr>
              <w:t>0</w:t>
            </w:r>
          </w:p>
        </w:tc>
        <w:tc>
          <w:tcPr>
            <w:tcW w:type="dxa" w:w="3383"/>
            <w:vAlign w:val="top"/>
          </w:tcPr>
          <w:p>
            <w:pPr>
              <w:spacing w:after="0"/>
            </w:pPr>
            <w:r>
              <w:rPr>
                <w:sz w:val="14"/>
              </w:rPr>
              <w:t>RTO &lt;1h; RPO &lt;5m</w:t>
            </w:r>
          </w:p>
        </w:tc>
        <w:tc>
          <w:tcPr>
            <w:tcW w:type="dxa" w:w="3383"/>
            <w:vAlign w:val="top"/>
          </w:tcPr>
          <w:p>
            <w:pPr>
              <w:spacing w:after="0"/>
            </w:pPr>
            <w:r>
              <w:rPr>
                <w:sz w:val="14"/>
              </w:rPr>
              <w:t>Critical real-time/operational products and decision support</w:t>
            </w:r>
          </w:p>
        </w:tc>
      </w:tr>
      <w:tr>
        <w:tc>
          <w:tcPr>
            <w:tcW w:type="dxa" w:w="3383"/>
            <w:shd w:fill="F7F8F9"/>
            <w:vAlign w:val="top"/>
          </w:tcPr>
          <w:p>
            <w:pPr>
              <w:spacing w:after="0"/>
            </w:pPr>
            <w:r>
              <w:rPr>
                <w:sz w:val="14"/>
              </w:rPr>
              <w:t>1</w:t>
            </w:r>
          </w:p>
        </w:tc>
        <w:tc>
          <w:tcPr>
            <w:tcW w:type="dxa" w:w="3383"/>
            <w:shd w:fill="F7F8F9"/>
            <w:vAlign w:val="top"/>
          </w:tcPr>
          <w:p>
            <w:pPr>
              <w:spacing w:after="0"/>
            </w:pPr>
            <w:r>
              <w:rPr>
                <w:sz w:val="14"/>
              </w:rPr>
              <w:t>RTO &lt;4h; RPO &lt;15m</w:t>
            </w:r>
          </w:p>
        </w:tc>
        <w:tc>
          <w:tcPr>
            <w:tcW w:type="dxa" w:w="3383"/>
            <w:shd w:fill="F7F8F9"/>
            <w:vAlign w:val="top"/>
          </w:tcPr>
          <w:p>
            <w:pPr>
              <w:spacing w:after="0"/>
            </w:pPr>
            <w:r>
              <w:rPr>
                <w:sz w:val="14"/>
              </w:rPr>
              <w:t>High-value analytical, risk, inventory, assurance and AI services</w:t>
            </w:r>
          </w:p>
        </w:tc>
      </w:tr>
      <w:tr>
        <w:tc>
          <w:tcPr>
            <w:tcW w:type="dxa" w:w="3383"/>
            <w:vAlign w:val="top"/>
          </w:tcPr>
          <w:p>
            <w:pPr>
              <w:spacing w:after="0"/>
            </w:pPr>
            <w:r>
              <w:rPr>
                <w:sz w:val="14"/>
              </w:rPr>
              <w:t>2</w:t>
            </w:r>
          </w:p>
        </w:tc>
        <w:tc>
          <w:tcPr>
            <w:tcW w:type="dxa" w:w="3383"/>
            <w:vAlign w:val="top"/>
          </w:tcPr>
          <w:p>
            <w:pPr>
              <w:spacing w:after="0"/>
            </w:pPr>
            <w:r>
              <w:rPr>
                <w:sz w:val="14"/>
              </w:rPr>
              <w:t>RTO &lt;24h; RPO &lt;24h</w:t>
            </w:r>
          </w:p>
        </w:tc>
        <w:tc>
          <w:tcPr>
            <w:tcW w:type="dxa" w:w="3383"/>
            <w:vAlign w:val="top"/>
          </w:tcPr>
          <w:p>
            <w:pPr>
              <w:spacing w:after="0"/>
            </w:pPr>
            <w:r>
              <w:rPr>
                <w:sz w:val="14"/>
              </w:rPr>
              <w:t>Exploratory, historical and non-critical workloads</w:t>
            </w:r>
          </w:p>
        </w:tc>
      </w:tr>
    </w:tbl>
    <w:p>
      <w:pPr>
        <w:spacing w:after="0"/>
      </w:pPr>
    </w:p>
    <w:p>
      <w:pPr>
        <w:pStyle w:val="Heading2"/>
      </w:pPr>
      <w:r>
        <w:t>5.13 FinOps and Cost Governance</w:t>
      </w:r>
    </w:p>
    <w:p>
      <w:r>
        <w:t>Cost per scored party, screened transaction, payment event and regulatory reportReserved BigQuery capacity for predictable reporting/risk workloadsSeparate exploratory model development from governed production scoringCommitment decisions based on sustained utilization and resilience requirements</w:t>
      </w:r>
    </w:p>
    <w:p>
      <w:pPr>
        <w:pStyle w:val="ListBullet"/>
      </w:pPr>
      <w:r>
        <w:t>Allocate cost to industry, domain, product, environment, region, owner and workload.</w:t>
      </w:r>
    </w:p>
    <w:p>
      <w:pPr>
        <w:pStyle w:val="ListBullet"/>
      </w:pPr>
      <w:r>
        <w:t>Forecast from measurable units; do not hard-code prices.</w:t>
      </w:r>
    </w:p>
    <w:p>
      <w:pPr>
        <w:pStyle w:val="ListBullet"/>
      </w:pPr>
      <w:r>
        <w:t>Review cost per successful business unit alongside quality and SLO.</w:t>
      </w:r>
    </w:p>
    <w:p>
      <w:pPr>
        <w:pStyle w:val="ListBullet"/>
      </w:pPr>
      <w:r>
        <w:t>Require approval for persistent clusters, high-cardinality telemetry, unbounded RAG context or autonomous tool loops.</w:t>
      </w:r>
    </w:p>
    <w:p>
      <w:pPr>
        <w:pStyle w:val="Heading2"/>
      </w:pPr>
      <w:r>
        <w:t>5.14 Implementation Roadmap</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Wave</w:t>
            </w:r>
          </w:p>
        </w:tc>
        <w:tc>
          <w:tcPr>
            <w:tcW w:type="dxa" w:w="5074"/>
            <w:shd w:fill="174EA6"/>
          </w:tcPr>
          <w:p>
            <w:pPr>
              <w:spacing w:after="0"/>
            </w:pPr>
            <w:r>
              <w:rPr>
                <w:b/>
                <w:color w:val="FFFFFF"/>
                <w:sz w:val="14"/>
              </w:rPr>
              <w:t>Outcome</w:t>
            </w:r>
          </w:p>
        </w:tc>
      </w:tr>
      <w:tr>
        <w:tc>
          <w:tcPr>
            <w:tcW w:type="dxa" w:w="5074"/>
            <w:vAlign w:val="top"/>
          </w:tcPr>
          <w:p>
            <w:pPr>
              <w:spacing w:after="0"/>
            </w:pPr>
            <w:r>
              <w:rPr>
                <w:sz w:val="14"/>
              </w:rPr>
              <w:t>1</w:t>
            </w:r>
          </w:p>
        </w:tc>
        <w:tc>
          <w:tcPr>
            <w:tcW w:type="dxa" w:w="5074"/>
            <w:vAlign w:val="top"/>
          </w:tcPr>
          <w:p>
            <w:pPr>
              <w:spacing w:after="0"/>
            </w:pPr>
            <w:r>
              <w:rPr>
                <w:sz w:val="14"/>
              </w:rPr>
              <w:t>Regulated landing zone and transaction ingestion</w:t>
            </w:r>
          </w:p>
        </w:tc>
      </w:tr>
      <w:tr>
        <w:tc>
          <w:tcPr>
            <w:tcW w:type="dxa" w:w="5074"/>
            <w:shd w:fill="F7F8F9"/>
            <w:vAlign w:val="top"/>
          </w:tcPr>
          <w:p>
            <w:pPr>
              <w:spacing w:after="0"/>
            </w:pPr>
            <w:r>
              <w:rPr>
                <w:sz w:val="14"/>
              </w:rPr>
              <w:t>2</w:t>
            </w:r>
          </w:p>
        </w:tc>
        <w:tc>
          <w:tcPr>
            <w:tcW w:type="dxa" w:w="5074"/>
            <w:shd w:fill="F7F8F9"/>
            <w:vAlign w:val="top"/>
          </w:tcPr>
          <w:p>
            <w:pPr>
              <w:spacing w:after="0"/>
            </w:pPr>
            <w:r>
              <w:rPr>
                <w:sz w:val="14"/>
              </w:rPr>
              <w:t>Customer/account/transaction data products</w:t>
            </w:r>
          </w:p>
        </w:tc>
      </w:tr>
      <w:tr>
        <w:tc>
          <w:tcPr>
            <w:tcW w:type="dxa" w:w="5074"/>
            <w:vAlign w:val="top"/>
          </w:tcPr>
          <w:p>
            <w:pPr>
              <w:spacing w:after="0"/>
            </w:pPr>
            <w:r>
              <w:rPr>
                <w:sz w:val="14"/>
              </w:rPr>
              <w:t>3</w:t>
            </w:r>
          </w:p>
        </w:tc>
        <w:tc>
          <w:tcPr>
            <w:tcW w:type="dxa" w:w="5074"/>
            <w:vAlign w:val="top"/>
          </w:tcPr>
          <w:p>
            <w:pPr>
              <w:spacing w:after="0"/>
            </w:pPr>
            <w:r>
              <w:rPr>
                <w:sz w:val="14"/>
              </w:rPr>
              <w:t>Fraud and AML analytics</w:t>
            </w:r>
          </w:p>
        </w:tc>
      </w:tr>
      <w:tr>
        <w:tc>
          <w:tcPr>
            <w:tcW w:type="dxa" w:w="5074"/>
            <w:shd w:fill="F7F8F9"/>
            <w:vAlign w:val="top"/>
          </w:tcPr>
          <w:p>
            <w:pPr>
              <w:spacing w:after="0"/>
            </w:pPr>
            <w:r>
              <w:rPr>
                <w:sz w:val="14"/>
              </w:rPr>
              <w:t>4</w:t>
            </w:r>
          </w:p>
        </w:tc>
        <w:tc>
          <w:tcPr>
            <w:tcW w:type="dxa" w:w="5074"/>
            <w:shd w:fill="F7F8F9"/>
            <w:vAlign w:val="top"/>
          </w:tcPr>
          <w:p>
            <w:pPr>
              <w:spacing w:after="0"/>
            </w:pPr>
            <w:r>
              <w:rPr>
                <w:sz w:val="14"/>
              </w:rPr>
              <w:t>Finance and regulatory reporting modernization</w:t>
            </w:r>
          </w:p>
        </w:tc>
      </w:tr>
      <w:tr>
        <w:tc>
          <w:tcPr>
            <w:tcW w:type="dxa" w:w="5074"/>
            <w:vAlign w:val="top"/>
          </w:tcPr>
          <w:p>
            <w:pPr>
              <w:spacing w:after="0"/>
            </w:pPr>
            <w:r>
              <w:rPr>
                <w:sz w:val="14"/>
              </w:rPr>
              <w:t>5</w:t>
            </w:r>
          </w:p>
        </w:tc>
        <w:tc>
          <w:tcPr>
            <w:tcW w:type="dxa" w:w="5074"/>
            <w:vAlign w:val="top"/>
          </w:tcPr>
          <w:p>
            <w:pPr>
              <w:spacing w:after="0"/>
            </w:pPr>
            <w:r>
              <w:rPr>
                <w:sz w:val="14"/>
              </w:rPr>
              <w:t>Governed investigation agents</w:t>
            </w:r>
          </w:p>
        </w:tc>
      </w:tr>
      <w:tr>
        <w:tc>
          <w:tcPr>
            <w:tcW w:type="dxa" w:w="5074"/>
            <w:shd w:fill="F7F8F9"/>
            <w:vAlign w:val="top"/>
          </w:tcPr>
          <w:p>
            <w:pPr>
              <w:spacing w:after="0"/>
            </w:pPr>
            <w:r>
              <w:rPr>
                <w:sz w:val="14"/>
              </w:rPr>
              <w:t>6</w:t>
            </w:r>
          </w:p>
        </w:tc>
        <w:tc>
          <w:tcPr>
            <w:tcW w:type="dxa" w:w="5074"/>
            <w:shd w:fill="F7F8F9"/>
            <w:vAlign w:val="top"/>
          </w:tcPr>
          <w:p>
            <w:pPr>
              <w:spacing w:after="0"/>
            </w:pPr>
            <w:r>
              <w:rPr>
                <w:sz w:val="14"/>
              </w:rPr>
              <w:t>Cross-jurisdiction scale and resilience testing</w:t>
            </w:r>
          </w:p>
        </w:tc>
      </w:tr>
    </w:tbl>
    <w:p>
      <w:pPr>
        <w:spacing w:after="0"/>
      </w:pPr>
    </w:p>
    <w:p>
      <w:pPr>
        <w:pStyle w:val="Heading2"/>
      </w:pPr>
      <w:r>
        <w:t>5.15 Architecture Decisions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ADR</w:t>
            </w:r>
          </w:p>
        </w:tc>
        <w:tc>
          <w:tcPr>
            <w:tcW w:type="dxa" w:w="5074"/>
            <w:shd w:fill="174EA6"/>
          </w:tcPr>
          <w:p>
            <w:pPr>
              <w:spacing w:after="0"/>
            </w:pPr>
            <w:r>
              <w:rPr>
                <w:b/>
                <w:color w:val="FFFFFF"/>
                <w:sz w:val="14"/>
              </w:rPr>
              <w:t>Decision title</w:t>
            </w:r>
          </w:p>
        </w:tc>
      </w:tr>
      <w:tr>
        <w:tc>
          <w:tcPr>
            <w:tcW w:type="dxa" w:w="5074"/>
            <w:vAlign w:val="top"/>
          </w:tcPr>
          <w:p>
            <w:pPr>
              <w:spacing w:after="0"/>
            </w:pPr>
            <w:r>
              <w:rPr>
                <w:sz w:val="14"/>
              </w:rPr>
              <w:t>B-ADR-01</w:t>
            </w:r>
          </w:p>
        </w:tc>
        <w:tc>
          <w:tcPr>
            <w:tcW w:type="dxa" w:w="5074"/>
            <w:vAlign w:val="top"/>
          </w:tcPr>
          <w:p>
            <w:pPr>
              <w:spacing w:after="0"/>
            </w:pPr>
            <w:r>
              <w:rPr>
                <w:sz w:val="14"/>
              </w:rPr>
              <w:t>Preserve system-of-record ledgers and use analytics copies</w:t>
            </w:r>
          </w:p>
        </w:tc>
      </w:tr>
      <w:tr>
        <w:tc>
          <w:tcPr>
            <w:tcW w:type="dxa" w:w="5074"/>
            <w:shd w:fill="F7F8F9"/>
            <w:vAlign w:val="top"/>
          </w:tcPr>
          <w:p>
            <w:pPr>
              <w:spacing w:after="0"/>
            </w:pPr>
            <w:r>
              <w:rPr>
                <w:sz w:val="14"/>
              </w:rPr>
              <w:t>B-ADR-02</w:t>
            </w:r>
          </w:p>
        </w:tc>
        <w:tc>
          <w:tcPr>
            <w:tcW w:type="dxa" w:w="5074"/>
            <w:shd w:fill="F7F8F9"/>
            <w:vAlign w:val="top"/>
          </w:tcPr>
          <w:p>
            <w:pPr>
              <w:spacing w:after="0"/>
            </w:pPr>
            <w:r>
              <w:rPr>
                <w:sz w:val="14"/>
              </w:rPr>
              <w:t>Use point-in-time financial data products for risk and AML</w:t>
            </w:r>
          </w:p>
        </w:tc>
      </w:tr>
      <w:tr>
        <w:tc>
          <w:tcPr>
            <w:tcW w:type="dxa" w:w="5074"/>
            <w:vAlign w:val="top"/>
          </w:tcPr>
          <w:p>
            <w:pPr>
              <w:spacing w:after="0"/>
            </w:pPr>
            <w:r>
              <w:rPr>
                <w:sz w:val="14"/>
              </w:rPr>
              <w:t>B-ADR-03</w:t>
            </w:r>
          </w:p>
        </w:tc>
        <w:tc>
          <w:tcPr>
            <w:tcW w:type="dxa" w:w="5074"/>
            <w:vAlign w:val="top"/>
          </w:tcPr>
          <w:p>
            <w:pPr>
              <w:spacing w:after="0"/>
            </w:pPr>
            <w:r>
              <w:rPr>
                <w:sz w:val="14"/>
              </w:rPr>
              <w:t>Adopt AML AI conditionally within supported product scope</w:t>
            </w:r>
          </w:p>
        </w:tc>
      </w:tr>
      <w:tr>
        <w:tc>
          <w:tcPr>
            <w:tcW w:type="dxa" w:w="5074"/>
            <w:shd w:fill="F7F8F9"/>
            <w:vAlign w:val="top"/>
          </w:tcPr>
          <w:p>
            <w:pPr>
              <w:spacing w:after="0"/>
            </w:pPr>
            <w:r>
              <w:rPr>
                <w:sz w:val="14"/>
              </w:rPr>
              <w:t>B-ADR-04</w:t>
            </w:r>
          </w:p>
        </w:tc>
        <w:tc>
          <w:tcPr>
            <w:tcW w:type="dxa" w:w="5074"/>
            <w:shd w:fill="F7F8F9"/>
            <w:vAlign w:val="top"/>
          </w:tcPr>
          <w:p>
            <w:pPr>
              <w:spacing w:after="0"/>
            </w:pPr>
            <w:r>
              <w:rPr>
                <w:sz w:val="14"/>
              </w:rPr>
              <w:t>Require dual control for high-impact data and model changes</w:t>
            </w:r>
          </w:p>
        </w:tc>
      </w:tr>
    </w:tbl>
    <w:p>
      <w:pPr>
        <w:spacing w:after="0"/>
      </w:pPr>
    </w:p>
    <w:p>
      <w:pPr>
        <w:pStyle w:val="Heading2"/>
      </w:pPr>
      <w:r>
        <w:t>5.16 Risk Register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Risk</w:t>
            </w:r>
          </w:p>
        </w:tc>
        <w:tc>
          <w:tcPr>
            <w:tcW w:type="dxa" w:w="5074"/>
            <w:shd w:fill="174EA6"/>
          </w:tcPr>
          <w:p>
            <w:pPr>
              <w:spacing w:after="0"/>
            </w:pPr>
            <w:r>
              <w:rPr>
                <w:b/>
                <w:color w:val="FFFFFF"/>
                <w:sz w:val="14"/>
              </w:rPr>
              <w:t>Control response</w:t>
            </w:r>
          </w:p>
        </w:tc>
      </w:tr>
      <w:tr>
        <w:tc>
          <w:tcPr>
            <w:tcW w:type="dxa" w:w="5074"/>
            <w:vAlign w:val="top"/>
          </w:tcPr>
          <w:p>
            <w:pPr>
              <w:spacing w:after="0"/>
            </w:pPr>
            <w:r>
              <w:rPr>
                <w:sz w:val="14"/>
              </w:rPr>
              <w:t>Ledger or reporting reconciliation failure</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Model bias or unvalidated decisioning</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Payment data exposure</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AML input point-in-time inconsistency</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Third-party outage</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Cross-border data transfer violation</w:t>
            </w:r>
          </w:p>
        </w:tc>
        <w:tc>
          <w:tcPr>
            <w:tcW w:type="dxa" w:w="5074"/>
            <w:shd w:fill="F7F8F9"/>
            <w:vAlign w:val="top"/>
          </w:tcPr>
          <w:p>
            <w:pPr>
              <w:spacing w:after="0"/>
            </w:pPr>
            <w:r>
              <w:rPr>
                <w:sz w:val="14"/>
              </w:rPr>
              <w:t>Named owner, preventive/detective controls, tested response and residual-risk review</w:t>
            </w:r>
          </w:p>
        </w:tc>
      </w:tr>
    </w:tbl>
    <w:p>
      <w:pPr>
        <w:spacing w:after="0"/>
      </w:pPr>
    </w:p>
    <w:p>
      <w:pPr>
        <w:pStyle w:val="Heading2"/>
      </w:pPr>
      <w:r>
        <w:t>5.17 Implementation Examples</w:t>
      </w:r>
    </w:p>
    <w:p>
      <w:r>
        <w:t>The package folder examples/banking contains a streaming pipeline, BigQuery industry interface, governed AI prompt and Terraform variables. The common folder contains the reusable regional landing and curated-data foundation.</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CREATE OR REPLACE TABLE `banking_features.aml_party_daily` PARTITION BY business_date CLUSTER BY party_id AS</w:t>
            </w:r>
          </w:p>
          <w:p>
            <w:pPr>
              <w:pStyle w:val="CodeBlock"/>
            </w:pPr>
            <w:r>
              <w:t>SELECT business_date, party_id, COUNT(*) transaction_count, SUM(ABS(amount_base)) turnover,</w:t>
            </w:r>
          </w:p>
          <w:p>
            <w:pPr>
              <w:pStyle w:val="CodeBlock"/>
            </w:pPr>
            <w:r>
              <w:t xml:space="preserve">       COUNT(DISTINCT counterparty_country) country_count, MAX(event_time) latest_event</w:t>
            </w:r>
          </w:p>
          <w:p>
            <w:pPr>
              <w:pStyle w:val="CodeBlock"/>
            </w:pPr>
            <w:r>
              <w:t>FROM `banking_curated.transaction` GROUP BY business_date, party_id;</w:t>
            </w:r>
          </w:p>
        </w:tc>
        <w:trPr>
          <w:tblHeader/>
        </w:trPr>
      </w:tr>
    </w:tbl>
    <w:p>
      <w:pPr>
        <w:spacing w:after="0"/>
      </w:pP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prompt_id: banking-industry-assistant-v1</w:t>
            </w:r>
          </w:p>
          <w:p>
            <w:pPr>
              <w:pStyle w:val="CodeBlock"/>
            </w:pPr>
            <w:r>
              <w:t>owner: banking-data-ai-product</w:t>
            </w:r>
          </w:p>
          <w:p>
            <w:pPr>
              <w:pStyle w:val="CodeBlock"/>
            </w:pPr>
            <w:r>
              <w:t>risk_tier: tier-2</w:t>
            </w:r>
          </w:p>
          <w:p>
            <w:pPr>
              <w:pStyle w:val="CodeBlock"/>
            </w:pPr>
            <w:r>
              <w:t>system_instruction: |</w:t>
            </w:r>
          </w:p>
          <w:p>
            <w:pPr>
              <w:pStyle w:val="CodeBlock"/>
            </w:pPr>
            <w:r>
              <w:t xml:space="preserve">  You are a financial-crime investigation assistant. Summarize only from approved case and policy evidence, cite sources, distinguish fact from inference, never make a final suspicious-activity disposition, and require an authorized investigator for case actions.</w:t>
            </w:r>
          </w:p>
          <w:p>
            <w:pPr>
              <w:pStyle w:val="CodeBlock"/>
            </w:pPr>
            <w:r>
              <w:t>output_schema:</w:t>
            </w:r>
          </w:p>
          <w:p>
            <w:pPr>
              <w:pStyle w:val="CodeBlock"/>
            </w:pPr>
            <w:r>
              <w:t xml:space="preserve">  required: [answer, citations, confidence]</w:t>
            </w:r>
          </w:p>
          <w:p>
            <w:pPr>
              <w:pStyle w:val="CodeBlock"/>
            </w:pPr>
            <w:r>
              <w:t>rollback_version: banking-industry-assistant-v0</w:t>
            </w:r>
          </w:p>
        </w:tc>
        <w:trPr>
          <w:tblHeader/>
        </w:trPr>
      </w:tr>
    </w:tbl>
    <w:p>
      <w:pPr>
        <w:spacing w:after="0"/>
      </w:pPr>
    </w:p>
    <w:p>
      <w:pPr>
        <w:pStyle w:val="Heading2"/>
      </w:pPr>
      <w:r>
        <w:t>5.18 Industry Production Readiness</w:t>
      </w:r>
    </w:p>
    <w:p>
      <w:pPr>
        <w:pStyle w:val="ListBullet"/>
      </w:pPr>
      <w:r>
        <w:t>Regulatory scope and accountable industry control owners approved.</w:t>
      </w:r>
    </w:p>
    <w:p>
      <w:pPr>
        <w:pStyle w:val="ListBullet"/>
      </w:pPr>
      <w:r>
        <w:t>Source contracts, product interfaces, classification, quality and lineage complete.</w:t>
      </w:r>
    </w:p>
    <w:p>
      <w:pPr>
        <w:pStyle w:val="ListBullet"/>
      </w:pPr>
      <w:r>
        <w:t>Network, IAM, perimeter, KMS, tokenization/de-identification and audit paths tested.</w:t>
      </w:r>
    </w:p>
    <w:p>
      <w:pPr>
        <w:pStyle w:val="ListBullet"/>
      </w:pPr>
      <w:r>
        <w:t>Critical journeys meet SLO, load, quota, recovery and vendor-escalation criteria.</w:t>
      </w:r>
    </w:p>
    <w:p>
      <w:pPr>
        <w:pStyle w:val="ListBullet"/>
      </w:pPr>
      <w:r>
        <w:t>AI evaluation, prohibited uses, human oversight, monitoring and rollback approved.</w:t>
      </w:r>
    </w:p>
    <w:p>
      <w:pPr>
        <w:pStyle w:val="ListBullet"/>
      </w:pPr>
      <w:r>
        <w:t>Cost allocation, forecast and unit economics accepted by product and finance owners.</w:t>
      </w:r>
    </w:p>
    <w:p>
      <w:r>
        <w:br w:type="page"/>
      </w:r>
    </w:p>
    <w:p>
      <w:pPr>
        <w:pStyle w:val="Heading2"/>
      </w:pPr>
      <w:r>
        <w:t>5.19 Project and Dataset Topology</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Project / dataset</w:t>
            </w:r>
          </w:p>
        </w:tc>
        <w:tc>
          <w:tcPr>
            <w:tcW w:type="dxa" w:w="3383"/>
            <w:shd w:fill="174EA6"/>
          </w:tcPr>
          <w:p>
            <w:pPr>
              <w:spacing w:after="0"/>
            </w:pPr>
            <w:r>
              <w:rPr>
                <w:b/>
                <w:color w:val="FFFFFF"/>
                <w:sz w:val="14"/>
              </w:rPr>
              <w:t>Purpose</w:t>
            </w:r>
          </w:p>
        </w:tc>
        <w:tc>
          <w:tcPr>
            <w:tcW w:type="dxa" w:w="3383"/>
            <w:shd w:fill="174EA6"/>
          </w:tcPr>
          <w:p>
            <w:pPr>
              <w:spacing w:after="0"/>
            </w:pPr>
            <w:r>
              <w:rPr>
                <w:b/>
                <w:color w:val="FFFFFF"/>
                <w:sz w:val="14"/>
              </w:rPr>
              <w:t>Control boundary</w:t>
            </w:r>
          </w:p>
        </w:tc>
      </w:tr>
      <w:tr>
        <w:tc>
          <w:tcPr>
            <w:tcW w:type="dxa" w:w="3383"/>
            <w:vAlign w:val="top"/>
          </w:tcPr>
          <w:p>
            <w:pPr>
              <w:spacing w:after="0"/>
            </w:pPr>
            <w:r>
              <w:rPr>
                <w:sz w:val="14"/>
              </w:rPr>
              <w:t>prj-egcdp-&lt;region&gt;-banking-ing-prd</w:t>
            </w:r>
          </w:p>
        </w:tc>
        <w:tc>
          <w:tcPr>
            <w:tcW w:type="dxa" w:w="3383"/>
            <w:vAlign w:val="top"/>
          </w:tcPr>
          <w:p>
            <w:pPr>
              <w:spacing w:after="0"/>
            </w:pPr>
            <w:r>
              <w:rPr>
                <w:sz w:val="14"/>
              </w:rPr>
              <w:t>Industry ingestion, quarantine and source connectivity</w:t>
            </w:r>
          </w:p>
        </w:tc>
        <w:tc>
          <w:tcPr>
            <w:tcW w:type="dxa" w:w="3383"/>
            <w:vAlign w:val="top"/>
          </w:tcPr>
          <w:p>
            <w:pPr>
              <w:spacing w:after="0"/>
            </w:pPr>
            <w:r>
              <w:rPr>
                <w:sz w:val="14"/>
              </w:rPr>
              <w:t>Dedicated runtime identities, private network, perimeter and KMS</w:t>
            </w:r>
          </w:p>
        </w:tc>
      </w:tr>
      <w:tr>
        <w:tc>
          <w:tcPr>
            <w:tcW w:type="dxa" w:w="3383"/>
            <w:shd w:fill="F7F8F9"/>
            <w:vAlign w:val="top"/>
          </w:tcPr>
          <w:p>
            <w:pPr>
              <w:spacing w:after="0"/>
            </w:pPr>
            <w:r>
              <w:rPr>
                <w:sz w:val="14"/>
              </w:rPr>
              <w:t>prj-egcdp-&lt;region&gt;-banking-data-prd</w:t>
            </w:r>
          </w:p>
        </w:tc>
        <w:tc>
          <w:tcPr>
            <w:tcW w:type="dxa" w:w="3383"/>
            <w:shd w:fill="F7F8F9"/>
            <w:vAlign w:val="top"/>
          </w:tcPr>
          <w:p>
            <w:pPr>
              <w:spacing w:after="0"/>
            </w:pPr>
            <w:r>
              <w:rPr>
                <w:sz w:val="14"/>
              </w:rPr>
              <w:t>Standardized and curated domain products</w:t>
            </w:r>
          </w:p>
        </w:tc>
        <w:tc>
          <w:tcPr>
            <w:tcW w:type="dxa" w:w="3383"/>
            <w:shd w:fill="F7F8F9"/>
            <w:vAlign w:val="top"/>
          </w:tcPr>
          <w:p>
            <w:pPr>
              <w:spacing w:after="0"/>
            </w:pPr>
            <w:r>
              <w:rPr>
                <w:sz w:val="14"/>
              </w:rPr>
              <w:t>Domain owner, classification, contract, policy tags and cost labels</w:t>
            </w:r>
          </w:p>
        </w:tc>
      </w:tr>
      <w:tr>
        <w:tc>
          <w:tcPr>
            <w:tcW w:type="dxa" w:w="3383"/>
            <w:vAlign w:val="top"/>
          </w:tcPr>
          <w:p>
            <w:pPr>
              <w:spacing w:after="0"/>
            </w:pPr>
            <w:r>
              <w:rPr>
                <w:sz w:val="14"/>
              </w:rPr>
              <w:t>prj-egcdp-&lt;region&gt;-banking-ai-prd</w:t>
            </w:r>
          </w:p>
        </w:tc>
        <w:tc>
          <w:tcPr>
            <w:tcW w:type="dxa" w:w="3383"/>
            <w:vAlign w:val="top"/>
          </w:tcPr>
          <w:p>
            <w:pPr>
              <w:spacing w:after="0"/>
            </w:pPr>
            <w:r>
              <w:rPr>
                <w:sz w:val="14"/>
              </w:rPr>
              <w:t>Approved models, prompts, corpora/indexes and agents</w:t>
            </w:r>
          </w:p>
        </w:tc>
        <w:tc>
          <w:tcPr>
            <w:tcW w:type="dxa" w:w="3383"/>
            <w:vAlign w:val="top"/>
          </w:tcPr>
          <w:p>
            <w:pPr>
              <w:spacing w:after="0"/>
            </w:pPr>
            <w:r>
              <w:rPr>
                <w:sz w:val="14"/>
              </w:rPr>
              <w:t>AI risk tier, evaluation, model/tool allowlist and rollback</w:t>
            </w:r>
          </w:p>
        </w:tc>
      </w:tr>
      <w:tr>
        <w:tc>
          <w:tcPr>
            <w:tcW w:type="dxa" w:w="3383"/>
            <w:shd w:fill="F7F8F9"/>
            <w:vAlign w:val="top"/>
          </w:tcPr>
          <w:p>
            <w:pPr>
              <w:spacing w:after="0"/>
            </w:pPr>
            <w:r>
              <w:rPr>
                <w:sz w:val="14"/>
              </w:rPr>
              <w:t>banking_landing / quarantine</w:t>
            </w:r>
          </w:p>
        </w:tc>
        <w:tc>
          <w:tcPr>
            <w:tcW w:type="dxa" w:w="3383"/>
            <w:shd w:fill="F7F8F9"/>
            <w:vAlign w:val="top"/>
          </w:tcPr>
          <w:p>
            <w:pPr>
              <w:spacing w:after="0"/>
            </w:pPr>
            <w:r>
              <w:rPr>
                <w:sz w:val="14"/>
              </w:rPr>
              <w:t>Immutable source and rejected records</w:t>
            </w:r>
          </w:p>
        </w:tc>
        <w:tc>
          <w:tcPr>
            <w:tcW w:type="dxa" w:w="3383"/>
            <w:shd w:fill="F7F8F9"/>
            <w:vAlign w:val="top"/>
          </w:tcPr>
          <w:p>
            <w:pPr>
              <w:spacing w:after="0"/>
            </w:pPr>
            <w:r>
              <w:rPr>
                <w:sz w:val="14"/>
              </w:rPr>
              <w:t>Restricted operators, retention, legal hold and replay evidence</w:t>
            </w:r>
          </w:p>
        </w:tc>
      </w:tr>
      <w:tr>
        <w:tc>
          <w:tcPr>
            <w:tcW w:type="dxa" w:w="3383"/>
            <w:vAlign w:val="top"/>
          </w:tcPr>
          <w:p>
            <w:pPr>
              <w:spacing w:after="0"/>
            </w:pPr>
            <w:r>
              <w:rPr>
                <w:sz w:val="14"/>
              </w:rPr>
              <w:t>banking_standardized</w:t>
            </w:r>
          </w:p>
        </w:tc>
        <w:tc>
          <w:tcPr>
            <w:tcW w:type="dxa" w:w="3383"/>
            <w:vAlign w:val="top"/>
          </w:tcPr>
          <w:p>
            <w:pPr>
              <w:spacing w:after="0"/>
            </w:pPr>
            <w:r>
              <w:rPr>
                <w:sz w:val="14"/>
              </w:rPr>
              <w:t>Canonical industry entities and source-aligned history</w:t>
            </w:r>
          </w:p>
        </w:tc>
        <w:tc>
          <w:tcPr>
            <w:tcW w:type="dxa" w:w="3383"/>
            <w:vAlign w:val="top"/>
          </w:tcPr>
          <w:p>
            <w:pPr>
              <w:spacing w:after="0"/>
            </w:pPr>
            <w:r>
              <w:rPr>
                <w:sz w:val="14"/>
              </w:rPr>
              <w:t>Schema/version, event/validity time and quality results</w:t>
            </w:r>
          </w:p>
        </w:tc>
      </w:tr>
      <w:tr>
        <w:tc>
          <w:tcPr>
            <w:tcW w:type="dxa" w:w="3383"/>
            <w:shd w:fill="F7F8F9"/>
            <w:vAlign w:val="top"/>
          </w:tcPr>
          <w:p>
            <w:pPr>
              <w:spacing w:after="0"/>
            </w:pPr>
            <w:r>
              <w:rPr>
                <w:sz w:val="14"/>
              </w:rPr>
              <w:t>banking_curated / semantic</w:t>
            </w:r>
          </w:p>
        </w:tc>
        <w:tc>
          <w:tcPr>
            <w:tcW w:type="dxa" w:w="3383"/>
            <w:shd w:fill="F7F8F9"/>
            <w:vAlign w:val="top"/>
          </w:tcPr>
          <w:p>
            <w:pPr>
              <w:spacing w:after="0"/>
            </w:pPr>
            <w:r>
              <w:rPr>
                <w:sz w:val="14"/>
              </w:rPr>
              <w:t>Certified products and consumption interfaces</w:t>
            </w:r>
          </w:p>
        </w:tc>
        <w:tc>
          <w:tcPr>
            <w:tcW w:type="dxa" w:w="3383"/>
            <w:shd w:fill="F7F8F9"/>
            <w:vAlign w:val="top"/>
          </w:tcPr>
          <w:p>
            <w:pPr>
              <w:spacing w:after="0"/>
            </w:pPr>
            <w:r>
              <w:rPr>
                <w:sz w:val="14"/>
              </w:rPr>
              <w:t>Owner, SLO, authorized views and semantic governance</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Topology rule - </w:t>
            </w:r>
            <w:r>
              <w:t>Project and dataset boundaries follow region, environment, industry domain, classification, blast radius and ownership. One global project is prohibited for Restricted or Regulated production data.</w:t>
            </w:r>
          </w:p>
        </w:tc>
        <w:trPr>
          <w:tblHeader/>
        </w:trPr>
      </w:tr>
    </w:tbl>
    <w:p>
      <w:pPr>
        <w:spacing w:after="0"/>
      </w:pPr>
    </w:p>
    <w:p>
      <w:r>
        <w:br w:type="page"/>
      </w:r>
    </w:p>
    <w:p>
      <w:pPr>
        <w:pStyle w:val="Heading2"/>
      </w:pPr>
      <w:r>
        <w:t>5.20 Source-to-Product Mapping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Source</w:t>
            </w:r>
          </w:p>
        </w:tc>
        <w:tc>
          <w:tcPr>
            <w:tcW w:type="dxa" w:w="2030"/>
            <w:shd w:fill="174EA6"/>
          </w:tcPr>
          <w:p>
            <w:pPr>
              <w:spacing w:after="0"/>
            </w:pPr>
            <w:r>
              <w:rPr>
                <w:b/>
                <w:color w:val="FFFFFF"/>
                <w:sz w:val="13"/>
              </w:rPr>
              <w:t>Ingestion pattern</w:t>
            </w:r>
          </w:p>
        </w:tc>
        <w:tc>
          <w:tcPr>
            <w:tcW w:type="dxa" w:w="2030"/>
            <w:shd w:fill="174EA6"/>
          </w:tcPr>
          <w:p>
            <w:pPr>
              <w:spacing w:after="0"/>
            </w:pPr>
            <w:r>
              <w:rPr>
                <w:b/>
                <w:color w:val="FFFFFF"/>
                <w:sz w:val="13"/>
              </w:rPr>
              <w:t>Target product</w:t>
            </w:r>
          </w:p>
        </w:tc>
        <w:tc>
          <w:tcPr>
            <w:tcW w:type="dxa" w:w="2030"/>
            <w:shd w:fill="174EA6"/>
          </w:tcPr>
          <w:p>
            <w:pPr>
              <w:spacing w:after="0"/>
            </w:pPr>
            <w:r>
              <w:rPr>
                <w:b/>
                <w:color w:val="FFFFFF"/>
                <w:sz w:val="13"/>
              </w:rPr>
              <w:t>Validation</w:t>
            </w:r>
          </w:p>
        </w:tc>
        <w:tc>
          <w:tcPr>
            <w:tcW w:type="dxa" w:w="2030"/>
            <w:shd w:fill="174EA6"/>
          </w:tcPr>
          <w:p>
            <w:pPr>
              <w:spacing w:after="0"/>
            </w:pPr>
            <w:r>
              <w:rPr>
                <w:b/>
                <w:color w:val="FFFFFF"/>
                <w:sz w:val="13"/>
              </w:rPr>
              <w:t>Tier</w:t>
            </w:r>
          </w:p>
        </w:tc>
      </w:tr>
      <w:tr>
        <w:tc>
          <w:tcPr>
            <w:tcW w:type="dxa" w:w="2030"/>
            <w:vAlign w:val="top"/>
          </w:tcPr>
          <w:p>
            <w:pPr>
              <w:spacing w:after="0"/>
            </w:pPr>
            <w:r>
              <w:rPr>
                <w:sz w:val="13"/>
              </w:rPr>
              <w:t>Core banking and deposit systems</w:t>
            </w:r>
          </w:p>
        </w:tc>
        <w:tc>
          <w:tcPr>
            <w:tcW w:type="dxa" w:w="2030"/>
            <w:vAlign w:val="top"/>
          </w:tcPr>
          <w:p>
            <w:pPr>
              <w:spacing w:after="0"/>
            </w:pPr>
            <w:r>
              <w:rPr>
                <w:sz w:val="13"/>
              </w:rPr>
              <w:t>Pub/Sub/Dataflow streaming</w:t>
            </w:r>
          </w:p>
        </w:tc>
        <w:tc>
          <w:tcPr>
            <w:tcW w:type="dxa" w:w="2030"/>
            <w:vAlign w:val="top"/>
          </w:tcPr>
          <w:p>
            <w:pPr>
              <w:spacing w:after="0"/>
            </w:pPr>
            <w:r>
              <w:rPr>
                <w:sz w:val="13"/>
              </w:rPr>
              <w:t>Party and legal-entity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Card authorization and clearing</w:t>
            </w:r>
          </w:p>
        </w:tc>
        <w:tc>
          <w:tcPr>
            <w:tcW w:type="dxa" w:w="2030"/>
            <w:shd w:fill="F7F8F9"/>
            <w:vAlign w:val="top"/>
          </w:tcPr>
          <w:p>
            <w:pPr>
              <w:spacing w:after="0"/>
            </w:pPr>
            <w:r>
              <w:rPr>
                <w:sz w:val="13"/>
              </w:rPr>
              <w:t>Datastream CDC</w:t>
            </w:r>
          </w:p>
        </w:tc>
        <w:tc>
          <w:tcPr>
            <w:tcW w:type="dxa" w:w="2030"/>
            <w:shd w:fill="F7F8F9"/>
            <w:vAlign w:val="top"/>
          </w:tcPr>
          <w:p>
            <w:pPr>
              <w:spacing w:after="0"/>
            </w:pPr>
            <w:r>
              <w:rPr>
                <w:sz w:val="13"/>
              </w:rPr>
              <w:t>Account and balance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Payments, ACH, wire and instant payment rails</w:t>
            </w:r>
          </w:p>
        </w:tc>
        <w:tc>
          <w:tcPr>
            <w:tcW w:type="dxa" w:w="2030"/>
            <w:vAlign w:val="top"/>
          </w:tcPr>
          <w:p>
            <w:pPr>
              <w:spacing w:after="0"/>
            </w:pPr>
            <w:r>
              <w:rPr>
                <w:sz w:val="13"/>
              </w:rPr>
              <w:t>Cloud Storage/API batch</w:t>
            </w:r>
          </w:p>
        </w:tc>
        <w:tc>
          <w:tcPr>
            <w:tcW w:type="dxa" w:w="2030"/>
            <w:vAlign w:val="top"/>
          </w:tcPr>
          <w:p>
            <w:pPr>
              <w:spacing w:after="0"/>
            </w:pPr>
            <w:r>
              <w:rPr>
                <w:sz w:val="13"/>
              </w:rPr>
              <w:t>Transaction and payment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Loan origination and servicing</w:t>
            </w:r>
          </w:p>
        </w:tc>
        <w:tc>
          <w:tcPr>
            <w:tcW w:type="dxa" w:w="2030"/>
            <w:shd w:fill="F7F8F9"/>
            <w:vAlign w:val="top"/>
          </w:tcPr>
          <w:p>
            <w:pPr>
              <w:spacing w:after="0"/>
            </w:pPr>
            <w:r>
              <w:rPr>
                <w:sz w:val="13"/>
              </w:rPr>
              <w:t>Pub/Sub/Dataflow streaming</w:t>
            </w:r>
          </w:p>
        </w:tc>
        <w:tc>
          <w:tcPr>
            <w:tcW w:type="dxa" w:w="2030"/>
            <w:shd w:fill="F7F8F9"/>
            <w:vAlign w:val="top"/>
          </w:tcPr>
          <w:p>
            <w:pPr>
              <w:spacing w:after="0"/>
            </w:pPr>
            <w:r>
              <w:rPr>
                <w:sz w:val="13"/>
              </w:rPr>
              <w:t>Card authorization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CRM, KYC and customer due diligence</w:t>
            </w:r>
          </w:p>
        </w:tc>
        <w:tc>
          <w:tcPr>
            <w:tcW w:type="dxa" w:w="2030"/>
            <w:vAlign w:val="top"/>
          </w:tcPr>
          <w:p>
            <w:pPr>
              <w:spacing w:after="0"/>
            </w:pPr>
            <w:r>
              <w:rPr>
                <w:sz w:val="13"/>
              </w:rPr>
              <w:t>Datastream CDC</w:t>
            </w:r>
          </w:p>
        </w:tc>
        <w:tc>
          <w:tcPr>
            <w:tcW w:type="dxa" w:w="2030"/>
            <w:vAlign w:val="top"/>
          </w:tcPr>
          <w:p>
            <w:pPr>
              <w:spacing w:after="0"/>
            </w:pPr>
            <w:r>
              <w:rPr>
                <w:sz w:val="13"/>
              </w:rPr>
              <w:t>KYC and customer-risk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Sanctions and watchlists</w:t>
            </w:r>
          </w:p>
        </w:tc>
        <w:tc>
          <w:tcPr>
            <w:tcW w:type="dxa" w:w="2030"/>
            <w:shd w:fill="F7F8F9"/>
            <w:vAlign w:val="top"/>
          </w:tcPr>
          <w:p>
            <w:pPr>
              <w:spacing w:after="0"/>
            </w:pPr>
            <w:r>
              <w:rPr>
                <w:sz w:val="13"/>
              </w:rPr>
              <w:t>Cloud Storage/API batch</w:t>
            </w:r>
          </w:p>
        </w:tc>
        <w:tc>
          <w:tcPr>
            <w:tcW w:type="dxa" w:w="2030"/>
            <w:shd w:fill="F7F8F9"/>
            <w:vAlign w:val="top"/>
          </w:tcPr>
          <w:p>
            <w:pPr>
              <w:spacing w:after="0"/>
            </w:pPr>
            <w:r>
              <w:rPr>
                <w:sz w:val="13"/>
              </w:rPr>
              <w:t>AML investigation feature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Market and reference data</w:t>
            </w:r>
          </w:p>
        </w:tc>
        <w:tc>
          <w:tcPr>
            <w:tcW w:type="dxa" w:w="2030"/>
            <w:vAlign w:val="top"/>
          </w:tcPr>
          <w:p>
            <w:pPr>
              <w:spacing w:after="0"/>
            </w:pPr>
            <w:r>
              <w:rPr>
                <w:sz w:val="13"/>
              </w:rPr>
              <w:t>Pub/Sub/Dataflow streaming</w:t>
            </w:r>
          </w:p>
        </w:tc>
        <w:tc>
          <w:tcPr>
            <w:tcW w:type="dxa" w:w="2030"/>
            <w:vAlign w:val="top"/>
          </w:tcPr>
          <w:p>
            <w:pPr>
              <w:spacing w:after="0"/>
            </w:pPr>
            <w:r>
              <w:rPr>
                <w:sz w:val="13"/>
              </w:rPr>
              <w:t>Credit exposure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General ledger and finance systems</w:t>
            </w:r>
          </w:p>
        </w:tc>
        <w:tc>
          <w:tcPr>
            <w:tcW w:type="dxa" w:w="2030"/>
            <w:shd w:fill="F7F8F9"/>
            <w:vAlign w:val="top"/>
          </w:tcPr>
          <w:p>
            <w:pPr>
              <w:spacing w:after="0"/>
            </w:pPr>
            <w:r>
              <w:rPr>
                <w:sz w:val="13"/>
              </w:rPr>
              <w:t>Datastream CDC</w:t>
            </w:r>
          </w:p>
        </w:tc>
        <w:tc>
          <w:tcPr>
            <w:tcW w:type="dxa" w:w="2030"/>
            <w:shd w:fill="F7F8F9"/>
            <w:vAlign w:val="top"/>
          </w:tcPr>
          <w:p>
            <w:pPr>
              <w:spacing w:after="0"/>
            </w:pPr>
            <w:r>
              <w:rPr>
                <w:sz w:val="13"/>
              </w:rPr>
              <w:t>Liquidity and treasury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Digital channel and contact center events</w:t>
            </w:r>
          </w:p>
        </w:tc>
        <w:tc>
          <w:tcPr>
            <w:tcW w:type="dxa" w:w="2030"/>
            <w:vAlign w:val="top"/>
          </w:tcPr>
          <w:p>
            <w:pPr>
              <w:spacing w:after="0"/>
            </w:pPr>
            <w:r>
              <w:rPr>
                <w:sz w:val="13"/>
              </w:rPr>
              <w:t>Cloud Storage/API batch</w:t>
            </w:r>
          </w:p>
        </w:tc>
        <w:tc>
          <w:tcPr>
            <w:tcW w:type="dxa" w:w="2030"/>
            <w:vAlign w:val="top"/>
          </w:tcPr>
          <w:p>
            <w:pPr>
              <w:spacing w:after="0"/>
            </w:pPr>
            <w:r>
              <w:rPr>
                <w:sz w:val="13"/>
              </w:rPr>
              <w:t>Regulatory finance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Fraud, AML and investigation case systems</w:t>
            </w:r>
          </w:p>
        </w:tc>
        <w:tc>
          <w:tcPr>
            <w:tcW w:type="dxa" w:w="2030"/>
            <w:shd w:fill="F7F8F9"/>
            <w:vAlign w:val="top"/>
          </w:tcPr>
          <w:p>
            <w:pPr>
              <w:spacing w:after="0"/>
            </w:pPr>
            <w:r>
              <w:rPr>
                <w:sz w:val="13"/>
              </w:rPr>
              <w:t>Pub/Sub/Dataflow streaming</w:t>
            </w:r>
          </w:p>
        </w:tc>
        <w:tc>
          <w:tcPr>
            <w:tcW w:type="dxa" w:w="2030"/>
            <w:shd w:fill="F7F8F9"/>
            <w:vAlign w:val="top"/>
          </w:tcPr>
          <w:p>
            <w:pPr>
              <w:spacing w:after="0"/>
            </w:pPr>
            <w:r>
              <w:rPr>
                <w:sz w:val="13"/>
              </w:rPr>
              <w:t>Digital service interaction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bl>
    <w:p>
      <w:pPr>
        <w:spacing w:after="0"/>
      </w:pPr>
    </w:p>
    <w:p>
      <w:r>
        <w:br w:type="page"/>
      </w:r>
    </w:p>
    <w:p>
      <w:pPr>
        <w:pStyle w:val="Heading2"/>
      </w:pPr>
      <w:r>
        <w:t>5.21 Detailed Data-Product Contract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Contract section</w:t>
            </w:r>
          </w:p>
        </w:tc>
        <w:tc>
          <w:tcPr>
            <w:tcW w:type="dxa" w:w="5074"/>
            <w:shd w:fill="174EA6"/>
          </w:tcPr>
          <w:p>
            <w:pPr>
              <w:spacing w:after="0"/>
            </w:pPr>
            <w:r>
              <w:rPr>
                <w:b/>
                <w:color w:val="FFFFFF"/>
                <w:sz w:val="14"/>
              </w:rPr>
              <w:t>Industry specification</w:t>
            </w:r>
          </w:p>
        </w:tc>
      </w:tr>
      <w:tr>
        <w:tc>
          <w:tcPr>
            <w:tcW w:type="dxa" w:w="5074"/>
            <w:vAlign w:val="top"/>
          </w:tcPr>
          <w:p>
            <w:pPr>
              <w:spacing w:after="0"/>
            </w:pPr>
            <w:r>
              <w:rPr>
                <w:sz w:val="14"/>
              </w:rPr>
              <w:t>Product identity</w:t>
            </w:r>
          </w:p>
        </w:tc>
        <w:tc>
          <w:tcPr>
            <w:tcW w:type="dxa" w:w="5074"/>
            <w:vAlign w:val="top"/>
          </w:tcPr>
          <w:p>
            <w:pPr>
              <w:spacing w:after="0"/>
            </w:pPr>
            <w:r>
              <w:rPr>
                <w:sz w:val="14"/>
              </w:rPr>
              <w:t>banking.party-and-legal-entity-product.v1; accountable domain product owner and steward</w:t>
            </w:r>
          </w:p>
        </w:tc>
      </w:tr>
      <w:tr>
        <w:tc>
          <w:tcPr>
            <w:tcW w:type="dxa" w:w="5074"/>
            <w:shd w:fill="F7F8F9"/>
            <w:vAlign w:val="top"/>
          </w:tcPr>
          <w:p>
            <w:pPr>
              <w:spacing w:after="0"/>
            </w:pPr>
            <w:r>
              <w:rPr>
                <w:sz w:val="14"/>
              </w:rPr>
              <w:t>Entities and grain</w:t>
            </w:r>
          </w:p>
        </w:tc>
        <w:tc>
          <w:tcPr>
            <w:tcW w:type="dxa" w:w="5074"/>
            <w:shd w:fill="F7F8F9"/>
            <w:vAlign w:val="top"/>
          </w:tcPr>
          <w:p>
            <w:pPr>
              <w:spacing w:after="0"/>
            </w:pPr>
            <w:r>
              <w:rPr>
                <w:sz w:val="14"/>
              </w:rPr>
              <w:t>Business entity, stable key, event/validity timestamps, source identifier and record version</w:t>
            </w:r>
          </w:p>
        </w:tc>
      </w:tr>
      <w:tr>
        <w:tc>
          <w:tcPr>
            <w:tcW w:type="dxa" w:w="5074"/>
            <w:vAlign w:val="top"/>
          </w:tcPr>
          <w:p>
            <w:pPr>
              <w:spacing w:after="0"/>
            </w:pPr>
            <w:r>
              <w:rPr>
                <w:sz w:val="14"/>
              </w:rPr>
              <w:t>Classification</w:t>
            </w:r>
          </w:p>
        </w:tc>
        <w:tc>
          <w:tcPr>
            <w:tcW w:type="dxa" w:w="5074"/>
            <w:vAlign w:val="top"/>
          </w:tcPr>
          <w:p>
            <w:pPr>
              <w:spacing w:after="0"/>
            </w:pPr>
            <w:r>
              <w:rPr>
                <w:sz w:val="14"/>
              </w:rPr>
              <w:t>Highest applicable industry class; Restricted/Regulated detail separated from broader analytical views</w:t>
            </w:r>
          </w:p>
        </w:tc>
      </w:tr>
      <w:tr>
        <w:tc>
          <w:tcPr>
            <w:tcW w:type="dxa" w:w="5074"/>
            <w:shd w:fill="F7F8F9"/>
            <w:vAlign w:val="top"/>
          </w:tcPr>
          <w:p>
            <w:pPr>
              <w:spacing w:after="0"/>
            </w:pPr>
            <w:r>
              <w:rPr>
                <w:sz w:val="14"/>
              </w:rPr>
              <w:t>Quality</w:t>
            </w:r>
          </w:p>
        </w:tc>
        <w:tc>
          <w:tcPr>
            <w:tcW w:type="dxa" w:w="5074"/>
            <w:shd w:fill="F7F8F9"/>
            <w:vAlign w:val="top"/>
          </w:tcPr>
          <w:p>
            <w:pPr>
              <w:spacing w:after="0"/>
            </w:pPr>
            <w:r>
              <w:rPr>
                <w:sz w:val="14"/>
              </w:rPr>
              <w:t>Critical keys non-null, uniqueness, referential integrity, validity, freshness and business reconciliation</w:t>
            </w:r>
          </w:p>
        </w:tc>
      </w:tr>
      <w:tr>
        <w:tc>
          <w:tcPr>
            <w:tcW w:type="dxa" w:w="5074"/>
            <w:vAlign w:val="top"/>
          </w:tcPr>
          <w:p>
            <w:pPr>
              <w:spacing w:after="0"/>
            </w:pPr>
            <w:r>
              <w:rPr>
                <w:sz w:val="14"/>
              </w:rPr>
              <w:t>Reliability</w:t>
            </w:r>
          </w:p>
        </w:tc>
        <w:tc>
          <w:tcPr>
            <w:tcW w:type="dxa" w:w="5074"/>
            <w:vAlign w:val="top"/>
          </w:tcPr>
          <w:p>
            <w:pPr>
              <w:spacing w:after="0"/>
            </w:pPr>
            <w:r>
              <w:rPr>
                <w:sz w:val="14"/>
              </w:rPr>
              <w:t>Tier-defined availability/freshness, RTO/RPO, replay interval and degraded mode</w:t>
            </w:r>
          </w:p>
        </w:tc>
      </w:tr>
      <w:tr>
        <w:tc>
          <w:tcPr>
            <w:tcW w:type="dxa" w:w="5074"/>
            <w:shd w:fill="F7F8F9"/>
            <w:vAlign w:val="top"/>
          </w:tcPr>
          <w:p>
            <w:pPr>
              <w:spacing w:after="0"/>
            </w:pPr>
            <w:r>
              <w:rPr>
                <w:sz w:val="14"/>
              </w:rPr>
              <w:t>Access</w:t>
            </w:r>
          </w:p>
        </w:tc>
        <w:tc>
          <w:tcPr>
            <w:tcW w:type="dxa" w:w="5074"/>
            <w:shd w:fill="F7F8F9"/>
            <w:vAlign w:val="top"/>
          </w:tcPr>
          <w:p>
            <w:pPr>
              <w:spacing w:after="0"/>
            </w:pPr>
            <w:r>
              <w:rPr>
                <w:sz w:val="14"/>
              </w:rPr>
              <w:t>Purpose-specific groups, service identities, authorized views/policies and approval workflow</w:t>
            </w:r>
          </w:p>
        </w:tc>
      </w:tr>
      <w:tr>
        <w:tc>
          <w:tcPr>
            <w:tcW w:type="dxa" w:w="5074"/>
            <w:vAlign w:val="top"/>
          </w:tcPr>
          <w:p>
            <w:pPr>
              <w:spacing w:after="0"/>
            </w:pPr>
            <w:r>
              <w:rPr>
                <w:sz w:val="14"/>
              </w:rPr>
              <w:t>Lifecycle</w:t>
            </w:r>
          </w:p>
        </w:tc>
        <w:tc>
          <w:tcPr>
            <w:tcW w:type="dxa" w:w="5074"/>
            <w:vAlign w:val="top"/>
          </w:tcPr>
          <w:p>
            <w:pPr>
              <w:spacing w:after="0"/>
            </w:pPr>
            <w:r>
              <w:rPr>
                <w:sz w:val="14"/>
              </w:rPr>
              <w:t>Retention, legal hold, deletion, deprecation and derived-artifact propagation</w:t>
            </w:r>
          </w:p>
        </w:tc>
      </w:tr>
      <w:tr>
        <w:tc>
          <w:tcPr>
            <w:tcW w:type="dxa" w:w="5074"/>
            <w:shd w:fill="F7F8F9"/>
            <w:vAlign w:val="top"/>
          </w:tcPr>
          <w:p>
            <w:pPr>
              <w:spacing w:after="0"/>
            </w:pPr>
            <w:r>
              <w:rPr>
                <w:sz w:val="14"/>
              </w:rPr>
              <w:t>Economics</w:t>
            </w:r>
          </w:p>
        </w:tc>
        <w:tc>
          <w:tcPr>
            <w:tcW w:type="dxa" w:w="5074"/>
            <w:shd w:fill="F7F8F9"/>
            <w:vAlign w:val="top"/>
          </w:tcPr>
          <w:p>
            <w:pPr>
              <w:spacing w:after="0"/>
            </w:pPr>
            <w:r>
              <w:rPr>
                <w:sz w:val="14"/>
              </w:rPr>
              <w:t>Product budget, forecast, cost center and unit-cost denominator</w:t>
            </w:r>
          </w:p>
        </w:tc>
      </w:tr>
      <w:tr>
        <w:tc>
          <w:tcPr>
            <w:tcW w:type="dxa" w:w="5074"/>
            <w:vAlign w:val="top"/>
          </w:tcPr>
          <w:p>
            <w:pPr>
              <w:spacing w:after="0"/>
            </w:pPr>
            <w:r>
              <w:rPr>
                <w:sz w:val="14"/>
              </w:rPr>
              <w:t>Evidence</w:t>
            </w:r>
          </w:p>
        </w:tc>
        <w:tc>
          <w:tcPr>
            <w:tcW w:type="dxa" w:w="5074"/>
            <w:vAlign w:val="top"/>
          </w:tcPr>
          <w:p>
            <w:pPr>
              <w:spacing w:after="0"/>
            </w:pPr>
            <w:r>
              <w:rPr>
                <w:sz w:val="14"/>
              </w:rPr>
              <w:t>Source-to-product lineage, run/model/prompt/index versions, quality and approval records</w:t>
            </w:r>
          </w:p>
        </w:tc>
      </w:tr>
    </w:tbl>
    <w:p>
      <w:pPr>
        <w:spacing w:after="0"/>
      </w:pPr>
    </w:p>
    <w:p>
      <w:r>
        <w:br w:type="page"/>
      </w:r>
    </w:p>
    <w:p>
      <w:pPr>
        <w:pStyle w:val="Heading2"/>
      </w:pPr>
      <w:r>
        <w:t>5.22 Ingestion, Reconciliation and Exception Controls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Control stage</w:t>
            </w:r>
          </w:p>
        </w:tc>
        <w:tc>
          <w:tcPr>
            <w:tcW w:type="dxa" w:w="3383"/>
            <w:shd w:fill="174EA6"/>
          </w:tcPr>
          <w:p>
            <w:pPr>
              <w:spacing w:after="0"/>
            </w:pPr>
            <w:r>
              <w:rPr>
                <w:b/>
                <w:color w:val="FFFFFF"/>
                <w:sz w:val="14"/>
              </w:rPr>
              <w:t>Required tests</w:t>
            </w:r>
          </w:p>
        </w:tc>
        <w:tc>
          <w:tcPr>
            <w:tcW w:type="dxa" w:w="3383"/>
            <w:shd w:fill="174EA6"/>
          </w:tcPr>
          <w:p>
            <w:pPr>
              <w:spacing w:after="0"/>
            </w:pPr>
            <w:r>
              <w:rPr>
                <w:b/>
                <w:color w:val="FFFFFF"/>
                <w:sz w:val="14"/>
              </w:rPr>
              <w:t>Failure action</w:t>
            </w:r>
          </w:p>
        </w:tc>
      </w:tr>
      <w:tr>
        <w:tc>
          <w:tcPr>
            <w:tcW w:type="dxa" w:w="3383"/>
            <w:vAlign w:val="top"/>
          </w:tcPr>
          <w:p>
            <w:pPr>
              <w:spacing w:after="0"/>
            </w:pPr>
            <w:r>
              <w:rPr>
                <w:sz w:val="14"/>
              </w:rPr>
              <w:t>Source authorization</w:t>
            </w:r>
          </w:p>
        </w:tc>
        <w:tc>
          <w:tcPr>
            <w:tcW w:type="dxa" w:w="3383"/>
            <w:vAlign w:val="top"/>
          </w:tcPr>
          <w:p>
            <w:pPr>
              <w:spacing w:after="0"/>
            </w:pPr>
            <w:r>
              <w:rPr>
                <w:sz w:val="14"/>
              </w:rPr>
              <w:t>Identity, private path, certificate/secret and approved source scope</w:t>
            </w:r>
          </w:p>
        </w:tc>
        <w:tc>
          <w:tcPr>
            <w:tcW w:type="dxa" w:w="3383"/>
            <w:vAlign w:val="top"/>
          </w:tcPr>
          <w:p>
            <w:pPr>
              <w:spacing w:after="0"/>
            </w:pPr>
            <w:r>
              <w:rPr>
                <w:sz w:val="14"/>
              </w:rPr>
              <w:t>Reject and open security/connection incident</w:t>
            </w:r>
          </w:p>
        </w:tc>
      </w:tr>
      <w:tr>
        <w:tc>
          <w:tcPr>
            <w:tcW w:type="dxa" w:w="3383"/>
            <w:shd w:fill="F7F8F9"/>
            <w:vAlign w:val="top"/>
          </w:tcPr>
          <w:p>
            <w:pPr>
              <w:spacing w:after="0"/>
            </w:pPr>
            <w:r>
              <w:rPr>
                <w:sz w:val="14"/>
              </w:rPr>
              <w:t>Arrival / event contract</w:t>
            </w:r>
          </w:p>
        </w:tc>
        <w:tc>
          <w:tcPr>
            <w:tcW w:type="dxa" w:w="3383"/>
            <w:shd w:fill="F7F8F9"/>
            <w:vAlign w:val="top"/>
          </w:tcPr>
          <w:p>
            <w:pPr>
              <w:spacing w:after="0"/>
            </w:pPr>
            <w:r>
              <w:rPr>
                <w:sz w:val="14"/>
              </w:rPr>
              <w:t>Manifest/checksum or message schema, event ID and timestamp</w:t>
            </w:r>
          </w:p>
        </w:tc>
        <w:tc>
          <w:tcPr>
            <w:tcW w:type="dxa" w:w="3383"/>
            <w:shd w:fill="F7F8F9"/>
            <w:vAlign w:val="top"/>
          </w:tcPr>
          <w:p>
            <w:pPr>
              <w:spacing w:after="0"/>
            </w:pPr>
            <w:r>
              <w:rPr>
                <w:sz w:val="14"/>
              </w:rPr>
              <w:t>Quarantine or dead-letter; no silent drop</w:t>
            </w:r>
          </w:p>
        </w:tc>
      </w:tr>
      <w:tr>
        <w:tc>
          <w:tcPr>
            <w:tcW w:type="dxa" w:w="3383"/>
            <w:vAlign w:val="top"/>
          </w:tcPr>
          <w:p>
            <w:pPr>
              <w:spacing w:after="0"/>
            </w:pPr>
            <w:r>
              <w:rPr>
                <w:sz w:val="14"/>
              </w:rPr>
              <w:t>Standardization</w:t>
            </w:r>
          </w:p>
        </w:tc>
        <w:tc>
          <w:tcPr>
            <w:tcW w:type="dxa" w:w="3383"/>
            <w:vAlign w:val="top"/>
          </w:tcPr>
          <w:p>
            <w:pPr>
              <w:spacing w:after="0"/>
            </w:pPr>
            <w:r>
              <w:rPr>
                <w:sz w:val="14"/>
              </w:rPr>
              <w:t>Type, code set, canonical entity, duplicate and late-data behavior</w:t>
            </w:r>
          </w:p>
        </w:tc>
        <w:tc>
          <w:tcPr>
            <w:tcW w:type="dxa" w:w="3383"/>
            <w:vAlign w:val="top"/>
          </w:tcPr>
          <w:p>
            <w:pPr>
              <w:spacing w:after="0"/>
            </w:pPr>
            <w:r>
              <w:rPr>
                <w:sz w:val="14"/>
              </w:rPr>
              <w:t>Side output or fail interval by severity</w:t>
            </w:r>
          </w:p>
        </w:tc>
      </w:tr>
      <w:tr>
        <w:tc>
          <w:tcPr>
            <w:tcW w:type="dxa" w:w="3383"/>
            <w:shd w:fill="F7F8F9"/>
            <w:vAlign w:val="top"/>
          </w:tcPr>
          <w:p>
            <w:pPr>
              <w:spacing w:after="0"/>
            </w:pPr>
            <w:r>
              <w:rPr>
                <w:sz w:val="14"/>
              </w:rPr>
              <w:t>Reconciliation</w:t>
            </w:r>
          </w:p>
        </w:tc>
        <w:tc>
          <w:tcPr>
            <w:tcW w:type="dxa" w:w="3383"/>
            <w:shd w:fill="F7F8F9"/>
            <w:vAlign w:val="top"/>
          </w:tcPr>
          <w:p>
            <w:pPr>
              <w:spacing w:after="0"/>
            </w:pPr>
            <w:r>
              <w:rPr>
                <w:sz w:val="14"/>
              </w:rPr>
              <w:t>Counts, amounts/quantities, hashes, coverage and source-to-target balance</w:t>
            </w:r>
          </w:p>
        </w:tc>
        <w:tc>
          <w:tcPr>
            <w:tcW w:type="dxa" w:w="3383"/>
            <w:shd w:fill="F7F8F9"/>
            <w:vAlign w:val="top"/>
          </w:tcPr>
          <w:p>
            <w:pPr>
              <w:spacing w:after="0"/>
            </w:pPr>
            <w:r>
              <w:rPr>
                <w:sz w:val="14"/>
              </w:rPr>
              <w:t>Block certification and consumer publication</w:t>
            </w:r>
          </w:p>
        </w:tc>
      </w:tr>
      <w:tr>
        <w:tc>
          <w:tcPr>
            <w:tcW w:type="dxa" w:w="3383"/>
            <w:vAlign w:val="top"/>
          </w:tcPr>
          <w:p>
            <w:pPr>
              <w:spacing w:after="0"/>
            </w:pPr>
            <w:r>
              <w:rPr>
                <w:sz w:val="14"/>
              </w:rPr>
              <w:t>Replay/backfill</w:t>
            </w:r>
          </w:p>
        </w:tc>
        <w:tc>
          <w:tcPr>
            <w:tcW w:type="dxa" w:w="3383"/>
            <w:vAlign w:val="top"/>
          </w:tcPr>
          <w:p>
            <w:pPr>
              <w:spacing w:after="0"/>
            </w:pPr>
            <w:r>
              <w:rPr>
                <w:sz w:val="14"/>
              </w:rPr>
              <w:t>Bounded range, original IDs, isolated capacity and privacy/retention policy</w:t>
            </w:r>
          </w:p>
        </w:tc>
        <w:tc>
          <w:tcPr>
            <w:tcW w:type="dxa" w:w="3383"/>
            <w:vAlign w:val="top"/>
          </w:tcPr>
          <w:p>
            <w:pPr>
              <w:spacing w:after="0"/>
            </w:pPr>
            <w:r>
              <w:rPr>
                <w:sz w:val="14"/>
              </w:rPr>
              <w:t>Stop if idempotency or reconciliation fails</w:t>
            </w:r>
          </w:p>
        </w:tc>
      </w:tr>
      <w:tr>
        <w:tc>
          <w:tcPr>
            <w:tcW w:type="dxa" w:w="3383"/>
            <w:shd w:fill="F7F8F9"/>
            <w:vAlign w:val="top"/>
          </w:tcPr>
          <w:p>
            <w:pPr>
              <w:spacing w:after="0"/>
            </w:pPr>
            <w:r>
              <w:rPr>
                <w:sz w:val="14"/>
              </w:rPr>
              <w:t>Closure</w:t>
            </w:r>
          </w:p>
        </w:tc>
        <w:tc>
          <w:tcPr>
            <w:tcW w:type="dxa" w:w="3383"/>
            <w:shd w:fill="F7F8F9"/>
            <w:vAlign w:val="top"/>
          </w:tcPr>
          <w:p>
            <w:pPr>
              <w:spacing w:after="0"/>
            </w:pPr>
            <w:r>
              <w:rPr>
                <w:sz w:val="14"/>
              </w:rPr>
              <w:t>Evidence, owner, corrective action, downstream communication and rule update</w:t>
            </w:r>
          </w:p>
        </w:tc>
        <w:tc>
          <w:tcPr>
            <w:tcW w:type="dxa" w:w="3383"/>
            <w:shd w:fill="F7F8F9"/>
            <w:vAlign w:val="top"/>
          </w:tcPr>
          <w:p>
            <w:pPr>
              <w:spacing w:after="0"/>
            </w:pPr>
            <w:r>
              <w:rPr>
                <w:sz w:val="14"/>
              </w:rPr>
              <w:t>Incident/problem record remains open until verified</w:t>
            </w:r>
          </w:p>
        </w:tc>
      </w:tr>
    </w:tbl>
    <w:p>
      <w:pPr>
        <w:spacing w:after="0"/>
      </w:pPr>
    </w:p>
    <w:p>
      <w:r>
        <w:br w:type="page"/>
      </w:r>
    </w:p>
    <w:p>
      <w:pPr>
        <w:pStyle w:val="Heading2"/>
      </w:pPr>
      <w:r>
        <w:t>5.23 Analytics KPI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Business capability</w:t>
            </w:r>
          </w:p>
        </w:tc>
        <w:tc>
          <w:tcPr>
            <w:tcW w:type="dxa" w:w="2030"/>
            <w:shd w:fill="174EA6"/>
          </w:tcPr>
          <w:p>
            <w:pPr>
              <w:spacing w:after="0"/>
            </w:pPr>
            <w:r>
              <w:rPr>
                <w:b/>
                <w:color w:val="FFFFFF"/>
                <w:sz w:val="13"/>
              </w:rPr>
              <w:t>KPI ID</w:t>
            </w:r>
          </w:p>
        </w:tc>
        <w:tc>
          <w:tcPr>
            <w:tcW w:type="dxa" w:w="2030"/>
            <w:shd w:fill="174EA6"/>
          </w:tcPr>
          <w:p>
            <w:pPr>
              <w:spacing w:after="0"/>
            </w:pPr>
            <w:r>
              <w:rPr>
                <w:b/>
                <w:color w:val="FFFFFF"/>
                <w:sz w:val="13"/>
              </w:rPr>
              <w:t>Definition standard</w:t>
            </w:r>
          </w:p>
        </w:tc>
        <w:tc>
          <w:tcPr>
            <w:tcW w:type="dxa" w:w="2030"/>
            <w:shd w:fill="174EA6"/>
          </w:tcPr>
          <w:p>
            <w:pPr>
              <w:spacing w:after="0"/>
            </w:pPr>
            <w:r>
              <w:rPr>
                <w:b/>
                <w:color w:val="FFFFFF"/>
                <w:sz w:val="13"/>
              </w:rPr>
              <w:t>Owner</w:t>
            </w:r>
          </w:p>
        </w:tc>
        <w:tc>
          <w:tcPr>
            <w:tcW w:type="dxa" w:w="2030"/>
            <w:shd w:fill="174EA6"/>
          </w:tcPr>
          <w:p>
            <w:pPr>
              <w:spacing w:after="0"/>
            </w:pPr>
            <w:r>
              <w:rPr>
                <w:b/>
                <w:color w:val="FFFFFF"/>
                <w:sz w:val="13"/>
              </w:rPr>
              <w:t>Dashboard control</w:t>
            </w:r>
          </w:p>
        </w:tc>
      </w:tr>
      <w:tr>
        <w:tc>
          <w:tcPr>
            <w:tcW w:type="dxa" w:w="2030"/>
            <w:vAlign w:val="top"/>
          </w:tcPr>
          <w:p>
            <w:pPr>
              <w:spacing w:after="0"/>
            </w:pPr>
            <w:r>
              <w:rPr>
                <w:sz w:val="13"/>
              </w:rPr>
              <w:t>Customer and legal-entity 360</w:t>
            </w:r>
          </w:p>
        </w:tc>
        <w:tc>
          <w:tcPr>
            <w:tcW w:type="dxa" w:w="2030"/>
            <w:vAlign w:val="top"/>
          </w:tcPr>
          <w:p>
            <w:pPr>
              <w:spacing w:after="0"/>
            </w:pPr>
            <w:r>
              <w:rPr>
                <w:sz w:val="13"/>
              </w:rPr>
              <w:t>banking_kpi_01</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Account, balance and transaction analytics</w:t>
            </w:r>
          </w:p>
        </w:tc>
        <w:tc>
          <w:tcPr>
            <w:tcW w:type="dxa" w:w="2030"/>
            <w:shd w:fill="F7F8F9"/>
            <w:vAlign w:val="top"/>
          </w:tcPr>
          <w:p>
            <w:pPr>
              <w:spacing w:after="0"/>
            </w:pPr>
            <w:r>
              <w:rPr>
                <w:sz w:val="13"/>
              </w:rPr>
              <w:t>banking_kpi_02</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Fraud and financial-crime detection</w:t>
            </w:r>
          </w:p>
        </w:tc>
        <w:tc>
          <w:tcPr>
            <w:tcW w:type="dxa" w:w="2030"/>
            <w:vAlign w:val="top"/>
          </w:tcPr>
          <w:p>
            <w:pPr>
              <w:spacing w:after="0"/>
            </w:pPr>
            <w:r>
              <w:rPr>
                <w:sz w:val="13"/>
              </w:rPr>
              <w:t>banking_kpi_03</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Credit and liquidity risk analytics</w:t>
            </w:r>
          </w:p>
        </w:tc>
        <w:tc>
          <w:tcPr>
            <w:tcW w:type="dxa" w:w="2030"/>
            <w:shd w:fill="F7F8F9"/>
            <w:vAlign w:val="top"/>
          </w:tcPr>
          <w:p>
            <w:pPr>
              <w:spacing w:after="0"/>
            </w:pPr>
            <w:r>
              <w:rPr>
                <w:sz w:val="13"/>
              </w:rPr>
              <w:t>banking_kpi_04</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Finance, profitability and regulatory reporting</w:t>
            </w:r>
          </w:p>
        </w:tc>
        <w:tc>
          <w:tcPr>
            <w:tcW w:type="dxa" w:w="2030"/>
            <w:vAlign w:val="top"/>
          </w:tcPr>
          <w:p>
            <w:pPr>
              <w:spacing w:after="0"/>
            </w:pPr>
            <w:r>
              <w:rPr>
                <w:sz w:val="13"/>
              </w:rPr>
              <w:t>banking_kpi_05</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Payments operations and reconciliation</w:t>
            </w:r>
          </w:p>
        </w:tc>
        <w:tc>
          <w:tcPr>
            <w:tcW w:type="dxa" w:w="2030"/>
            <w:shd w:fill="F7F8F9"/>
            <w:vAlign w:val="top"/>
          </w:tcPr>
          <w:p>
            <w:pPr>
              <w:spacing w:after="0"/>
            </w:pPr>
            <w:r>
              <w:rPr>
                <w:sz w:val="13"/>
              </w:rPr>
              <w:t>banking_kpi_06</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Digital-channel and service analytics</w:t>
            </w:r>
          </w:p>
        </w:tc>
        <w:tc>
          <w:tcPr>
            <w:tcW w:type="dxa" w:w="2030"/>
            <w:vAlign w:val="top"/>
          </w:tcPr>
          <w:p>
            <w:pPr>
              <w:spacing w:after="0"/>
            </w:pPr>
            <w:r>
              <w:rPr>
                <w:sz w:val="13"/>
              </w:rPr>
              <w:t>banking_kpi_07</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Investigation and case-assistance workflows</w:t>
            </w:r>
          </w:p>
        </w:tc>
        <w:tc>
          <w:tcPr>
            <w:tcW w:type="dxa" w:w="2030"/>
            <w:shd w:fill="F7F8F9"/>
            <w:vAlign w:val="top"/>
          </w:tcPr>
          <w:p>
            <w:pPr>
              <w:spacing w:after="0"/>
            </w:pPr>
            <w:r>
              <w:rPr>
                <w:sz w:val="13"/>
              </w:rPr>
              <w:t>banking_kpi_08</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E6F4EA"/>
          </w:tcPr>
          <w:p>
            <w:r>
              <w:rPr>
                <w:b/>
                <w:color w:val="17365D"/>
              </w:rPr>
              <w:t xml:space="preserve">KPI governance - </w:t>
            </w:r>
            <w:r>
              <w:t>Regulatory and executive measures require a named business owner, formula, grain, time basis, exclusions, unit/currency, source reconciliation and change approval.</w:t>
            </w:r>
          </w:p>
        </w:tc>
        <w:trPr>
          <w:tblHeader/>
        </w:trPr>
      </w:tr>
    </w:tbl>
    <w:p>
      <w:pPr>
        <w:spacing w:after="0"/>
      </w:pPr>
    </w:p>
    <w:p>
      <w:r>
        <w:br w:type="page"/>
      </w:r>
    </w:p>
    <w:p>
      <w:pPr>
        <w:pStyle w:val="Heading2"/>
      </w:pPr>
      <w:r>
        <w:t>5.24 AI Evaluation and Model-System Card</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AI use case</w:t>
            </w:r>
          </w:p>
        </w:tc>
        <w:tc>
          <w:tcPr>
            <w:tcW w:type="dxa" w:w="2537"/>
            <w:shd w:fill="174EA6"/>
          </w:tcPr>
          <w:p>
            <w:pPr>
              <w:spacing w:after="0"/>
            </w:pPr>
            <w:r>
              <w:rPr>
                <w:b/>
                <w:color w:val="FFFFFF"/>
                <w:sz w:val="13"/>
              </w:rPr>
              <w:t>Evaluation suite</w:t>
            </w:r>
          </w:p>
        </w:tc>
        <w:tc>
          <w:tcPr>
            <w:tcW w:type="dxa" w:w="2537"/>
            <w:shd w:fill="174EA6"/>
          </w:tcPr>
          <w:p>
            <w:pPr>
              <w:spacing w:after="0"/>
            </w:pPr>
            <w:r>
              <w:rPr>
                <w:b/>
                <w:color w:val="FFFFFF"/>
                <w:sz w:val="13"/>
              </w:rPr>
              <w:t>Human control</w:t>
            </w:r>
          </w:p>
        </w:tc>
        <w:tc>
          <w:tcPr>
            <w:tcW w:type="dxa" w:w="2537"/>
            <w:shd w:fill="174EA6"/>
          </w:tcPr>
          <w:p>
            <w:pPr>
              <w:spacing w:after="0"/>
            </w:pPr>
            <w:r>
              <w:rPr>
                <w:b/>
                <w:color w:val="FFFFFF"/>
                <w:sz w:val="13"/>
              </w:rPr>
              <w:t>Rollback</w:t>
            </w:r>
          </w:p>
        </w:tc>
      </w:tr>
      <w:tr>
        <w:tc>
          <w:tcPr>
            <w:tcW w:type="dxa" w:w="2537"/>
            <w:vAlign w:val="top"/>
          </w:tcPr>
          <w:p>
            <w:pPr>
              <w:spacing w:after="0"/>
            </w:pPr>
            <w:r>
              <w:rPr>
                <w:sz w:val="13"/>
              </w:rPr>
              <w:t>AML AI where product scope and data requirements fit retail/commercial banking</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Fraud models with low-latency features and investigator feedback</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Credit decision support subject to model-risk and fair-lending controls</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Grounded policy and procedure assistant</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Investigation summarization with citations and human disposition</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Contact-center agent with transaction/action approval gates</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Document intelligence for KYC and trade/loan documents</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System-card field</w:t>
            </w:r>
          </w:p>
        </w:tc>
        <w:tc>
          <w:tcPr>
            <w:tcW w:type="dxa" w:w="5074"/>
            <w:shd w:fill="174EA6"/>
          </w:tcPr>
          <w:p>
            <w:pPr>
              <w:spacing w:after="0"/>
            </w:pPr>
            <w:r>
              <w:rPr>
                <w:b/>
                <w:color w:val="FFFFFF"/>
                <w:sz w:val="14"/>
              </w:rPr>
              <w:t>Required record</w:t>
            </w:r>
          </w:p>
        </w:tc>
      </w:tr>
      <w:tr>
        <w:tc>
          <w:tcPr>
            <w:tcW w:type="dxa" w:w="5074"/>
            <w:vAlign w:val="top"/>
          </w:tcPr>
          <w:p>
            <w:pPr>
              <w:spacing w:after="0"/>
            </w:pPr>
            <w:r>
              <w:rPr>
                <w:sz w:val="14"/>
              </w:rPr>
              <w:t>Intended/prohibited use</w:t>
            </w:r>
          </w:p>
        </w:tc>
        <w:tc>
          <w:tcPr>
            <w:tcW w:type="dxa" w:w="5074"/>
            <w:vAlign w:val="top"/>
          </w:tcPr>
          <w:p>
            <w:pPr>
              <w:spacing w:after="0"/>
            </w:pPr>
            <w:r>
              <w:rPr>
                <w:sz w:val="14"/>
              </w:rPr>
              <w:t>Authorized users, workflow, jurisdictions, decision role and explicit prohibited actions</w:t>
            </w:r>
          </w:p>
        </w:tc>
      </w:tr>
      <w:tr>
        <w:tc>
          <w:tcPr>
            <w:tcW w:type="dxa" w:w="5074"/>
            <w:shd w:fill="F7F8F9"/>
            <w:vAlign w:val="top"/>
          </w:tcPr>
          <w:p>
            <w:pPr>
              <w:spacing w:after="0"/>
            </w:pPr>
            <w:r>
              <w:rPr>
                <w:sz w:val="14"/>
              </w:rPr>
              <w:t>Data and model</w:t>
            </w:r>
          </w:p>
        </w:tc>
        <w:tc>
          <w:tcPr>
            <w:tcW w:type="dxa" w:w="5074"/>
            <w:shd w:fill="F7F8F9"/>
            <w:vAlign w:val="top"/>
          </w:tcPr>
          <w:p>
            <w:pPr>
              <w:spacing w:after="0"/>
            </w:pPr>
            <w:r>
              <w:rPr>
                <w:sz w:val="14"/>
              </w:rPr>
              <w:t>Approved product versions, model/version/region, prompt, retrieval/index and tool catalog</w:t>
            </w:r>
          </w:p>
        </w:tc>
      </w:tr>
      <w:tr>
        <w:tc>
          <w:tcPr>
            <w:tcW w:type="dxa" w:w="5074"/>
            <w:vAlign w:val="top"/>
          </w:tcPr>
          <w:p>
            <w:pPr>
              <w:spacing w:after="0"/>
            </w:pPr>
            <w:r>
              <w:rPr>
                <w:sz w:val="14"/>
              </w:rPr>
              <w:t>Performance and safety</w:t>
            </w:r>
          </w:p>
        </w:tc>
        <w:tc>
          <w:tcPr>
            <w:tcW w:type="dxa" w:w="5074"/>
            <w:vAlign w:val="top"/>
          </w:tcPr>
          <w:p>
            <w:pPr>
              <w:spacing w:after="0"/>
            </w:pPr>
            <w:r>
              <w:rPr>
                <w:sz w:val="14"/>
              </w:rPr>
              <w:t>Primary and segment metrics, groundedness/citations, robustness, privacy and red-team evidence</w:t>
            </w:r>
          </w:p>
        </w:tc>
      </w:tr>
      <w:tr>
        <w:tc>
          <w:tcPr>
            <w:tcW w:type="dxa" w:w="5074"/>
            <w:shd w:fill="F7F8F9"/>
            <w:vAlign w:val="top"/>
          </w:tcPr>
          <w:p>
            <w:pPr>
              <w:spacing w:after="0"/>
            </w:pPr>
            <w:r>
              <w:rPr>
                <w:sz w:val="14"/>
              </w:rPr>
              <w:t>Operations</w:t>
            </w:r>
          </w:p>
        </w:tc>
        <w:tc>
          <w:tcPr>
            <w:tcW w:type="dxa" w:w="5074"/>
            <w:shd w:fill="F7F8F9"/>
            <w:vAlign w:val="top"/>
          </w:tcPr>
          <w:p>
            <w:pPr>
              <w:spacing w:after="0"/>
            </w:pPr>
            <w:r>
              <w:rPr>
                <w:sz w:val="14"/>
              </w:rPr>
              <w:t>SLO, quotas, monitoring, feedback, incident, rollback, DR and periodic review</w:t>
            </w:r>
          </w:p>
        </w:tc>
      </w:tr>
      <w:tr>
        <w:tc>
          <w:tcPr>
            <w:tcW w:type="dxa" w:w="5074"/>
            <w:vAlign w:val="top"/>
          </w:tcPr>
          <w:p>
            <w:pPr>
              <w:spacing w:after="0"/>
            </w:pPr>
            <w:r>
              <w:rPr>
                <w:sz w:val="14"/>
              </w:rPr>
              <w:t>Accountability</w:t>
            </w:r>
          </w:p>
        </w:tc>
        <w:tc>
          <w:tcPr>
            <w:tcW w:type="dxa" w:w="5074"/>
            <w:vAlign w:val="top"/>
          </w:tcPr>
          <w:p>
            <w:pPr>
              <w:spacing w:after="0"/>
            </w:pPr>
            <w:r>
              <w:rPr>
                <w:sz w:val="14"/>
              </w:rPr>
              <w:t>Business owner, AI product owner, validators, security/privacy/legal and human decision authority</w:t>
            </w:r>
          </w:p>
        </w:tc>
      </w:tr>
    </w:tbl>
    <w:p>
      <w:pPr>
        <w:spacing w:after="0"/>
      </w:pPr>
    </w:p>
    <w:p>
      <w:r>
        <w:br w:type="page"/>
      </w:r>
    </w:p>
    <w:p>
      <w:pPr>
        <w:pStyle w:val="Heading2"/>
      </w:pPr>
      <w:r>
        <w:t>5.25 Security and Regulatory Control Mapping</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Industry control</w:t>
            </w:r>
          </w:p>
        </w:tc>
        <w:tc>
          <w:tcPr>
            <w:tcW w:type="dxa" w:w="2537"/>
            <w:shd w:fill="174EA6"/>
          </w:tcPr>
          <w:p>
            <w:pPr>
              <w:spacing w:after="0"/>
            </w:pPr>
            <w:r>
              <w:rPr>
                <w:b/>
                <w:color w:val="FFFFFF"/>
                <w:sz w:val="13"/>
              </w:rPr>
              <w:t>Implementation type</w:t>
            </w:r>
          </w:p>
        </w:tc>
        <w:tc>
          <w:tcPr>
            <w:tcW w:type="dxa" w:w="2537"/>
            <w:shd w:fill="174EA6"/>
          </w:tcPr>
          <w:p>
            <w:pPr>
              <w:spacing w:after="0"/>
            </w:pPr>
            <w:r>
              <w:rPr>
                <w:b/>
                <w:color w:val="FFFFFF"/>
                <w:sz w:val="13"/>
              </w:rPr>
              <w:t>Evidence</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HSM/CMEK strategy for Restricted and Regulated data</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VPC Service Controls and regional financial-data perimeters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PCI cardholder-data segmentation and tokenization</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PAM and dual approval for production and key access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Immutable audit evidence and separation of maker/checker roles</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Model-risk, explainability and independent validation</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Transaction and case data excluded from uncontrolled prompts/logs</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DORA/FFIEC resilience and third-party dependency evidence</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Compliance boundary - </w:t>
            </w:r>
            <w:r>
              <w:t>This mapping supports control design and evidence collection; legal counsel and qualified assessors determine applicability and compliance conclusions.</w:t>
            </w:r>
          </w:p>
        </w:tc>
        <w:trPr>
          <w:tblHeader/>
        </w:trPr>
      </w:tr>
    </w:tbl>
    <w:p>
      <w:pPr>
        <w:spacing w:after="0"/>
      </w:pPr>
    </w:p>
    <w:p>
      <w:r>
        <w:br w:type="page"/>
      </w:r>
    </w:p>
    <w:p>
      <w:pPr>
        <w:pStyle w:val="Heading2"/>
      </w:pPr>
      <w:r>
        <w:t>5.26 Network Flows and Trust Boundaries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Flow</w:t>
            </w:r>
          </w:p>
        </w:tc>
        <w:tc>
          <w:tcPr>
            <w:tcW w:type="dxa" w:w="2537"/>
            <w:shd w:fill="174EA6"/>
          </w:tcPr>
          <w:p>
            <w:pPr>
              <w:spacing w:after="0"/>
            </w:pPr>
            <w:r>
              <w:rPr>
                <w:b/>
                <w:color w:val="FFFFFF"/>
                <w:sz w:val="13"/>
              </w:rPr>
              <w:t>Source -&gt; destination</w:t>
            </w:r>
          </w:p>
        </w:tc>
        <w:tc>
          <w:tcPr>
            <w:tcW w:type="dxa" w:w="2537"/>
            <w:shd w:fill="174EA6"/>
          </w:tcPr>
          <w:p>
            <w:pPr>
              <w:spacing w:after="0"/>
            </w:pPr>
            <w:r>
              <w:rPr>
                <w:b/>
                <w:color w:val="FFFFFF"/>
                <w:sz w:val="13"/>
              </w:rPr>
              <w:t>Protocol / path</w:t>
            </w:r>
          </w:p>
        </w:tc>
        <w:tc>
          <w:tcPr>
            <w:tcW w:type="dxa" w:w="2537"/>
            <w:shd w:fill="174EA6"/>
          </w:tcPr>
          <w:p>
            <w:pPr>
              <w:spacing w:after="0"/>
            </w:pPr>
            <w:r>
              <w:rPr>
                <w:b/>
                <w:color w:val="FFFFFF"/>
                <w:sz w:val="13"/>
              </w:rPr>
              <w:t>Authorization and control</w:t>
            </w:r>
          </w:p>
        </w:tc>
      </w:tr>
      <w:tr>
        <w:tc>
          <w:tcPr>
            <w:tcW w:type="dxa" w:w="2537"/>
            <w:vAlign w:val="top"/>
          </w:tcPr>
          <w:p>
            <w:pPr>
              <w:spacing w:after="0"/>
            </w:pPr>
            <w:r>
              <w:rPr>
                <w:sz w:val="13"/>
              </w:rPr>
              <w:t>Hybrid ingestion</w:t>
            </w:r>
          </w:p>
        </w:tc>
        <w:tc>
          <w:tcPr>
            <w:tcW w:type="dxa" w:w="2537"/>
            <w:vAlign w:val="top"/>
          </w:tcPr>
          <w:p>
            <w:pPr>
              <w:spacing w:after="0"/>
            </w:pPr>
            <w:r>
              <w:rPr>
                <w:sz w:val="13"/>
              </w:rPr>
              <w:t>Industry source -&gt; regional ingestion project</w:t>
            </w:r>
          </w:p>
        </w:tc>
        <w:tc>
          <w:tcPr>
            <w:tcW w:type="dxa" w:w="2537"/>
            <w:vAlign w:val="top"/>
          </w:tcPr>
          <w:p>
            <w:pPr>
              <w:spacing w:after="0"/>
            </w:pPr>
            <w:r>
              <w:rPr>
                <w:sz w:val="13"/>
              </w:rPr>
              <w:t>Interconnect/VPN/private endpoint/API</w:t>
            </w:r>
          </w:p>
        </w:tc>
        <w:tc>
          <w:tcPr>
            <w:tcW w:type="dxa" w:w="2537"/>
            <w:vAlign w:val="top"/>
          </w:tcPr>
          <w:p>
            <w:pPr>
              <w:spacing w:after="0"/>
            </w:pPr>
            <w:r>
              <w:rPr>
                <w:sz w:val="13"/>
              </w:rPr>
              <w:t>Workload identity, source allowlist, encryption and schema contract</w:t>
            </w:r>
          </w:p>
        </w:tc>
      </w:tr>
      <w:tr>
        <w:tc>
          <w:tcPr>
            <w:tcW w:type="dxa" w:w="2537"/>
            <w:shd w:fill="F7F8F9"/>
            <w:vAlign w:val="top"/>
          </w:tcPr>
          <w:p>
            <w:pPr>
              <w:spacing w:after="0"/>
            </w:pPr>
            <w:r>
              <w:rPr>
                <w:sz w:val="13"/>
              </w:rPr>
              <w:t>Managed data processing</w:t>
            </w:r>
          </w:p>
        </w:tc>
        <w:tc>
          <w:tcPr>
            <w:tcW w:type="dxa" w:w="2537"/>
            <w:shd w:fill="F7F8F9"/>
            <w:vAlign w:val="top"/>
          </w:tcPr>
          <w:p>
            <w:pPr>
              <w:spacing w:after="0"/>
            </w:pPr>
            <w:r>
              <w:rPr>
                <w:sz w:val="13"/>
              </w:rPr>
              <w:t>Ingestion runtime -&gt; Cloud Storage/BigQuery/Pub/Sub</w:t>
            </w:r>
          </w:p>
        </w:tc>
        <w:tc>
          <w:tcPr>
            <w:tcW w:type="dxa" w:w="2537"/>
            <w:shd w:fill="F7F8F9"/>
            <w:vAlign w:val="top"/>
          </w:tcPr>
          <w:p>
            <w:pPr>
              <w:spacing w:after="0"/>
            </w:pPr>
            <w:r>
              <w:rPr>
                <w:sz w:val="13"/>
              </w:rPr>
              <w:t>Private Google API path/PSC where supported</w:t>
            </w:r>
          </w:p>
        </w:tc>
        <w:tc>
          <w:tcPr>
            <w:tcW w:type="dxa" w:w="2537"/>
            <w:shd w:fill="F7F8F9"/>
            <w:vAlign w:val="top"/>
          </w:tcPr>
          <w:p>
            <w:pPr>
              <w:spacing w:after="0"/>
            </w:pPr>
            <w:r>
              <w:rPr>
                <w:sz w:val="13"/>
              </w:rPr>
              <w:t>Dedicated SA, VPC SC, CMEK and egress policy</w:t>
            </w:r>
          </w:p>
        </w:tc>
      </w:tr>
      <w:tr>
        <w:tc>
          <w:tcPr>
            <w:tcW w:type="dxa" w:w="2537"/>
            <w:vAlign w:val="top"/>
          </w:tcPr>
          <w:p>
            <w:pPr>
              <w:spacing w:after="0"/>
            </w:pPr>
            <w:r>
              <w:rPr>
                <w:sz w:val="13"/>
              </w:rPr>
              <w:t>Analytics</w:t>
            </w:r>
          </w:p>
        </w:tc>
        <w:tc>
          <w:tcPr>
            <w:tcW w:type="dxa" w:w="2537"/>
            <w:vAlign w:val="top"/>
          </w:tcPr>
          <w:p>
            <w:pPr>
              <w:spacing w:after="0"/>
            </w:pPr>
            <w:r>
              <w:rPr>
                <w:sz w:val="13"/>
              </w:rPr>
              <w:t>Looker/authorized consumer -&gt; curated/semantic product</w:t>
            </w:r>
          </w:p>
        </w:tc>
        <w:tc>
          <w:tcPr>
            <w:tcW w:type="dxa" w:w="2537"/>
            <w:vAlign w:val="top"/>
          </w:tcPr>
          <w:p>
            <w:pPr>
              <w:spacing w:after="0"/>
            </w:pPr>
            <w:r>
              <w:rPr>
                <w:sz w:val="13"/>
              </w:rPr>
              <w:t>Approved Google API/application path</w:t>
            </w:r>
          </w:p>
        </w:tc>
        <w:tc>
          <w:tcPr>
            <w:tcW w:type="dxa" w:w="2537"/>
            <w:vAlign w:val="top"/>
          </w:tcPr>
          <w:p>
            <w:pPr>
              <w:spacing w:after="0"/>
            </w:pPr>
            <w:r>
              <w:rPr>
                <w:sz w:val="13"/>
              </w:rPr>
              <w:t>Group/attribute access, row/column policy and audit</w:t>
            </w:r>
          </w:p>
        </w:tc>
      </w:tr>
      <w:tr>
        <w:tc>
          <w:tcPr>
            <w:tcW w:type="dxa" w:w="2537"/>
            <w:shd w:fill="F7F8F9"/>
            <w:vAlign w:val="top"/>
          </w:tcPr>
          <w:p>
            <w:pPr>
              <w:spacing w:after="0"/>
            </w:pPr>
            <w:r>
              <w:rPr>
                <w:sz w:val="13"/>
              </w:rPr>
              <w:t>AI retrieval</w:t>
            </w:r>
          </w:p>
        </w:tc>
        <w:tc>
          <w:tcPr>
            <w:tcW w:type="dxa" w:w="2537"/>
            <w:shd w:fill="F7F8F9"/>
            <w:vAlign w:val="top"/>
          </w:tcPr>
          <w:p>
            <w:pPr>
              <w:spacing w:after="0"/>
            </w:pPr>
            <w:r>
              <w:rPr>
                <w:sz w:val="13"/>
              </w:rPr>
              <w:t>Agent/application -&gt; approved data product/corpus/index</w:t>
            </w:r>
          </w:p>
        </w:tc>
        <w:tc>
          <w:tcPr>
            <w:tcW w:type="dxa" w:w="2537"/>
            <w:shd w:fill="F7F8F9"/>
            <w:vAlign w:val="top"/>
          </w:tcPr>
          <w:p>
            <w:pPr>
              <w:spacing w:after="0"/>
            </w:pPr>
            <w:r>
              <w:rPr>
                <w:sz w:val="13"/>
              </w:rPr>
              <w:t>Private managed-service path where supported</w:t>
            </w:r>
          </w:p>
        </w:tc>
        <w:tc>
          <w:tcPr>
            <w:tcW w:type="dxa" w:w="2537"/>
            <w:shd w:fill="F7F8F9"/>
            <w:vAlign w:val="top"/>
          </w:tcPr>
          <w:p>
            <w:pPr>
              <w:spacing w:after="0"/>
            </w:pPr>
            <w:r>
              <w:rPr>
                <w:sz w:val="13"/>
              </w:rPr>
              <w:t>Caller identity, purpose/ACL filter, safety and citation controls</w:t>
            </w:r>
          </w:p>
        </w:tc>
      </w:tr>
      <w:tr>
        <w:tc>
          <w:tcPr>
            <w:tcW w:type="dxa" w:w="2537"/>
            <w:vAlign w:val="top"/>
          </w:tcPr>
          <w:p>
            <w:pPr>
              <w:spacing w:after="0"/>
            </w:pPr>
            <w:r>
              <w:rPr>
                <w:sz w:val="13"/>
              </w:rPr>
              <w:t>Operations</w:t>
            </w:r>
          </w:p>
        </w:tc>
        <w:tc>
          <w:tcPr>
            <w:tcW w:type="dxa" w:w="2537"/>
            <w:vAlign w:val="top"/>
          </w:tcPr>
          <w:p>
            <w:pPr>
              <w:spacing w:after="0"/>
            </w:pPr>
            <w:r>
              <w:rPr>
                <w:sz w:val="13"/>
              </w:rPr>
              <w:t>Runtime -&gt; logging/monitoring/SCC</w:t>
            </w:r>
          </w:p>
        </w:tc>
        <w:tc>
          <w:tcPr>
            <w:tcW w:type="dxa" w:w="2537"/>
            <w:vAlign w:val="top"/>
          </w:tcPr>
          <w:p>
            <w:pPr>
              <w:spacing w:after="0"/>
            </w:pPr>
            <w:r>
              <w:rPr>
                <w:sz w:val="13"/>
              </w:rPr>
              <w:t>Central regional control projects</w:t>
            </w:r>
          </w:p>
        </w:tc>
        <w:tc>
          <w:tcPr>
            <w:tcW w:type="dxa" w:w="2537"/>
            <w:vAlign w:val="top"/>
          </w:tcPr>
          <w:p>
            <w:pPr>
              <w:spacing w:after="0"/>
            </w:pPr>
            <w:r>
              <w:rPr>
                <w:sz w:val="13"/>
              </w:rPr>
              <w:t>Redaction, retention, immutable sinks and least privilege</w:t>
            </w:r>
          </w:p>
        </w:tc>
      </w:tr>
      <w:tr>
        <w:tc>
          <w:tcPr>
            <w:tcW w:type="dxa" w:w="2537"/>
            <w:shd w:fill="F7F8F9"/>
            <w:vAlign w:val="top"/>
          </w:tcPr>
          <w:p>
            <w:pPr>
              <w:spacing w:after="0"/>
            </w:pPr>
            <w:r>
              <w:rPr>
                <w:sz w:val="13"/>
              </w:rPr>
              <w:t>Cross-region</w:t>
            </w:r>
          </w:p>
        </w:tc>
        <w:tc>
          <w:tcPr>
            <w:tcW w:type="dxa" w:w="2537"/>
            <w:shd w:fill="F7F8F9"/>
            <w:vAlign w:val="top"/>
          </w:tcPr>
          <w:p>
            <w:pPr>
              <w:spacing w:after="0"/>
            </w:pPr>
            <w:r>
              <w:rPr>
                <w:sz w:val="13"/>
              </w:rPr>
              <w:t>Regional product -&gt; approved recovery/sharing destination</w:t>
            </w:r>
          </w:p>
        </w:tc>
        <w:tc>
          <w:tcPr>
            <w:tcW w:type="dxa" w:w="2537"/>
            <w:shd w:fill="F7F8F9"/>
            <w:vAlign w:val="top"/>
          </w:tcPr>
          <w:p>
            <w:pPr>
              <w:spacing w:after="0"/>
            </w:pPr>
            <w:r>
              <w:rPr>
                <w:sz w:val="13"/>
              </w:rPr>
              <w:t>Explicit replication/export path</w:t>
            </w:r>
          </w:p>
        </w:tc>
        <w:tc>
          <w:tcPr>
            <w:tcW w:type="dxa" w:w="2537"/>
            <w:shd w:fill="F7F8F9"/>
            <w:vAlign w:val="top"/>
          </w:tcPr>
          <w:p>
            <w:pPr>
              <w:spacing w:after="0"/>
            </w:pPr>
            <w:r>
              <w:rPr>
                <w:sz w:val="13"/>
              </w:rPr>
              <w:t>Residency approval, encryption, manifest and reconciliation</w:t>
            </w:r>
          </w:p>
        </w:tc>
      </w:tr>
    </w:tbl>
    <w:p>
      <w:pPr>
        <w:spacing w:after="0"/>
      </w:pPr>
    </w:p>
    <w:p>
      <w:r>
        <w:br w:type="page"/>
      </w:r>
    </w:p>
    <w:p>
      <w:pPr>
        <w:pStyle w:val="Heading2"/>
      </w:pPr>
      <w:r>
        <w:t>5.27 SLI, SLO and Support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SLO ID</w:t>
            </w:r>
          </w:p>
        </w:tc>
        <w:tc>
          <w:tcPr>
            <w:tcW w:type="dxa" w:w="2030"/>
            <w:shd w:fill="174EA6"/>
          </w:tcPr>
          <w:p>
            <w:pPr>
              <w:spacing w:after="0"/>
            </w:pPr>
            <w:r>
              <w:rPr>
                <w:b/>
                <w:color w:val="FFFFFF"/>
                <w:sz w:val="13"/>
              </w:rPr>
              <w:t>Critical service/journey</w:t>
            </w:r>
          </w:p>
        </w:tc>
        <w:tc>
          <w:tcPr>
            <w:tcW w:type="dxa" w:w="2030"/>
            <w:shd w:fill="174EA6"/>
          </w:tcPr>
          <w:p>
            <w:pPr>
              <w:spacing w:after="0"/>
            </w:pPr>
            <w:r>
              <w:rPr>
                <w:b/>
                <w:color w:val="FFFFFF"/>
                <w:sz w:val="13"/>
              </w:rPr>
              <w:t>Target</w:t>
            </w:r>
          </w:p>
        </w:tc>
        <w:tc>
          <w:tcPr>
            <w:tcW w:type="dxa" w:w="2030"/>
            <w:shd w:fill="174EA6"/>
          </w:tcPr>
          <w:p>
            <w:pPr>
              <w:spacing w:after="0"/>
            </w:pPr>
            <w:r>
              <w:rPr>
                <w:b/>
                <w:color w:val="FFFFFF"/>
                <w:sz w:val="13"/>
              </w:rPr>
              <w:t>Window</w:t>
            </w:r>
          </w:p>
        </w:tc>
        <w:tc>
          <w:tcPr>
            <w:tcW w:type="dxa" w:w="2030"/>
            <w:shd w:fill="174EA6"/>
          </w:tcPr>
          <w:p>
            <w:pPr>
              <w:spacing w:after="0"/>
            </w:pPr>
            <w:r>
              <w:rPr>
                <w:b/>
                <w:color w:val="FFFFFF"/>
                <w:sz w:val="13"/>
              </w:rPr>
              <w:t>Owner</w:t>
            </w:r>
          </w:p>
        </w:tc>
      </w:tr>
      <w:tr>
        <w:tc>
          <w:tcPr>
            <w:tcW w:type="dxa" w:w="2030"/>
            <w:vAlign w:val="top"/>
          </w:tcPr>
          <w:p>
            <w:pPr>
              <w:spacing w:after="0"/>
            </w:pPr>
            <w:r>
              <w:rPr>
                <w:sz w:val="13"/>
              </w:rPr>
              <w:t>banking-SLO-01</w:t>
            </w:r>
          </w:p>
        </w:tc>
        <w:tc>
          <w:tcPr>
            <w:tcW w:type="dxa" w:w="2030"/>
            <w:vAlign w:val="top"/>
          </w:tcPr>
          <w:p>
            <w:pPr>
              <w:spacing w:after="0"/>
            </w:pPr>
            <w:r>
              <w:rPr>
                <w:sz w:val="13"/>
              </w:rPr>
              <w:t>Tier 0 payment/fraud/AML ingestion and risk-scoring services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banking-SLO-02</w:t>
            </w:r>
          </w:p>
        </w:tc>
        <w:tc>
          <w:tcPr>
            <w:tcW w:type="dxa" w:w="2030"/>
            <w:shd w:fill="F7F8F9"/>
            <w:vAlign w:val="top"/>
          </w:tcPr>
          <w:p>
            <w:pPr>
              <w:spacing w:after="0"/>
            </w:pPr>
            <w:r>
              <w:rPr>
                <w:sz w:val="13"/>
              </w:rPr>
              <w:t>End-to-end payment-event freshness, decision latency and backlog SLIs</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r>
        <w:tc>
          <w:tcPr>
            <w:tcW w:type="dxa" w:w="2030"/>
            <w:vAlign w:val="top"/>
          </w:tcPr>
          <w:p>
            <w:pPr>
              <w:spacing w:after="0"/>
            </w:pPr>
            <w:r>
              <w:rPr>
                <w:sz w:val="13"/>
              </w:rPr>
              <w:t>banking-SLO-03</w:t>
            </w:r>
          </w:p>
        </w:tc>
        <w:tc>
          <w:tcPr>
            <w:tcW w:type="dxa" w:w="2030"/>
            <w:vAlign w:val="top"/>
          </w:tcPr>
          <w:p>
            <w:pPr>
              <w:spacing w:after="0"/>
            </w:pPr>
            <w:r>
              <w:rPr>
                <w:sz w:val="13"/>
              </w:rPr>
              <w:t>Error budgets tied to financial impact and regulatory reporting windows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banking-SLO-04</w:t>
            </w:r>
          </w:p>
        </w:tc>
        <w:tc>
          <w:tcPr>
            <w:tcW w:type="dxa" w:w="2030"/>
            <w:shd w:fill="F7F8F9"/>
            <w:vAlign w:val="top"/>
          </w:tcPr>
          <w:p>
            <w:pPr>
              <w:spacing w:after="0"/>
            </w:pPr>
            <w:r>
              <w:rPr>
                <w:sz w:val="13"/>
              </w:rPr>
              <w:t>Vendor and payment-rail escalation integrated into incident command</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Alert severity</w:t>
            </w:r>
          </w:p>
        </w:tc>
        <w:tc>
          <w:tcPr>
            <w:tcW w:type="dxa" w:w="3383"/>
            <w:shd w:fill="174EA6"/>
          </w:tcPr>
          <w:p>
            <w:pPr>
              <w:spacing w:after="0"/>
            </w:pPr>
            <w:r>
              <w:rPr>
                <w:b/>
                <w:color w:val="FFFFFF"/>
                <w:sz w:val="14"/>
              </w:rPr>
              <w:t>Trigger</w:t>
            </w:r>
          </w:p>
        </w:tc>
        <w:tc>
          <w:tcPr>
            <w:tcW w:type="dxa" w:w="3383"/>
            <w:shd w:fill="174EA6"/>
          </w:tcPr>
          <w:p>
            <w:pPr>
              <w:spacing w:after="0"/>
            </w:pPr>
            <w:r>
              <w:rPr>
                <w:b/>
                <w:color w:val="FFFFFF"/>
                <w:sz w:val="14"/>
              </w:rPr>
              <w:t>Response</w:t>
            </w:r>
          </w:p>
        </w:tc>
      </w:tr>
      <w:tr>
        <w:tc>
          <w:tcPr>
            <w:tcW w:type="dxa" w:w="3383"/>
            <w:vAlign w:val="top"/>
          </w:tcPr>
          <w:p>
            <w:pPr>
              <w:spacing w:after="0"/>
            </w:pPr>
            <w:r>
              <w:rPr>
                <w:sz w:val="14"/>
              </w:rPr>
              <w:t>SEV-1</w:t>
            </w:r>
          </w:p>
        </w:tc>
        <w:tc>
          <w:tcPr>
            <w:tcW w:type="dxa" w:w="3383"/>
            <w:vAlign w:val="top"/>
          </w:tcPr>
          <w:p>
            <w:pPr>
              <w:spacing w:after="0"/>
            </w:pPr>
            <w:r>
              <w:rPr>
                <w:sz w:val="14"/>
              </w:rPr>
              <w:t>Tier 0 outage, data loss/exposure, unsafe high-impact action or critical regulated error</w:t>
            </w:r>
          </w:p>
        </w:tc>
        <w:tc>
          <w:tcPr>
            <w:tcW w:type="dxa" w:w="3383"/>
            <w:vAlign w:val="top"/>
          </w:tcPr>
          <w:p>
            <w:pPr>
              <w:spacing w:after="0"/>
            </w:pPr>
            <w:r>
              <w:rPr>
                <w:sz w:val="14"/>
              </w:rPr>
              <w:t>Immediate incident command, business/security/control owners and vendor escalation</w:t>
            </w:r>
          </w:p>
        </w:tc>
      </w:tr>
      <w:tr>
        <w:tc>
          <w:tcPr>
            <w:tcW w:type="dxa" w:w="3383"/>
            <w:shd w:fill="F7F8F9"/>
            <w:vAlign w:val="top"/>
          </w:tcPr>
          <w:p>
            <w:pPr>
              <w:spacing w:after="0"/>
            </w:pPr>
            <w:r>
              <w:rPr>
                <w:sz w:val="14"/>
              </w:rPr>
              <w:t>SEV-2</w:t>
            </w:r>
          </w:p>
        </w:tc>
        <w:tc>
          <w:tcPr>
            <w:tcW w:type="dxa" w:w="3383"/>
            <w:shd w:fill="F7F8F9"/>
            <w:vAlign w:val="top"/>
          </w:tcPr>
          <w:p>
            <w:pPr>
              <w:spacing w:after="0"/>
            </w:pPr>
            <w:r>
              <w:rPr>
                <w:sz w:val="14"/>
              </w:rPr>
              <w:t>Tier 1 SLO breach, rapidly growing backlog or material quality failure</w:t>
            </w:r>
          </w:p>
        </w:tc>
        <w:tc>
          <w:tcPr>
            <w:tcW w:type="dxa" w:w="3383"/>
            <w:shd w:fill="F7F8F9"/>
            <w:vAlign w:val="top"/>
          </w:tcPr>
          <w:p>
            <w:pPr>
              <w:spacing w:after="0"/>
            </w:pPr>
            <w:r>
              <w:rPr>
                <w:sz w:val="14"/>
              </w:rPr>
              <w:t>Page product and platform on-call; protect capacity and users</w:t>
            </w:r>
          </w:p>
        </w:tc>
      </w:tr>
      <w:tr>
        <w:tc>
          <w:tcPr>
            <w:tcW w:type="dxa" w:w="3383"/>
            <w:vAlign w:val="top"/>
          </w:tcPr>
          <w:p>
            <w:pPr>
              <w:spacing w:after="0"/>
            </w:pPr>
            <w:r>
              <w:rPr>
                <w:sz w:val="14"/>
              </w:rPr>
              <w:t>SEV-3</w:t>
            </w:r>
          </w:p>
        </w:tc>
        <w:tc>
          <w:tcPr>
            <w:tcW w:type="dxa" w:w="3383"/>
            <w:vAlign w:val="top"/>
          </w:tcPr>
          <w:p>
            <w:pPr>
              <w:spacing w:after="0"/>
            </w:pPr>
            <w:r>
              <w:rPr>
                <w:sz w:val="14"/>
              </w:rPr>
              <w:t>Degradation with workaround, aging DLQ or forecast risk</w:t>
            </w:r>
          </w:p>
        </w:tc>
        <w:tc>
          <w:tcPr>
            <w:tcW w:type="dxa" w:w="3383"/>
            <w:vAlign w:val="top"/>
          </w:tcPr>
          <w:p>
            <w:pPr>
              <w:spacing w:after="0"/>
            </w:pPr>
            <w:r>
              <w:rPr>
                <w:sz w:val="14"/>
              </w:rPr>
              <w:t>Ticket and bounded remediation</w:t>
            </w:r>
          </w:p>
        </w:tc>
      </w:tr>
      <w:tr>
        <w:tc>
          <w:tcPr>
            <w:tcW w:type="dxa" w:w="3383"/>
            <w:shd w:fill="F7F8F9"/>
            <w:vAlign w:val="top"/>
          </w:tcPr>
          <w:p>
            <w:pPr>
              <w:spacing w:after="0"/>
            </w:pPr>
            <w:r>
              <w:rPr>
                <w:sz w:val="14"/>
              </w:rPr>
              <w:t>SEV-4</w:t>
            </w:r>
          </w:p>
        </w:tc>
        <w:tc>
          <w:tcPr>
            <w:tcW w:type="dxa" w:w="3383"/>
            <w:shd w:fill="F7F8F9"/>
            <w:vAlign w:val="top"/>
          </w:tcPr>
          <w:p>
            <w:pPr>
              <w:spacing w:after="0"/>
            </w:pPr>
            <w:r>
              <w:rPr>
                <w:sz w:val="14"/>
              </w:rPr>
              <w:t>Optimization, lifecycle or documentation gap</w:t>
            </w:r>
          </w:p>
        </w:tc>
        <w:tc>
          <w:tcPr>
            <w:tcW w:type="dxa" w:w="3383"/>
            <w:shd w:fill="F7F8F9"/>
            <w:vAlign w:val="top"/>
          </w:tcPr>
          <w:p>
            <w:pPr>
              <w:spacing w:after="0"/>
            </w:pPr>
            <w:r>
              <w:rPr>
                <w:sz w:val="14"/>
              </w:rPr>
              <w:t>Backlog and service review</w:t>
            </w:r>
          </w:p>
        </w:tc>
      </w:tr>
    </w:tbl>
    <w:p>
      <w:pPr>
        <w:spacing w:after="0"/>
      </w:pPr>
    </w:p>
    <w:p>
      <w:r>
        <w:br w:type="page"/>
      </w:r>
    </w:p>
    <w:p>
      <w:pPr>
        <w:pStyle w:val="Heading2"/>
      </w:pPr>
      <w:r>
        <w:t>5.28 Disaster-Recovery Pattern</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Recovery requirement</w:t>
            </w:r>
          </w:p>
        </w:tc>
        <w:tc>
          <w:tcPr>
            <w:tcW w:type="dxa" w:w="2537"/>
            <w:shd w:fill="174EA6"/>
          </w:tcPr>
          <w:p>
            <w:pPr>
              <w:spacing w:after="0"/>
            </w:pPr>
            <w:r>
              <w:rPr>
                <w:b/>
                <w:color w:val="FFFFFF"/>
                <w:sz w:val="13"/>
              </w:rPr>
              <w:t>Primary</w:t>
            </w:r>
          </w:p>
        </w:tc>
        <w:tc>
          <w:tcPr>
            <w:tcW w:type="dxa" w:w="2537"/>
            <w:shd w:fill="174EA6"/>
          </w:tcPr>
          <w:p>
            <w:pPr>
              <w:spacing w:after="0"/>
            </w:pPr>
            <w:r>
              <w:rPr>
                <w:b/>
                <w:color w:val="FFFFFF"/>
                <w:sz w:val="13"/>
              </w:rPr>
              <w:t>Recovery pattern</w:t>
            </w:r>
          </w:p>
        </w:tc>
        <w:tc>
          <w:tcPr>
            <w:tcW w:type="dxa" w:w="2537"/>
            <w:shd w:fill="174EA6"/>
          </w:tcPr>
          <w:p>
            <w:pPr>
              <w:spacing w:after="0"/>
            </w:pPr>
            <w:r>
              <w:rPr>
                <w:b/>
                <w:color w:val="FFFFFF"/>
                <w:sz w:val="13"/>
              </w:rPr>
              <w:t>Evidence</w:t>
            </w:r>
          </w:p>
        </w:tc>
      </w:tr>
      <w:tr>
        <w:tc>
          <w:tcPr>
            <w:tcW w:type="dxa" w:w="2537"/>
            <w:vAlign w:val="top"/>
          </w:tcPr>
          <w:p>
            <w:pPr>
              <w:spacing w:after="0"/>
            </w:pPr>
            <w:r>
              <w:rPr>
                <w:sz w:val="13"/>
              </w:rPr>
              <w:t>Multi-region recovery for critical risk and transaction data products</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Point-in-time reproducible AML/risk datasets and model artifacts</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r>
        <w:tc>
          <w:tcPr>
            <w:tcW w:type="dxa" w:w="2537"/>
            <w:vAlign w:val="top"/>
          </w:tcPr>
          <w:p>
            <w:pPr>
              <w:spacing w:after="0"/>
            </w:pPr>
            <w:r>
              <w:rPr>
                <w:sz w:val="13"/>
              </w:rPr>
              <w:t>Cyber-recovery isolation and evidence preservation</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DORA/FFIEC scenario testing including provider and data corruption failures</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Component</w:t>
            </w:r>
          </w:p>
        </w:tc>
        <w:tc>
          <w:tcPr>
            <w:tcW w:type="dxa" w:w="5074"/>
            <w:shd w:fill="174EA6"/>
          </w:tcPr>
          <w:p>
            <w:pPr>
              <w:spacing w:after="0"/>
            </w:pPr>
            <w:r>
              <w:rPr>
                <w:b/>
                <w:color w:val="FFFFFF"/>
                <w:sz w:val="14"/>
              </w:rPr>
              <w:t>Recoverable artifacts</w:t>
            </w:r>
          </w:p>
        </w:tc>
      </w:tr>
      <w:tr>
        <w:tc>
          <w:tcPr>
            <w:tcW w:type="dxa" w:w="5074"/>
            <w:vAlign w:val="top"/>
          </w:tcPr>
          <w:p>
            <w:pPr>
              <w:spacing w:after="0"/>
            </w:pPr>
            <w:r>
              <w:rPr>
                <w:sz w:val="14"/>
              </w:rPr>
              <w:t>Data</w:t>
            </w:r>
          </w:p>
        </w:tc>
        <w:tc>
          <w:tcPr>
            <w:tcW w:type="dxa" w:w="5074"/>
            <w:vAlign w:val="top"/>
          </w:tcPr>
          <w:p>
            <w:pPr>
              <w:spacing w:after="0"/>
            </w:pPr>
            <w:r>
              <w:rPr>
                <w:sz w:val="14"/>
              </w:rPr>
              <w:t>Immutable source, table snapshots/replicas/exports, product manifest and quality evidence</w:t>
            </w:r>
          </w:p>
        </w:tc>
      </w:tr>
      <w:tr>
        <w:tc>
          <w:tcPr>
            <w:tcW w:type="dxa" w:w="5074"/>
            <w:shd w:fill="F7F8F9"/>
            <w:vAlign w:val="top"/>
          </w:tcPr>
          <w:p>
            <w:pPr>
              <w:spacing w:after="0"/>
            </w:pPr>
            <w:r>
              <w:rPr>
                <w:sz w:val="14"/>
              </w:rPr>
              <w:t>Pipelines</w:t>
            </w:r>
          </w:p>
        </w:tc>
        <w:tc>
          <w:tcPr>
            <w:tcW w:type="dxa" w:w="5074"/>
            <w:shd w:fill="F7F8F9"/>
            <w:vAlign w:val="top"/>
          </w:tcPr>
          <w:p>
            <w:pPr>
              <w:spacing w:after="0"/>
            </w:pPr>
            <w:r>
              <w:rPr>
                <w:sz w:val="14"/>
              </w:rPr>
              <w:t>Source code, compiled template/image digest, parameters, checkpoint/offset and runbook</w:t>
            </w:r>
          </w:p>
        </w:tc>
      </w:tr>
      <w:tr>
        <w:tc>
          <w:tcPr>
            <w:tcW w:type="dxa" w:w="5074"/>
            <w:vAlign w:val="top"/>
          </w:tcPr>
          <w:p>
            <w:pPr>
              <w:spacing w:after="0"/>
            </w:pPr>
            <w:r>
              <w:rPr>
                <w:sz w:val="14"/>
              </w:rPr>
              <w:t>Analytics</w:t>
            </w:r>
          </w:p>
        </w:tc>
        <w:tc>
          <w:tcPr>
            <w:tcW w:type="dxa" w:w="5074"/>
            <w:vAlign w:val="top"/>
          </w:tcPr>
          <w:p>
            <w:pPr>
              <w:spacing w:after="0"/>
            </w:pPr>
            <w:r>
              <w:rPr>
                <w:sz w:val="14"/>
              </w:rPr>
              <w:t>Semantic model, KPI definitions, dashboards and reservation assignments</w:t>
            </w:r>
          </w:p>
        </w:tc>
      </w:tr>
      <w:tr>
        <w:tc>
          <w:tcPr>
            <w:tcW w:type="dxa" w:w="5074"/>
            <w:shd w:fill="F7F8F9"/>
            <w:vAlign w:val="top"/>
          </w:tcPr>
          <w:p>
            <w:pPr>
              <w:spacing w:after="0"/>
            </w:pPr>
            <w:r>
              <w:rPr>
                <w:sz w:val="14"/>
              </w:rPr>
              <w:t>AI</w:t>
            </w:r>
          </w:p>
        </w:tc>
        <w:tc>
          <w:tcPr>
            <w:tcW w:type="dxa" w:w="5074"/>
            <w:shd w:fill="F7F8F9"/>
            <w:vAlign w:val="top"/>
          </w:tcPr>
          <w:p>
            <w:pPr>
              <w:spacing w:after="0"/>
            </w:pPr>
            <w:r>
              <w:rPr>
                <w:sz w:val="14"/>
              </w:rPr>
              <w:t>Model/prompt/evaluation/index/tool/policy bundle, approvals and prior champion</w:t>
            </w:r>
          </w:p>
        </w:tc>
      </w:tr>
      <w:tr>
        <w:tc>
          <w:tcPr>
            <w:tcW w:type="dxa" w:w="5074"/>
            <w:vAlign w:val="top"/>
          </w:tcPr>
          <w:p>
            <w:pPr>
              <w:spacing w:after="0"/>
            </w:pPr>
            <w:r>
              <w:rPr>
                <w:sz w:val="14"/>
              </w:rPr>
              <w:t>Security/operations</w:t>
            </w:r>
          </w:p>
        </w:tc>
        <w:tc>
          <w:tcPr>
            <w:tcW w:type="dxa" w:w="5074"/>
            <w:vAlign w:val="top"/>
          </w:tcPr>
          <w:p>
            <w:pPr>
              <w:spacing w:after="0"/>
            </w:pPr>
            <w:r>
              <w:rPr>
                <w:sz w:val="14"/>
              </w:rPr>
              <w:t>IAM/perimeter/KMS references, alert/runbook, incident and evidence-retention configuration</w:t>
            </w:r>
          </w:p>
        </w:tc>
      </w:tr>
    </w:tbl>
    <w:p>
      <w:pPr>
        <w:spacing w:after="0"/>
      </w:pPr>
    </w:p>
    <w:p>
      <w:r>
        <w:br w:type="page"/>
      </w:r>
    </w:p>
    <w:p>
      <w:pPr>
        <w:pStyle w:val="Heading2"/>
      </w:pPr>
      <w:r>
        <w:t>5.29 FinOps Unit-Economics Model</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Unit-economics focus</w:t>
            </w:r>
          </w:p>
        </w:tc>
        <w:tc>
          <w:tcPr>
            <w:tcW w:type="dxa" w:w="2537"/>
            <w:shd w:fill="174EA6"/>
          </w:tcPr>
          <w:p>
            <w:pPr>
              <w:spacing w:after="0"/>
            </w:pPr>
            <w:r>
              <w:rPr>
                <w:b/>
                <w:color w:val="FFFFFF"/>
                <w:sz w:val="13"/>
              </w:rPr>
              <w:t>Variable model</w:t>
            </w:r>
          </w:p>
        </w:tc>
        <w:tc>
          <w:tcPr>
            <w:tcW w:type="dxa" w:w="2537"/>
            <w:shd w:fill="174EA6"/>
          </w:tcPr>
          <w:p>
            <w:pPr>
              <w:spacing w:after="0"/>
            </w:pPr>
            <w:r>
              <w:rPr>
                <w:b/>
                <w:color w:val="FFFFFF"/>
                <w:sz w:val="13"/>
              </w:rPr>
              <w:t>Owner</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Cost per scored party, screened transaction, payment event and regulatory report</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Reserved BigQuery capacity for predictable reporting/risk workloads</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r>
        <w:tc>
          <w:tcPr>
            <w:tcW w:type="dxa" w:w="2537"/>
            <w:vAlign w:val="top"/>
          </w:tcPr>
          <w:p>
            <w:pPr>
              <w:spacing w:after="0"/>
            </w:pPr>
            <w:r>
              <w:rPr>
                <w:sz w:val="13"/>
              </w:rPr>
              <w:t>Separate exploratory model development from governed production scoring</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Commitment decisions based on sustained utilization and resilience requirements</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Cost domain</w:t>
            </w:r>
          </w:p>
        </w:tc>
        <w:tc>
          <w:tcPr>
            <w:tcW w:type="dxa" w:w="3383"/>
            <w:shd w:fill="174EA6"/>
          </w:tcPr>
          <w:p>
            <w:pPr>
              <w:spacing w:after="0"/>
            </w:pPr>
            <w:r>
              <w:rPr>
                <w:b/>
                <w:color w:val="FFFFFF"/>
                <w:sz w:val="13"/>
              </w:rPr>
              <w:t>Measured variables</w:t>
            </w:r>
          </w:p>
        </w:tc>
        <w:tc>
          <w:tcPr>
            <w:tcW w:type="dxa" w:w="3383"/>
            <w:shd w:fill="174EA6"/>
          </w:tcPr>
          <w:p>
            <w:pPr>
              <w:spacing w:after="0"/>
            </w:pPr>
            <w:r>
              <w:rPr>
                <w:b/>
                <w:color w:val="FFFFFF"/>
                <w:sz w:val="13"/>
              </w:rPr>
              <w:t>Optimization guardrail</w:t>
            </w:r>
          </w:p>
        </w:tc>
      </w:tr>
      <w:tr>
        <w:tc>
          <w:tcPr>
            <w:tcW w:type="dxa" w:w="3383"/>
            <w:vAlign w:val="top"/>
          </w:tcPr>
          <w:p>
            <w:pPr>
              <w:spacing w:after="0"/>
            </w:pPr>
            <w:r>
              <w:rPr>
                <w:sz w:val="13"/>
              </w:rPr>
              <w:t>Ingestion/processing</w:t>
            </w:r>
          </w:p>
        </w:tc>
        <w:tc>
          <w:tcPr>
            <w:tcW w:type="dxa" w:w="3383"/>
            <w:vAlign w:val="top"/>
          </w:tcPr>
          <w:p>
            <w:pPr>
              <w:spacing w:after="0"/>
            </w:pPr>
            <w:r>
              <w:rPr>
                <w:sz w:val="13"/>
              </w:rPr>
              <w:t>events, bytes, worker/compute duration, shuffle, connector usage</w:t>
            </w:r>
          </w:p>
        </w:tc>
        <w:tc>
          <w:tcPr>
            <w:tcW w:type="dxa" w:w="3383"/>
            <w:vAlign w:val="top"/>
          </w:tcPr>
          <w:p>
            <w:pPr>
              <w:spacing w:after="0"/>
            </w:pPr>
            <w:r>
              <w:rPr>
                <w:sz w:val="13"/>
              </w:rPr>
              <w:t>Freshness, correctness and recovery cannot be weakened</w:t>
            </w:r>
          </w:p>
        </w:tc>
      </w:tr>
      <w:tr>
        <w:tc>
          <w:tcPr>
            <w:tcW w:type="dxa" w:w="3383"/>
            <w:shd w:fill="F7F8F9"/>
            <w:vAlign w:val="top"/>
          </w:tcPr>
          <w:p>
            <w:pPr>
              <w:spacing w:after="0"/>
            </w:pPr>
            <w:r>
              <w:rPr>
                <w:sz w:val="13"/>
              </w:rPr>
              <w:t>Warehouse/storage</w:t>
            </w:r>
          </w:p>
        </w:tc>
        <w:tc>
          <w:tcPr>
            <w:tcW w:type="dxa" w:w="3383"/>
            <w:shd w:fill="F7F8F9"/>
            <w:vAlign w:val="top"/>
          </w:tcPr>
          <w:p>
            <w:pPr>
              <w:spacing w:after="0"/>
            </w:pPr>
            <w:r>
              <w:rPr>
                <w:sz w:val="13"/>
              </w:rPr>
              <w:t>bytes/slots, table/index/storage class, retention and replication</w:t>
            </w:r>
          </w:p>
        </w:tc>
        <w:tc>
          <w:tcPr>
            <w:tcW w:type="dxa" w:w="3383"/>
            <w:shd w:fill="F7F8F9"/>
            <w:vAlign w:val="top"/>
          </w:tcPr>
          <w:p>
            <w:pPr>
              <w:spacing w:after="0"/>
            </w:pPr>
            <w:r>
              <w:rPr>
                <w:sz w:val="13"/>
              </w:rPr>
              <w:t>Regulatory retention and query performance maintained</w:t>
            </w:r>
          </w:p>
        </w:tc>
      </w:tr>
      <w:tr>
        <w:tc>
          <w:tcPr>
            <w:tcW w:type="dxa" w:w="3383"/>
            <w:vAlign w:val="top"/>
          </w:tcPr>
          <w:p>
            <w:pPr>
              <w:spacing w:after="0"/>
            </w:pPr>
            <w:r>
              <w:rPr>
                <w:sz w:val="13"/>
              </w:rPr>
              <w:t>Analytics</w:t>
            </w:r>
          </w:p>
        </w:tc>
        <w:tc>
          <w:tcPr>
            <w:tcW w:type="dxa" w:w="3383"/>
            <w:vAlign w:val="top"/>
          </w:tcPr>
          <w:p>
            <w:pPr>
              <w:spacing w:after="0"/>
            </w:pPr>
            <w:r>
              <w:rPr>
                <w:sz w:val="13"/>
              </w:rPr>
              <w:t>queries, BI Engine/cache, concurrency and extracts</w:t>
            </w:r>
          </w:p>
        </w:tc>
        <w:tc>
          <w:tcPr>
            <w:tcW w:type="dxa" w:w="3383"/>
            <w:vAlign w:val="top"/>
          </w:tcPr>
          <w:p>
            <w:pPr>
              <w:spacing w:after="0"/>
            </w:pPr>
            <w:r>
              <w:rPr>
                <w:sz w:val="13"/>
              </w:rPr>
              <w:t>Certified KPI correctness and access controls preserved</w:t>
            </w:r>
          </w:p>
        </w:tc>
      </w:tr>
      <w:tr>
        <w:tc>
          <w:tcPr>
            <w:tcW w:type="dxa" w:w="3383"/>
            <w:shd w:fill="F7F8F9"/>
            <w:vAlign w:val="top"/>
          </w:tcPr>
          <w:p>
            <w:pPr>
              <w:spacing w:after="0"/>
            </w:pPr>
            <w:r>
              <w:rPr>
                <w:sz w:val="13"/>
              </w:rPr>
              <w:t>AI</w:t>
            </w:r>
          </w:p>
        </w:tc>
        <w:tc>
          <w:tcPr>
            <w:tcW w:type="dxa" w:w="3383"/>
            <w:shd w:fill="F7F8F9"/>
            <w:vAlign w:val="top"/>
          </w:tcPr>
          <w:p>
            <w:pPr>
              <w:spacing w:after="0"/>
            </w:pPr>
            <w:r>
              <w:rPr>
                <w:sz w:val="13"/>
              </w:rPr>
              <w:t>input/output/cached tokens, model calls, vector operations, tool calls and evaluation</w:t>
            </w:r>
          </w:p>
        </w:tc>
        <w:tc>
          <w:tcPr>
            <w:tcW w:type="dxa" w:w="3383"/>
            <w:shd w:fill="F7F8F9"/>
            <w:vAlign w:val="top"/>
          </w:tcPr>
          <w:p>
            <w:pPr>
              <w:spacing w:after="0"/>
            </w:pPr>
            <w:r>
              <w:rPr>
                <w:sz w:val="13"/>
              </w:rPr>
              <w:t>Quality, safety, privacy and human control thresholds maintained</w:t>
            </w:r>
          </w:p>
        </w:tc>
      </w:tr>
      <w:tr>
        <w:tc>
          <w:tcPr>
            <w:tcW w:type="dxa" w:w="3383"/>
            <w:vAlign w:val="top"/>
          </w:tcPr>
          <w:p>
            <w:pPr>
              <w:spacing w:after="0"/>
            </w:pPr>
            <w:r>
              <w:rPr>
                <w:sz w:val="13"/>
              </w:rPr>
              <w:t>Telemetry/security</w:t>
            </w:r>
          </w:p>
        </w:tc>
        <w:tc>
          <w:tcPr>
            <w:tcW w:type="dxa" w:w="3383"/>
            <w:vAlign w:val="top"/>
          </w:tcPr>
          <w:p>
            <w:pPr>
              <w:spacing w:after="0"/>
            </w:pPr>
            <w:r>
              <w:rPr>
                <w:sz w:val="13"/>
              </w:rPr>
              <w:t>log/metric volume, retention, findings and scanning</w:t>
            </w:r>
          </w:p>
        </w:tc>
        <w:tc>
          <w:tcPr>
            <w:tcW w:type="dxa" w:w="3383"/>
            <w:vAlign w:val="top"/>
          </w:tcPr>
          <w:p>
            <w:pPr>
              <w:spacing w:after="0"/>
            </w:pPr>
            <w:r>
              <w:rPr>
                <w:sz w:val="13"/>
              </w:rPr>
              <w:t>Audit and incident evidence remain sufficient</w:t>
            </w:r>
          </w:p>
        </w:tc>
      </w:tr>
    </w:tbl>
    <w:p>
      <w:pPr>
        <w:spacing w:after="0"/>
      </w:pPr>
    </w:p>
    <w:p>
      <w:r>
        <w:br w:type="page"/>
      </w:r>
    </w:p>
    <w:p>
      <w:pPr>
        <w:pStyle w:val="Heading2"/>
      </w:pPr>
      <w:r>
        <w:t>5.30 Delivery Work Packages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Work package</w:t>
            </w:r>
          </w:p>
        </w:tc>
        <w:tc>
          <w:tcPr>
            <w:tcW w:type="dxa" w:w="2537"/>
            <w:shd w:fill="174EA6"/>
          </w:tcPr>
          <w:p>
            <w:pPr>
              <w:spacing w:after="0"/>
            </w:pPr>
            <w:r>
              <w:rPr>
                <w:b/>
                <w:color w:val="FFFFFF"/>
                <w:sz w:val="13"/>
              </w:rPr>
              <w:t>Outcome</w:t>
            </w:r>
          </w:p>
        </w:tc>
        <w:tc>
          <w:tcPr>
            <w:tcW w:type="dxa" w:w="2537"/>
            <w:shd w:fill="174EA6"/>
          </w:tcPr>
          <w:p>
            <w:pPr>
              <w:spacing w:after="0"/>
            </w:pPr>
            <w:r>
              <w:rPr>
                <w:b/>
                <w:color w:val="FFFFFF"/>
                <w:sz w:val="13"/>
              </w:rPr>
              <w:t>Team composition</w:t>
            </w:r>
          </w:p>
        </w:tc>
        <w:tc>
          <w:tcPr>
            <w:tcW w:type="dxa" w:w="2537"/>
            <w:shd w:fill="174EA6"/>
          </w:tcPr>
          <w:p>
            <w:pPr>
              <w:spacing w:after="0"/>
            </w:pPr>
            <w:r>
              <w:rPr>
                <w:b/>
                <w:color w:val="FFFFFF"/>
                <w:sz w:val="13"/>
              </w:rPr>
              <w:t>Exit gate</w:t>
            </w:r>
          </w:p>
        </w:tc>
      </w:tr>
      <w:tr>
        <w:tc>
          <w:tcPr>
            <w:tcW w:type="dxa" w:w="2537"/>
            <w:vAlign w:val="top"/>
          </w:tcPr>
          <w:p>
            <w:pPr>
              <w:spacing w:after="0"/>
            </w:pPr>
            <w:r>
              <w:rPr>
                <w:sz w:val="13"/>
              </w:rPr>
              <w:t>WP-01</w:t>
            </w:r>
          </w:p>
        </w:tc>
        <w:tc>
          <w:tcPr>
            <w:tcW w:type="dxa" w:w="2537"/>
            <w:vAlign w:val="top"/>
          </w:tcPr>
          <w:p>
            <w:pPr>
              <w:spacing w:after="0"/>
            </w:pPr>
            <w:r>
              <w:rPr>
                <w:sz w:val="13"/>
              </w:rPr>
              <w:t>Regulated landing zone and transaction ingestion</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WP-02</w:t>
            </w:r>
          </w:p>
        </w:tc>
        <w:tc>
          <w:tcPr>
            <w:tcW w:type="dxa" w:w="2537"/>
            <w:shd w:fill="F7F8F9"/>
            <w:vAlign w:val="top"/>
          </w:tcPr>
          <w:p>
            <w:pPr>
              <w:spacing w:after="0"/>
            </w:pPr>
            <w:r>
              <w:rPr>
                <w:sz w:val="13"/>
              </w:rPr>
              <w:t>Customer/account/transaction data products</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WP-03</w:t>
            </w:r>
          </w:p>
        </w:tc>
        <w:tc>
          <w:tcPr>
            <w:tcW w:type="dxa" w:w="2537"/>
            <w:vAlign w:val="top"/>
          </w:tcPr>
          <w:p>
            <w:pPr>
              <w:spacing w:after="0"/>
            </w:pPr>
            <w:r>
              <w:rPr>
                <w:sz w:val="13"/>
              </w:rPr>
              <w:t>Fraud and AML analytics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WP-04</w:t>
            </w:r>
          </w:p>
        </w:tc>
        <w:tc>
          <w:tcPr>
            <w:tcW w:type="dxa" w:w="2537"/>
            <w:shd w:fill="F7F8F9"/>
            <w:vAlign w:val="top"/>
          </w:tcPr>
          <w:p>
            <w:pPr>
              <w:spacing w:after="0"/>
            </w:pPr>
            <w:r>
              <w:rPr>
                <w:sz w:val="13"/>
              </w:rPr>
              <w:t>Finance and regulatory reporting modernization</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WP-05</w:t>
            </w:r>
          </w:p>
        </w:tc>
        <w:tc>
          <w:tcPr>
            <w:tcW w:type="dxa" w:w="2537"/>
            <w:vAlign w:val="top"/>
          </w:tcPr>
          <w:p>
            <w:pPr>
              <w:spacing w:after="0"/>
            </w:pPr>
            <w:r>
              <w:rPr>
                <w:sz w:val="13"/>
              </w:rPr>
              <w:t>Governed investigation agents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WP-06</w:t>
            </w:r>
          </w:p>
        </w:tc>
        <w:tc>
          <w:tcPr>
            <w:tcW w:type="dxa" w:w="2537"/>
            <w:shd w:fill="F7F8F9"/>
            <w:vAlign w:val="top"/>
          </w:tcPr>
          <w:p>
            <w:pPr>
              <w:spacing w:after="0"/>
            </w:pPr>
            <w:r>
              <w:rPr>
                <w:sz w:val="13"/>
              </w:rPr>
              <w:t>Cross-jurisdiction scale and resilience testing</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bl>
    <w:p>
      <w:pPr>
        <w:spacing w:after="0"/>
      </w:pPr>
    </w:p>
    <w:p>
      <w:pPr>
        <w:pStyle w:val="ListBullet"/>
      </w:pPr>
      <w:r>
        <w:t>Use representative high-value workloads rather than only low-risk demonstrations.</w:t>
      </w:r>
    </w:p>
    <w:p>
      <w:pPr>
        <w:pStyle w:val="ListBullet"/>
      </w:pPr>
      <w:r>
        <w:t>Run legacy/target outputs in parallel until reconciliation, user acceptance and recovery evidence are complete.</w:t>
      </w:r>
    </w:p>
    <w:p>
      <w:pPr>
        <w:pStyle w:val="ListBullet"/>
      </w:pPr>
      <w:r>
        <w:t>Track migration debt, exceptions, vendor dependencies, data-retention gaps and unimplemented controls.</w:t>
      </w:r>
    </w:p>
    <w:p>
      <w:pPr>
        <w:pStyle w:val="ListBullet"/>
      </w:pPr>
      <w:r>
        <w:t>Scale only after reliability, security, regulatory, operational and unit-economics thresholds are achieved.</w:t>
      </w:r>
    </w:p>
    <w:p>
      <w:r>
        <w:br w:type="page"/>
      </w:r>
    </w:p>
    <w:p>
      <w:pPr>
        <w:pStyle w:val="Heading2"/>
      </w:pPr>
      <w:r>
        <w:t>5.31 Operational Runbooks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Runbook</w:t>
            </w:r>
          </w:p>
        </w:tc>
        <w:tc>
          <w:tcPr>
            <w:tcW w:type="dxa" w:w="2537"/>
            <w:shd w:fill="174EA6"/>
          </w:tcPr>
          <w:p>
            <w:pPr>
              <w:spacing w:after="0"/>
            </w:pPr>
            <w:r>
              <w:rPr>
                <w:b/>
                <w:color w:val="FFFFFF"/>
                <w:sz w:val="13"/>
              </w:rPr>
              <w:t>Trigger</w:t>
            </w:r>
          </w:p>
        </w:tc>
        <w:tc>
          <w:tcPr>
            <w:tcW w:type="dxa" w:w="2537"/>
            <w:shd w:fill="174EA6"/>
          </w:tcPr>
          <w:p>
            <w:pPr>
              <w:spacing w:after="0"/>
            </w:pPr>
            <w:r>
              <w:rPr>
                <w:b/>
                <w:color w:val="FFFFFF"/>
                <w:sz w:val="13"/>
              </w:rPr>
              <w:t>Key actions</w:t>
            </w:r>
          </w:p>
        </w:tc>
        <w:tc>
          <w:tcPr>
            <w:tcW w:type="dxa" w:w="2537"/>
            <w:shd w:fill="174EA6"/>
          </w:tcPr>
          <w:p>
            <w:pPr>
              <w:spacing w:after="0"/>
            </w:pPr>
            <w:r>
              <w:rPr>
                <w:b/>
                <w:color w:val="FFFFFF"/>
                <w:sz w:val="13"/>
              </w:rPr>
              <w:t>Closure evidence</w:t>
            </w:r>
          </w:p>
        </w:tc>
      </w:tr>
      <w:tr>
        <w:tc>
          <w:tcPr>
            <w:tcW w:type="dxa" w:w="2537"/>
            <w:vAlign w:val="top"/>
          </w:tcPr>
          <w:p>
            <w:pPr>
              <w:spacing w:after="0"/>
            </w:pPr>
            <w:r>
              <w:rPr>
                <w:sz w:val="13"/>
              </w:rPr>
              <w:t>Ingestion backlog / lag</w:t>
            </w:r>
          </w:p>
        </w:tc>
        <w:tc>
          <w:tcPr>
            <w:tcW w:type="dxa" w:w="2537"/>
            <w:vAlign w:val="top"/>
          </w:tcPr>
          <w:p>
            <w:pPr>
              <w:spacing w:after="0"/>
            </w:pPr>
            <w:r>
              <w:rPr>
                <w:sz w:val="13"/>
              </w:rPr>
              <w:t>Freshness burn-rate or subscription/CDC backlog</w:t>
            </w:r>
          </w:p>
        </w:tc>
        <w:tc>
          <w:tcPr>
            <w:tcW w:type="dxa" w:w="2537"/>
            <w:vAlign w:val="top"/>
          </w:tcPr>
          <w:p>
            <w:pPr>
              <w:spacing w:after="0"/>
            </w:pPr>
            <w:r>
              <w:rPr>
                <w:sz w:val="13"/>
              </w:rPr>
              <w:t>Protect Tier 0 capacity, identify source/sink constraint, scale or shed noncritical load</w:t>
            </w:r>
          </w:p>
        </w:tc>
        <w:tc>
          <w:tcPr>
            <w:tcW w:type="dxa" w:w="2537"/>
            <w:vAlign w:val="top"/>
          </w:tcPr>
          <w:p>
            <w:pPr>
              <w:spacing w:after="0"/>
            </w:pPr>
            <w:r>
              <w:rPr>
                <w:sz w:val="13"/>
              </w:rPr>
              <w:t>Backlog cleared and data reconciled</w:t>
            </w:r>
          </w:p>
        </w:tc>
      </w:tr>
      <w:tr>
        <w:tc>
          <w:tcPr>
            <w:tcW w:type="dxa" w:w="2537"/>
            <w:shd w:fill="F7F8F9"/>
            <w:vAlign w:val="top"/>
          </w:tcPr>
          <w:p>
            <w:pPr>
              <w:spacing w:after="0"/>
            </w:pPr>
            <w:r>
              <w:rPr>
                <w:sz w:val="13"/>
              </w:rPr>
              <w:t>Schema/contract failure</w:t>
            </w:r>
          </w:p>
        </w:tc>
        <w:tc>
          <w:tcPr>
            <w:tcW w:type="dxa" w:w="2537"/>
            <w:shd w:fill="F7F8F9"/>
            <w:vAlign w:val="top"/>
          </w:tcPr>
          <w:p>
            <w:pPr>
              <w:spacing w:after="0"/>
            </w:pPr>
            <w:r>
              <w:rPr>
                <w:sz w:val="13"/>
              </w:rPr>
              <w:t>Quarantine spike or incompatible change</w:t>
            </w:r>
          </w:p>
        </w:tc>
        <w:tc>
          <w:tcPr>
            <w:tcW w:type="dxa" w:w="2537"/>
            <w:shd w:fill="F7F8F9"/>
            <w:vAlign w:val="top"/>
          </w:tcPr>
          <w:p>
            <w:pPr>
              <w:spacing w:after="0"/>
            </w:pPr>
            <w:r>
              <w:rPr>
                <w:sz w:val="13"/>
              </w:rPr>
              <w:t>Block publication, engage source owner, version/migrate contract</w:t>
            </w:r>
          </w:p>
        </w:tc>
        <w:tc>
          <w:tcPr>
            <w:tcW w:type="dxa" w:w="2537"/>
            <w:shd w:fill="F7F8F9"/>
            <w:vAlign w:val="top"/>
          </w:tcPr>
          <w:p>
            <w:pPr>
              <w:spacing w:after="0"/>
            </w:pPr>
            <w:r>
              <w:rPr>
                <w:sz w:val="13"/>
              </w:rPr>
              <w:t>Compatibility tests and consumer approval</w:t>
            </w:r>
          </w:p>
        </w:tc>
      </w:tr>
      <w:tr>
        <w:tc>
          <w:tcPr>
            <w:tcW w:type="dxa" w:w="2537"/>
            <w:vAlign w:val="top"/>
          </w:tcPr>
          <w:p>
            <w:pPr>
              <w:spacing w:after="0"/>
            </w:pPr>
            <w:r>
              <w:rPr>
                <w:sz w:val="13"/>
              </w:rPr>
              <w:t>Data-quality failure</w:t>
            </w:r>
          </w:p>
        </w:tc>
        <w:tc>
          <w:tcPr>
            <w:tcW w:type="dxa" w:w="2537"/>
            <w:vAlign w:val="top"/>
          </w:tcPr>
          <w:p>
            <w:pPr>
              <w:spacing w:after="0"/>
            </w:pPr>
            <w:r>
              <w:rPr>
                <w:sz w:val="13"/>
              </w:rPr>
              <w:t>Critical assertion or reconciliation mismatch</w:t>
            </w:r>
          </w:p>
        </w:tc>
        <w:tc>
          <w:tcPr>
            <w:tcW w:type="dxa" w:w="2537"/>
            <w:vAlign w:val="top"/>
          </w:tcPr>
          <w:p>
            <w:pPr>
              <w:spacing w:after="0"/>
            </w:pPr>
            <w:r>
              <w:rPr>
                <w:sz w:val="13"/>
              </w:rPr>
              <w:t>Stop certification, assess impact, correct and bounded replay</w:t>
            </w:r>
          </w:p>
        </w:tc>
        <w:tc>
          <w:tcPr>
            <w:tcW w:type="dxa" w:w="2537"/>
            <w:vAlign w:val="top"/>
          </w:tcPr>
          <w:p>
            <w:pPr>
              <w:spacing w:after="0"/>
            </w:pPr>
            <w:r>
              <w:rPr>
                <w:sz w:val="13"/>
              </w:rPr>
              <w:t>Quality and business totals pass</w:t>
            </w:r>
          </w:p>
        </w:tc>
      </w:tr>
      <w:tr>
        <w:tc>
          <w:tcPr>
            <w:tcW w:type="dxa" w:w="2537"/>
            <w:shd w:fill="F7F8F9"/>
            <w:vAlign w:val="top"/>
          </w:tcPr>
          <w:p>
            <w:pPr>
              <w:spacing w:after="0"/>
            </w:pPr>
            <w:r>
              <w:rPr>
                <w:sz w:val="13"/>
              </w:rPr>
              <w:t>Unauthorized access / leakage</w:t>
            </w:r>
          </w:p>
        </w:tc>
        <w:tc>
          <w:tcPr>
            <w:tcW w:type="dxa" w:w="2537"/>
            <w:shd w:fill="F7F8F9"/>
            <w:vAlign w:val="top"/>
          </w:tcPr>
          <w:p>
            <w:pPr>
              <w:spacing w:after="0"/>
            </w:pPr>
            <w:r>
              <w:rPr>
                <w:sz w:val="13"/>
              </w:rPr>
              <w:t>Audit/SCC/DLP alert</w:t>
            </w:r>
          </w:p>
        </w:tc>
        <w:tc>
          <w:tcPr>
            <w:tcW w:type="dxa" w:w="2537"/>
            <w:shd w:fill="F7F8F9"/>
            <w:vAlign w:val="top"/>
          </w:tcPr>
          <w:p>
            <w:pPr>
              <w:spacing w:after="0"/>
            </w:pPr>
            <w:r>
              <w:rPr>
                <w:sz w:val="13"/>
              </w:rPr>
              <w:t>Contain identity/resource, preserve evidence, notify security/privacy/legal</w:t>
            </w:r>
          </w:p>
        </w:tc>
        <w:tc>
          <w:tcPr>
            <w:tcW w:type="dxa" w:w="2537"/>
            <w:shd w:fill="F7F8F9"/>
            <w:vAlign w:val="top"/>
          </w:tcPr>
          <w:p>
            <w:pPr>
              <w:spacing w:after="0"/>
            </w:pPr>
            <w:r>
              <w:rPr>
                <w:sz w:val="13"/>
              </w:rPr>
              <w:t>Incident closure and control regression test</w:t>
            </w:r>
          </w:p>
        </w:tc>
      </w:tr>
      <w:tr>
        <w:tc>
          <w:tcPr>
            <w:tcW w:type="dxa" w:w="2537"/>
            <w:vAlign w:val="top"/>
          </w:tcPr>
          <w:p>
            <w:pPr>
              <w:spacing w:after="0"/>
            </w:pPr>
            <w:r>
              <w:rPr>
                <w:sz w:val="13"/>
              </w:rPr>
              <w:t>AI safety/quality event</w:t>
            </w:r>
          </w:p>
        </w:tc>
        <w:tc>
          <w:tcPr>
            <w:tcW w:type="dxa" w:w="2537"/>
            <w:vAlign w:val="top"/>
          </w:tcPr>
          <w:p>
            <w:pPr>
              <w:spacing w:after="0"/>
            </w:pPr>
            <w:r>
              <w:rPr>
                <w:sz w:val="13"/>
              </w:rPr>
              <w:t>Unsafe output, unsupported claim or tool misuse</w:t>
            </w:r>
          </w:p>
        </w:tc>
        <w:tc>
          <w:tcPr>
            <w:tcW w:type="dxa" w:w="2537"/>
            <w:vAlign w:val="top"/>
          </w:tcPr>
          <w:p>
            <w:pPr>
              <w:spacing w:after="0"/>
            </w:pPr>
            <w:r>
              <w:rPr>
                <w:sz w:val="13"/>
              </w:rPr>
              <w:t>Disable model/prompt/tool, preserve trajectory, switch to approved fallback</w:t>
            </w:r>
          </w:p>
        </w:tc>
        <w:tc>
          <w:tcPr>
            <w:tcW w:type="dxa" w:w="2537"/>
            <w:vAlign w:val="top"/>
          </w:tcPr>
          <w:p>
            <w:pPr>
              <w:spacing w:after="0"/>
            </w:pPr>
            <w:r>
              <w:rPr>
                <w:sz w:val="13"/>
              </w:rPr>
              <w:t>Evaluation and independent approval</w:t>
            </w:r>
          </w:p>
        </w:tc>
      </w:tr>
      <w:tr>
        <w:tc>
          <w:tcPr>
            <w:tcW w:type="dxa" w:w="2537"/>
            <w:shd w:fill="F7F8F9"/>
            <w:vAlign w:val="top"/>
          </w:tcPr>
          <w:p>
            <w:pPr>
              <w:spacing w:after="0"/>
            </w:pPr>
            <w:r>
              <w:rPr>
                <w:sz w:val="13"/>
              </w:rPr>
              <w:t>Regional recovery</w:t>
            </w:r>
          </w:p>
        </w:tc>
        <w:tc>
          <w:tcPr>
            <w:tcW w:type="dxa" w:w="2537"/>
            <w:shd w:fill="F7F8F9"/>
            <w:vAlign w:val="top"/>
          </w:tcPr>
          <w:p>
            <w:pPr>
              <w:spacing w:after="0"/>
            </w:pPr>
            <w:r>
              <w:rPr>
                <w:sz w:val="13"/>
              </w:rPr>
              <w:t>Regional service or dependency failure</w:t>
            </w:r>
          </w:p>
        </w:tc>
        <w:tc>
          <w:tcPr>
            <w:tcW w:type="dxa" w:w="2537"/>
            <w:shd w:fill="F7F8F9"/>
            <w:vAlign w:val="top"/>
          </w:tcPr>
          <w:p>
            <w:pPr>
              <w:spacing w:after="0"/>
            </w:pPr>
            <w:r>
              <w:rPr>
                <w:sz w:val="13"/>
              </w:rPr>
              <w:t>Activate approved alternate/rebuild/replay path and communications</w:t>
            </w:r>
          </w:p>
        </w:tc>
        <w:tc>
          <w:tcPr>
            <w:tcW w:type="dxa" w:w="2537"/>
            <w:shd w:fill="F7F8F9"/>
            <w:vAlign w:val="top"/>
          </w:tcPr>
          <w:p>
            <w:pPr>
              <w:spacing w:after="0"/>
            </w:pPr>
            <w:r>
              <w:rPr>
                <w:sz w:val="13"/>
              </w:rPr>
              <w:t>RTO/RPO met, data reconciled and failback approved</w:t>
            </w:r>
          </w:p>
        </w:tc>
      </w:tr>
    </w:tbl>
    <w:p>
      <w:pPr>
        <w:spacing w:after="0"/>
      </w:pPr>
    </w:p>
    <w:p>
      <w:r>
        <w:br w:type="page"/>
      </w:r>
    </w:p>
    <w:p>
      <w:pPr>
        <w:pStyle w:val="Heading1"/>
      </w:pPr>
      <w:r>
        <w:t>6. Retail Reference Implementation</w:t>
      </w:r>
    </w:p>
    <w:p>
      <w:r>
        <w:t>A global omnichannel retailer operating stores, e-commerce, mobile, marketplaces, loyalty, fulfillment centers and supplier networks. The platform unifies customer, product, order, inventory and interaction data for real-time commerce, merchandising, supply-chain optimization and governed personalization.</w:t>
      </w:r>
    </w:p>
    <w:p>
      <w:pPr>
        <w:jc w:val="center"/>
      </w:pPr>
      <w:r>
        <w:drawing>
          <wp:inline xmlns:a="http://schemas.openxmlformats.org/drawingml/2006/main" xmlns:pic="http://schemas.openxmlformats.org/drawingml/2006/picture">
            <wp:extent cx="6156000" cy="950746"/>
            <wp:docPr id="6" name="Picture 6" descr="Image: image5.png"/>
            <wp:cNvGraphicFramePr>
              <a:graphicFrameLocks noChangeAspect="1"/>
            </wp:cNvGraphicFramePr>
            <a:graphic>
              <a:graphicData uri="http://schemas.openxmlformats.org/drawingml/2006/picture">
                <pic:pic>
                  <pic:nvPicPr>
                    <pic:cNvPr id="0" name="03_retail_architecture.png"/>
                    <pic:cNvPicPr/>
                  </pic:nvPicPr>
                  <pic:blipFill>
                    <a:blip r:embed="rId15"/>
                    <a:stretch>
                      <a:fillRect/>
                    </a:stretch>
                  </pic:blipFill>
                  <pic:spPr>
                    <a:xfrm>
                      <a:off x="0" y="0"/>
                      <a:ext cx="6156000" cy="950746"/>
                    </a:xfrm>
                    <a:prstGeom prst="rect"/>
                  </pic:spPr>
                </pic:pic>
              </a:graphicData>
            </a:graphic>
          </wp:inline>
        </w:drawing>
      </w:r>
    </w:p>
    <w:p>
      <w:pPr>
        <w:jc w:val="center"/>
      </w:pPr>
      <w:r>
        <w:rPr>
          <w:b/>
          <w:sz w:val="16"/>
        </w:rPr>
        <w:t>Figure 6-1. Retail logical reference architecture with industry controls.</w:t>
      </w:r>
    </w:p>
    <w:p>
      <w:pPr>
        <w:pStyle w:val="Heading2"/>
      </w:pPr>
      <w:r>
        <w:t>6.1 Business Context and Capabilities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Capability</w:t>
            </w:r>
          </w:p>
        </w:tc>
        <w:tc>
          <w:tcPr>
            <w:tcW w:type="dxa" w:w="5074"/>
            <w:shd w:fill="174EA6"/>
          </w:tcPr>
          <w:p>
            <w:pPr>
              <w:spacing w:after="0"/>
            </w:pPr>
            <w:r>
              <w:rPr>
                <w:b/>
                <w:color w:val="FFFFFF"/>
                <w:sz w:val="14"/>
              </w:rPr>
              <w:t>Architecture response</w:t>
            </w:r>
          </w:p>
        </w:tc>
      </w:tr>
      <w:tr>
        <w:tc>
          <w:tcPr>
            <w:tcW w:type="dxa" w:w="5074"/>
            <w:vAlign w:val="top"/>
          </w:tcPr>
          <w:p>
            <w:pPr>
              <w:spacing w:after="0"/>
            </w:pPr>
            <w:r>
              <w:rPr>
                <w:sz w:val="14"/>
              </w:rPr>
              <w:t>Customer and household 360</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Product catalog and content quality</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Real-time inventory and availability</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Order and fulfillment analytics</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Pricing and promotion effectiveness</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Demand forecasting and replenishment</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Omnichannel journey analytics</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Search, recommendation and shopping assistance</w:t>
            </w:r>
          </w:p>
        </w:tc>
        <w:tc>
          <w:tcPr>
            <w:tcW w:type="dxa" w:w="5074"/>
            <w:shd w:fill="F7F8F9"/>
            <w:vAlign w:val="top"/>
          </w:tcPr>
          <w:p>
            <w:pPr>
              <w:spacing w:after="0"/>
            </w:pPr>
            <w:r>
              <w:rPr>
                <w:sz w:val="14"/>
              </w:rPr>
              <w:t>Delivered through governed domain products, analytical interfaces and risk-appropriate automation.</w:t>
            </w:r>
          </w:p>
        </w:tc>
      </w:tr>
    </w:tbl>
    <w:p>
      <w:pPr>
        <w:spacing w:after="0"/>
      </w:pPr>
    </w:p>
    <w:p>
      <w:pPr>
        <w:pStyle w:val="Heading2"/>
      </w:pPr>
      <w:r>
        <w:t>6.2 Regulatory Requirements</w:t>
      </w:r>
    </w:p>
    <w:p>
      <w:r>
        <w:t>PCI DSS 4.0.1 for payment account data, GDPR and regional privacy/consumer laws, consent and marketing preferences, children and loyalty-program obligations where applicable, tax/financial record retention, product and supply-chain traceability requirements. PCI DSS provides baseline technical and operational requirements for protecting payment account data.</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 objective</w:t>
            </w:r>
          </w:p>
        </w:tc>
        <w:tc>
          <w:tcPr>
            <w:tcW w:type="dxa" w:w="5074"/>
            <w:shd w:fill="174EA6"/>
          </w:tcPr>
          <w:p>
            <w:pPr>
              <w:spacing w:after="0"/>
            </w:pPr>
            <w:r>
              <w:rPr>
                <w:b/>
                <w:color w:val="FFFFFF"/>
                <w:sz w:val="14"/>
              </w:rPr>
              <w:t>Implementation pattern</w:t>
            </w:r>
          </w:p>
        </w:tc>
      </w:tr>
      <w:tr>
        <w:tc>
          <w:tcPr>
            <w:tcW w:type="dxa" w:w="5074"/>
            <w:vAlign w:val="top"/>
          </w:tcPr>
          <w:p>
            <w:pPr>
              <w:spacing w:after="0"/>
            </w:pPr>
            <w:r>
              <w:rPr>
                <w:sz w:val="14"/>
              </w:rPr>
              <w:t>Data inventory and purpose</w:t>
            </w:r>
          </w:p>
        </w:tc>
        <w:tc>
          <w:tcPr>
            <w:tcW w:type="dxa" w:w="5074"/>
            <w:vAlign w:val="top"/>
          </w:tcPr>
          <w:p>
            <w:pPr>
              <w:spacing w:after="0"/>
            </w:pPr>
            <w:r>
              <w:rPr>
                <w:sz w:val="14"/>
              </w:rPr>
              <w:t>Catalog every source/product and approved processing purpose.</w:t>
            </w:r>
          </w:p>
        </w:tc>
      </w:tr>
      <w:tr>
        <w:tc>
          <w:tcPr>
            <w:tcW w:type="dxa" w:w="5074"/>
            <w:shd w:fill="F7F8F9"/>
            <w:vAlign w:val="top"/>
          </w:tcPr>
          <w:p>
            <w:pPr>
              <w:spacing w:after="0"/>
            </w:pPr>
            <w:r>
              <w:rPr>
                <w:sz w:val="14"/>
              </w:rPr>
              <w:t>Access and segregation</w:t>
            </w:r>
          </w:p>
        </w:tc>
        <w:tc>
          <w:tcPr>
            <w:tcW w:type="dxa" w:w="5074"/>
            <w:shd w:fill="F7F8F9"/>
            <w:vAlign w:val="top"/>
          </w:tcPr>
          <w:p>
            <w:pPr>
              <w:spacing w:after="0"/>
            </w:pPr>
            <w:r>
              <w:rPr>
                <w:sz w:val="14"/>
              </w:rPr>
              <w:t>Group-based least privilege, workload identity, JIT elevation and separation of duties.</w:t>
            </w:r>
          </w:p>
        </w:tc>
      </w:tr>
      <w:tr>
        <w:tc>
          <w:tcPr>
            <w:tcW w:type="dxa" w:w="5074"/>
            <w:vAlign w:val="top"/>
          </w:tcPr>
          <w:p>
            <w:pPr>
              <w:spacing w:after="0"/>
            </w:pPr>
            <w:r>
              <w:rPr>
                <w:sz w:val="14"/>
              </w:rPr>
              <w:t>Protection</w:t>
            </w:r>
          </w:p>
        </w:tc>
        <w:tc>
          <w:tcPr>
            <w:tcW w:type="dxa" w:w="5074"/>
            <w:vAlign w:val="top"/>
          </w:tcPr>
          <w:p>
            <w:pPr>
              <w:spacing w:after="0"/>
            </w:pPr>
            <w:r>
              <w:rPr>
                <w:sz w:val="14"/>
              </w:rPr>
              <w:t>Regional projects, VPC Service Controls, CMEK/HSM as required, de-identification/tokenization.</w:t>
            </w:r>
          </w:p>
        </w:tc>
      </w:tr>
      <w:tr>
        <w:tc>
          <w:tcPr>
            <w:tcW w:type="dxa" w:w="5074"/>
            <w:shd w:fill="F7F8F9"/>
            <w:vAlign w:val="top"/>
          </w:tcPr>
          <w:p>
            <w:pPr>
              <w:spacing w:after="0"/>
            </w:pPr>
            <w:r>
              <w:rPr>
                <w:sz w:val="14"/>
              </w:rPr>
              <w:t>Evidence</w:t>
            </w:r>
          </w:p>
        </w:tc>
        <w:tc>
          <w:tcPr>
            <w:tcW w:type="dxa" w:w="5074"/>
            <w:shd w:fill="F7F8F9"/>
            <w:vAlign w:val="top"/>
          </w:tcPr>
          <w:p>
            <w:pPr>
              <w:spacing w:after="0"/>
            </w:pPr>
            <w:r>
              <w:rPr>
                <w:sz w:val="14"/>
              </w:rPr>
              <w:t>Immutable audit, data lineage, deployment/model evidence, incident and recovery records.</w:t>
            </w:r>
          </w:p>
        </w:tc>
      </w:tr>
      <w:tr>
        <w:tc>
          <w:tcPr>
            <w:tcW w:type="dxa" w:w="5074"/>
            <w:vAlign w:val="top"/>
          </w:tcPr>
          <w:p>
            <w:pPr>
              <w:spacing w:after="0"/>
            </w:pPr>
            <w:r>
              <w:rPr>
                <w:sz w:val="14"/>
              </w:rPr>
              <w:t>Resilience</w:t>
            </w:r>
          </w:p>
        </w:tc>
        <w:tc>
          <w:tcPr>
            <w:tcW w:type="dxa" w:w="5074"/>
            <w:vAlign w:val="top"/>
          </w:tcPr>
          <w:p>
            <w:pPr>
              <w:spacing w:after="0"/>
            </w:pPr>
            <w:r>
              <w:rPr>
                <w:sz w:val="14"/>
              </w:rPr>
              <w:t>Critical-journey SLOs, dependency mapping, tested failover/replay and third-party escalation.</w:t>
            </w:r>
          </w:p>
        </w:tc>
      </w:tr>
      <w:tr>
        <w:tc>
          <w:tcPr>
            <w:tcW w:type="dxa" w:w="5074"/>
            <w:shd w:fill="F7F8F9"/>
            <w:vAlign w:val="top"/>
          </w:tcPr>
          <w:p>
            <w:pPr>
              <w:spacing w:after="0"/>
            </w:pPr>
            <w:r>
              <w:rPr>
                <w:sz w:val="14"/>
              </w:rPr>
              <w:t>Lifecycle</w:t>
            </w:r>
          </w:p>
        </w:tc>
        <w:tc>
          <w:tcPr>
            <w:tcW w:type="dxa" w:w="5074"/>
            <w:shd w:fill="F7F8F9"/>
            <w:vAlign w:val="top"/>
          </w:tcPr>
          <w:p>
            <w:pPr>
              <w:spacing w:after="0"/>
            </w:pPr>
            <w:r>
              <w:rPr>
                <w:sz w:val="14"/>
              </w:rPr>
              <w:t>Retention, legal hold, deletion and derived-artifact propagation.</w:t>
            </w:r>
          </w:p>
        </w:tc>
      </w:tr>
    </w:tbl>
    <w:p>
      <w:pPr>
        <w:spacing w:after="0"/>
      </w:pPr>
    </w:p>
    <w:p>
      <w:pPr>
        <w:pStyle w:val="Heading2"/>
      </w:pPr>
      <w:r>
        <w:t>6.3 Data Sources and Ingestion</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Source category</w:t>
            </w:r>
          </w:p>
        </w:tc>
        <w:tc>
          <w:tcPr>
            <w:tcW w:type="dxa" w:w="3383"/>
            <w:shd w:fill="174EA6"/>
          </w:tcPr>
          <w:p>
            <w:pPr>
              <w:spacing w:after="0"/>
            </w:pPr>
            <w:r>
              <w:rPr>
                <w:b/>
                <w:color w:val="FFFFFF"/>
                <w:sz w:val="13"/>
              </w:rPr>
              <w:t>Recommended ingestion</w:t>
            </w:r>
          </w:p>
        </w:tc>
        <w:tc>
          <w:tcPr>
            <w:tcW w:type="dxa" w:w="3383"/>
            <w:shd w:fill="174EA6"/>
          </w:tcPr>
          <w:p>
            <w:pPr>
              <w:spacing w:after="0"/>
            </w:pPr>
            <w:r>
              <w:rPr>
                <w:b/>
                <w:color w:val="FFFFFF"/>
                <w:sz w:val="13"/>
              </w:rPr>
              <w:t>Key controls</w:t>
            </w:r>
          </w:p>
        </w:tc>
      </w:tr>
      <w:tr>
        <w:tc>
          <w:tcPr>
            <w:tcW w:type="dxa" w:w="3383"/>
            <w:vAlign w:val="top"/>
          </w:tcPr>
          <w:p>
            <w:pPr>
              <w:spacing w:after="0"/>
            </w:pPr>
            <w:r>
              <w:rPr>
                <w:sz w:val="13"/>
              </w:rPr>
              <w:t>Point-of-sale systems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E-commerce and mobile events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Product information and digital asset systems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Order management and fulfillment</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Inventory and warehouse systems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Loyalty and CRM platforms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Payment and fraud providers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Supplier, procurement and logistics feeds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Store IoT and workforce systems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Marketing and experimentation platforms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bl>
    <w:p>
      <w:pPr>
        <w:spacing w:after="0"/>
      </w:pPr>
    </w:p>
    <w:p>
      <w:pPr>
        <w:pStyle w:val="Heading2"/>
      </w:pPr>
      <w:r>
        <w:t>6.4 Landing Zone and Networking</w:t>
      </w:r>
    </w:p>
    <w:p>
      <w:pPr>
        <w:pStyle w:val="ListBullet"/>
      </w:pPr>
      <w:r>
        <w:t>Separate regional production projects for shared platform, industry domains and high-risk workloads.</w:t>
      </w:r>
    </w:p>
    <w:p>
      <w:pPr>
        <w:pStyle w:val="ListBullet"/>
      </w:pPr>
      <w:r>
        <w:t>Use Shared VPC, private API paths/PSC where supported, restricted egress and hybrid connectivity sized to source/DR needs.</w:t>
      </w:r>
    </w:p>
    <w:p>
      <w:pPr>
        <w:pStyle w:val="ListBullet"/>
      </w:pPr>
      <w:r>
        <w:t>Apply tags/labels for industry, domain, product, environment, region, owner, classification, cost center and tier.</w:t>
      </w:r>
    </w:p>
    <w:p>
      <w:pPr>
        <w:pStyle w:val="ListBullet"/>
      </w:pPr>
      <w:r>
        <w:t>Place Restricted/Regulated projects in VPC Service Controls perimeters where service paths are supported and tested.</w:t>
      </w:r>
    </w:p>
    <w:p>
      <w:pPr>
        <w:pStyle w:val="ListBullet"/>
      </w:pPr>
      <w:r>
        <w:t>Use dedicated KMS key rings by region and classification; service-agent permissions are deployed through approved modules.</w:t>
      </w:r>
    </w:p>
    <w:p>
      <w:pPr>
        <w:pStyle w:val="Heading2"/>
      </w:pPr>
      <w:r>
        <w:t>6.5 Data Layers and Data Products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Layer</w:t>
            </w:r>
          </w:p>
        </w:tc>
        <w:tc>
          <w:tcPr>
            <w:tcW w:type="dxa" w:w="5074"/>
            <w:shd w:fill="174EA6"/>
          </w:tcPr>
          <w:p>
            <w:pPr>
              <w:spacing w:after="0"/>
            </w:pPr>
            <w:r>
              <w:rPr>
                <w:b/>
                <w:color w:val="FFFFFF"/>
                <w:sz w:val="14"/>
              </w:rPr>
              <w:t>Industry implementation</w:t>
            </w:r>
          </w:p>
        </w:tc>
      </w:tr>
      <w:tr>
        <w:tc>
          <w:tcPr>
            <w:tcW w:type="dxa" w:w="5074"/>
            <w:vAlign w:val="top"/>
          </w:tcPr>
          <w:p>
            <w:pPr>
              <w:spacing w:after="0"/>
            </w:pPr>
            <w:r>
              <w:rPr>
                <w:sz w:val="14"/>
              </w:rPr>
              <w:t>Landing/raw</w:t>
            </w:r>
          </w:p>
        </w:tc>
        <w:tc>
          <w:tcPr>
            <w:tcW w:type="dxa" w:w="5074"/>
            <w:vAlign w:val="top"/>
          </w:tcPr>
          <w:p>
            <w:pPr>
              <w:spacing w:after="0"/>
            </w:pPr>
            <w:r>
              <w:rPr>
                <w:sz w:val="14"/>
              </w:rPr>
              <w:t>Immutable source records, source metadata, legal/retention controls and quarantine.</w:t>
            </w:r>
          </w:p>
        </w:tc>
      </w:tr>
      <w:tr>
        <w:tc>
          <w:tcPr>
            <w:tcW w:type="dxa" w:w="5074"/>
            <w:shd w:fill="F7F8F9"/>
            <w:vAlign w:val="top"/>
          </w:tcPr>
          <w:p>
            <w:pPr>
              <w:spacing w:after="0"/>
            </w:pPr>
            <w:r>
              <w:rPr>
                <w:sz w:val="14"/>
              </w:rPr>
              <w:t>Standardized</w:t>
            </w:r>
          </w:p>
        </w:tc>
        <w:tc>
          <w:tcPr>
            <w:tcW w:type="dxa" w:w="5074"/>
            <w:shd w:fill="F7F8F9"/>
            <w:vAlign w:val="top"/>
          </w:tcPr>
          <w:p>
            <w:pPr>
              <w:spacing w:after="0"/>
            </w:pPr>
            <w:r>
              <w:rPr>
                <w:sz w:val="14"/>
              </w:rPr>
              <w:t>Canonical industry entities, source identifiers, event/validity timestamps and data-quality results.</w:t>
            </w:r>
          </w:p>
        </w:tc>
      </w:tr>
      <w:tr>
        <w:tc>
          <w:tcPr>
            <w:tcW w:type="dxa" w:w="5074"/>
            <w:vAlign w:val="top"/>
          </w:tcPr>
          <w:p>
            <w:pPr>
              <w:spacing w:after="0"/>
            </w:pPr>
            <w:r>
              <w:rPr>
                <w:sz w:val="14"/>
              </w:rPr>
              <w:t>Curated/product</w:t>
            </w:r>
          </w:p>
        </w:tc>
        <w:tc>
          <w:tcPr>
            <w:tcW w:type="dxa" w:w="5074"/>
            <w:vAlign w:val="top"/>
          </w:tcPr>
          <w:p>
            <w:pPr>
              <w:spacing w:after="0"/>
            </w:pPr>
            <w:r>
              <w:rPr>
                <w:sz w:val="14"/>
              </w:rPr>
              <w:t>Domain-owned products listed below with contracts, certification and SLOs.</w:t>
            </w:r>
          </w:p>
        </w:tc>
      </w:tr>
      <w:tr>
        <w:tc>
          <w:tcPr>
            <w:tcW w:type="dxa" w:w="5074"/>
            <w:shd w:fill="F7F8F9"/>
            <w:vAlign w:val="top"/>
          </w:tcPr>
          <w:p>
            <w:pPr>
              <w:spacing w:after="0"/>
            </w:pPr>
            <w:r>
              <w:rPr>
                <w:sz w:val="14"/>
              </w:rPr>
              <w:t>Semantic/serving</w:t>
            </w:r>
          </w:p>
        </w:tc>
        <w:tc>
          <w:tcPr>
            <w:tcW w:type="dxa" w:w="5074"/>
            <w:shd w:fill="F7F8F9"/>
            <w:vAlign w:val="top"/>
          </w:tcPr>
          <w:p>
            <w:pPr>
              <w:spacing w:after="0"/>
            </w:pPr>
            <w:r>
              <w:rPr>
                <w:sz w:val="14"/>
              </w:rPr>
              <w:t>Looker/BigQuery/API/feature/RAG interfaces separated by consumer and purpose.</w:t>
            </w:r>
          </w:p>
        </w:tc>
      </w:tr>
      <w:tr>
        <w:tc>
          <w:tcPr>
            <w:tcW w:type="dxa" w:w="5074"/>
            <w:vAlign w:val="top"/>
          </w:tcPr>
          <w:p>
            <w:pPr>
              <w:spacing w:after="0"/>
            </w:pPr>
            <w:r>
              <w:rPr>
                <w:sz w:val="14"/>
              </w:rPr>
              <w:t>Archive/recovery</w:t>
            </w:r>
          </w:p>
        </w:tc>
        <w:tc>
          <w:tcPr>
            <w:tcW w:type="dxa" w:w="5074"/>
            <w:vAlign w:val="top"/>
          </w:tcPr>
          <w:p>
            <w:pPr>
              <w:spacing w:after="0"/>
            </w:pPr>
            <w:r>
              <w:rPr>
                <w:sz w:val="14"/>
              </w:rPr>
              <w:t>Policy-driven retention, source replay, legal hold and recovery evidence.</w:t>
            </w:r>
          </w:p>
        </w:tc>
      </w:tr>
    </w:tbl>
    <w:p>
      <w:pPr>
        <w:spacing w:after="0"/>
      </w:pP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Data product</w:t>
            </w:r>
          </w:p>
        </w:tc>
        <w:tc>
          <w:tcPr>
            <w:tcW w:type="dxa" w:w="2537"/>
            <w:shd w:fill="174EA6"/>
          </w:tcPr>
          <w:p>
            <w:pPr>
              <w:spacing w:after="0"/>
            </w:pPr>
            <w:r>
              <w:rPr>
                <w:b/>
                <w:color w:val="FFFFFF"/>
                <w:sz w:val="13"/>
              </w:rPr>
              <w:t>Owner/accountability</w:t>
            </w:r>
          </w:p>
        </w:tc>
        <w:tc>
          <w:tcPr>
            <w:tcW w:type="dxa" w:w="2537"/>
            <w:shd w:fill="174EA6"/>
          </w:tcPr>
          <w:p>
            <w:pPr>
              <w:spacing w:after="0"/>
            </w:pPr>
            <w:r>
              <w:rPr>
                <w:b/>
                <w:color w:val="FFFFFF"/>
                <w:sz w:val="13"/>
              </w:rPr>
              <w:t>Primary consumers</w:t>
            </w:r>
          </w:p>
        </w:tc>
        <w:tc>
          <w:tcPr>
            <w:tcW w:type="dxa" w:w="2537"/>
            <w:shd w:fill="174EA6"/>
          </w:tcPr>
          <w:p>
            <w:pPr>
              <w:spacing w:after="0"/>
            </w:pPr>
            <w:r>
              <w:rPr>
                <w:b/>
                <w:color w:val="FFFFFF"/>
                <w:sz w:val="13"/>
              </w:rPr>
              <w:t>Baseline SLO</w:t>
            </w:r>
          </w:p>
        </w:tc>
      </w:tr>
      <w:tr>
        <w:tc>
          <w:tcPr>
            <w:tcW w:type="dxa" w:w="2537"/>
            <w:vAlign w:val="top"/>
          </w:tcPr>
          <w:p>
            <w:pPr>
              <w:spacing w:after="0"/>
            </w:pPr>
            <w:r>
              <w:rPr>
                <w:sz w:val="13"/>
              </w:rPr>
              <w:t>Customer and consent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Product and catalog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Price and promotion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Store and channel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Order and fulfillment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Inventory availability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Digital interaction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Supplier and purchase-order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Demand signal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Payment token and fraud signal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bl>
    <w:p>
      <w:pPr>
        <w:spacing w:after="0"/>
      </w:pPr>
    </w:p>
    <w:p>
      <w:pPr>
        <w:pStyle w:val="Heading2"/>
      </w:pPr>
      <w:r>
        <w:t>6.6 Data Mesh and Governance</w:t>
      </w:r>
    </w:p>
    <w:p>
      <w:r>
        <w:t>The industry is decomposed into business domains rather than technology silos. Domain product owners own meaning, quality, SLO, access intent and economics. The central platform team owns project factory, network, IAM/KMS patterns, ingestion/runtime templates, catalog integrations, observability and release controls. The federated governance council approves cross-domain definitions, high-risk sharing, certification and deprecation.</w:t>
      </w:r>
    </w:p>
    <w:p>
      <w:pPr>
        <w:pStyle w:val="Heading2"/>
      </w:pPr>
      <w:r>
        <w:t>6.7 Analytics and Semantic Layer</w:t>
      </w:r>
    </w:p>
    <w:p>
      <w:pPr>
        <w:pStyle w:val="ListBullet"/>
      </w:pPr>
      <w:r>
        <w:t>Define certified measures with business owner, formula, grain, time basis, exclusions, currency/unit and reconciliation source.</w:t>
      </w:r>
    </w:p>
    <w:p>
      <w:pPr>
        <w:pStyle w:val="ListBullet"/>
      </w:pPr>
      <w:r>
        <w:t>Expose Restricted detail through authorized views, row/column policies and purpose-specific semantic models.</w:t>
      </w:r>
    </w:p>
    <w:p>
      <w:pPr>
        <w:pStyle w:val="ListBullet"/>
      </w:pPr>
      <w:r>
        <w:t>Separate operational, executive, regulatory and exploratory workloads through reservations/assignments and cost labels.</w:t>
      </w:r>
    </w:p>
    <w:p>
      <w:pPr>
        <w:pStyle w:val="ListBullet"/>
      </w:pPr>
      <w:r>
        <w:t>Attach freshness and quality status to dashboards; do not display stale regulated metrics without clear indication.</w:t>
      </w:r>
    </w:p>
    <w:p>
      <w:pPr>
        <w:pStyle w:val="Heading2"/>
      </w:pPr>
      <w:r>
        <w:t>6.8 AI and GenAI</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Use case</w:t>
            </w:r>
          </w:p>
        </w:tc>
        <w:tc>
          <w:tcPr>
            <w:tcW w:type="dxa" w:w="5074"/>
            <w:shd w:fill="174EA6"/>
          </w:tcPr>
          <w:p>
            <w:pPr>
              <w:spacing w:after="0"/>
            </w:pPr>
            <w:r>
              <w:rPr>
                <w:b/>
                <w:color w:val="FFFFFF"/>
                <w:sz w:val="13"/>
              </w:rPr>
              <w:t>Required control</w:t>
            </w:r>
          </w:p>
        </w:tc>
      </w:tr>
      <w:tr>
        <w:tc>
          <w:tcPr>
            <w:tcW w:type="dxa" w:w="5074"/>
            <w:vAlign w:val="top"/>
          </w:tcPr>
          <w:p>
            <w:pPr>
              <w:spacing w:after="0"/>
            </w:pPr>
            <w:r>
              <w:rPr>
                <w:sz w:val="13"/>
              </w:rPr>
              <w:t>AI Commerce Search for search, browse and recommendations where product fit is validated</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Demand forecasting and replenishment models</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Dynamic assortment and promotion analysis with business guardrails</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Shopping assistant grounded in catalog, inventory, policy and order data</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Store-associate assistant with role-based access</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Product-content enrichment with brand and safety review</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Fraud and return-abuse detection</w:t>
            </w:r>
          </w:p>
        </w:tc>
        <w:tc>
          <w:tcPr>
            <w:tcW w:type="dxa" w:w="5074"/>
            <w:vAlign w:val="top"/>
          </w:tcPr>
          <w:p>
            <w:pPr>
              <w:spacing w:after="0"/>
            </w:pPr>
            <w:r>
              <w:rPr>
                <w:sz w:val="13"/>
              </w:rPr>
              <w:t>Risk tier, approved data/model, evaluation, human oversight, audit, rollback and prohibited-use statement</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CE8E6"/>
          </w:tcPr>
          <w:p>
            <w:r>
              <w:rPr>
                <w:b/>
                <w:color w:val="17365D"/>
              </w:rPr>
              <w:t xml:space="preserve">Industry AI rule - </w:t>
            </w:r>
            <w:r>
              <w:t>Models and agents cannot expand user authorization. Retrieval and tool access are enforced server-side using caller identity, product policy, purpose and action risk.</w:t>
            </w:r>
          </w:p>
        </w:tc>
        <w:trPr>
          <w:tblHeader/>
        </w:trPr>
      </w:tr>
    </w:tbl>
    <w:p>
      <w:pPr>
        <w:spacing w:after="0"/>
      </w:pPr>
    </w:p>
    <w:p>
      <w:pPr>
        <w:pStyle w:val="Heading2"/>
      </w:pPr>
      <w:r>
        <w:t>6.9 Security and Privacy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w:t>
            </w:r>
          </w:p>
        </w:tc>
        <w:tc>
          <w:tcPr>
            <w:tcW w:type="dxa" w:w="5074"/>
            <w:shd w:fill="174EA6"/>
          </w:tcPr>
          <w:p>
            <w:pPr>
              <w:spacing w:after="0"/>
            </w:pPr>
            <w:r>
              <w:rPr>
                <w:b/>
                <w:color w:val="FFFFFF"/>
                <w:sz w:val="14"/>
              </w:rPr>
              <w:t>Industry requirement</w:t>
            </w:r>
          </w:p>
        </w:tc>
      </w:tr>
      <w:tr>
        <w:tc>
          <w:tcPr>
            <w:tcW w:type="dxa" w:w="5074"/>
            <w:vAlign w:val="top"/>
          </w:tcPr>
          <w:p>
            <w:pPr>
              <w:spacing w:after="0"/>
            </w:pPr>
            <w:r>
              <w:rPr>
                <w:sz w:val="14"/>
              </w:rPr>
              <w:t>Keep raw cardholder data outside broad analytical zones through tokenization</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PCI segmentation and evidence for payment-related projects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Consent and purpose restrictions for personalization</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Regional privacy deletion across profiles, features and indexes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Bot/abuse protection for customer-facing APIs and agents</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Separate employee, customer and supplier identities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Prevent prompt injection from product/seller content</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Human approval for price, refund and order-changing actions</w:t>
            </w:r>
          </w:p>
        </w:tc>
        <w:tc>
          <w:tcPr>
            <w:tcW w:type="dxa" w:w="5074"/>
            <w:shd w:fill="F7F8F9"/>
            <w:vAlign w:val="top"/>
          </w:tcPr>
          <w:p>
            <w:pPr>
              <w:spacing w:after="0"/>
            </w:pPr>
            <w:r>
              <w:rPr>
                <w:sz w:val="14"/>
              </w:rPr>
              <w:t>Mandatory or risk-based implementation evidence before production</w:t>
            </w:r>
          </w:p>
        </w:tc>
      </w:tr>
    </w:tbl>
    <w:p>
      <w:pPr>
        <w:spacing w:after="0"/>
      </w:pPr>
    </w:p>
    <w:p>
      <w:pPr>
        <w:pStyle w:val="Heading2"/>
      </w:pPr>
      <w:r>
        <w:t>6.10 DevSecOps and Infrastructure as Code</w:t>
      </w:r>
    </w:p>
    <w:p>
      <w:pPr>
        <w:pStyle w:val="ListBullet"/>
      </w:pPr>
      <w:r>
        <w:t>Store Terraform, pipelines, SQL, semantic models, prompts, evaluation sets, policies and runbooks in protected repositories.</w:t>
      </w:r>
    </w:p>
    <w:p>
      <w:pPr>
        <w:pStyle w:val="ListBullet"/>
      </w:pPr>
      <w:r>
        <w:t>Build once and promote immutable artifact digests; do not rebuild per environment.</w:t>
      </w:r>
    </w:p>
    <w:p>
      <w:pPr>
        <w:pStyle w:val="ListBullet"/>
      </w:pPr>
      <w:r>
        <w:t>Run unit, contract, integration, data-quality, security, privacy, performance, resilience and rollback tests.</w:t>
      </w:r>
    </w:p>
    <w:p>
      <w:pPr>
        <w:pStyle w:val="ListBullet"/>
      </w:pPr>
      <w:r>
        <w:t>Require independent approvals for production and high-risk model/prompt/tool releases.</w:t>
      </w:r>
    </w:p>
    <w:p>
      <w:pPr>
        <w:pStyle w:val="ListBullet"/>
      </w:pPr>
      <w:r>
        <w:t>Volume 9 and Volume 13 provide the full CI/CD and Terraform operating implementation; this volume supplies industry-specific inputs and examples.</w:t>
      </w:r>
    </w:p>
    <w:p>
      <w:pPr>
        <w:pStyle w:val="Heading2"/>
      </w:pPr>
      <w:r>
        <w:t>6.11 SRE and Operational Model</w:t>
      </w:r>
    </w:p>
    <w:p>
      <w:r>
        <w:t>Tier 0 seasonal commerce event and inventory availability servicesPeak-event load and backlog forecasts for major campaignsSearch/recommendation quality plus latency and catalog freshness SLIsBusiness continuity for stores during cloud or network disruption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Operational requirement</w:t>
            </w:r>
          </w:p>
        </w:tc>
        <w:tc>
          <w:tcPr>
            <w:tcW w:type="dxa" w:w="5074"/>
            <w:shd w:fill="174EA6"/>
          </w:tcPr>
          <w:p>
            <w:pPr>
              <w:spacing w:after="0"/>
            </w:pPr>
            <w:r>
              <w:rPr>
                <w:b/>
                <w:color w:val="FFFFFF"/>
                <w:sz w:val="14"/>
              </w:rPr>
              <w:t>Standard</w:t>
            </w:r>
          </w:p>
        </w:tc>
      </w:tr>
      <w:tr>
        <w:tc>
          <w:tcPr>
            <w:tcW w:type="dxa" w:w="5074"/>
            <w:vAlign w:val="top"/>
          </w:tcPr>
          <w:p>
            <w:pPr>
              <w:spacing w:after="0"/>
            </w:pPr>
            <w:r>
              <w:rPr>
                <w:sz w:val="14"/>
              </w:rPr>
              <w:t>Ownership</w:t>
            </w:r>
          </w:p>
        </w:tc>
        <w:tc>
          <w:tcPr>
            <w:tcW w:type="dxa" w:w="5074"/>
            <w:vAlign w:val="top"/>
          </w:tcPr>
          <w:p>
            <w:pPr>
              <w:spacing w:after="0"/>
            </w:pPr>
            <w:r>
              <w:rPr>
                <w:sz w:val="14"/>
              </w:rPr>
              <w:t>Business service owner, product owner, technical owner and on-call recorded.</w:t>
            </w:r>
          </w:p>
        </w:tc>
      </w:tr>
      <w:tr>
        <w:tc>
          <w:tcPr>
            <w:tcW w:type="dxa" w:w="5074"/>
            <w:shd w:fill="F7F8F9"/>
            <w:vAlign w:val="top"/>
          </w:tcPr>
          <w:p>
            <w:pPr>
              <w:spacing w:after="0"/>
            </w:pPr>
            <w:r>
              <w:rPr>
                <w:sz w:val="14"/>
              </w:rPr>
              <w:t>SLIs/SLOs</w:t>
            </w:r>
          </w:p>
        </w:tc>
        <w:tc>
          <w:tcPr>
            <w:tcW w:type="dxa" w:w="5074"/>
            <w:shd w:fill="F7F8F9"/>
            <w:vAlign w:val="top"/>
          </w:tcPr>
          <w:p>
            <w:pPr>
              <w:spacing w:after="0"/>
            </w:pPr>
            <w:r>
              <w:rPr>
                <w:sz w:val="14"/>
              </w:rPr>
              <w:t>User journey, freshness, quality, availability, latency, backlog and recovery measured.</w:t>
            </w:r>
          </w:p>
        </w:tc>
      </w:tr>
      <w:tr>
        <w:tc>
          <w:tcPr>
            <w:tcW w:type="dxa" w:w="5074"/>
            <w:vAlign w:val="top"/>
          </w:tcPr>
          <w:p>
            <w:pPr>
              <w:spacing w:after="0"/>
            </w:pPr>
            <w:r>
              <w:rPr>
                <w:sz w:val="14"/>
              </w:rPr>
              <w:t>Alerting</w:t>
            </w:r>
          </w:p>
        </w:tc>
        <w:tc>
          <w:tcPr>
            <w:tcW w:type="dxa" w:w="5074"/>
            <w:vAlign w:val="top"/>
          </w:tcPr>
          <w:p>
            <w:pPr>
              <w:spacing w:after="0"/>
            </w:pPr>
            <w:r>
              <w:rPr>
                <w:sz w:val="14"/>
              </w:rPr>
              <w:t>Burn-rate/symptom pages; dependency and lifecycle tickets; every page has a runbook.</w:t>
            </w:r>
          </w:p>
        </w:tc>
      </w:tr>
      <w:tr>
        <w:tc>
          <w:tcPr>
            <w:tcW w:type="dxa" w:w="5074"/>
            <w:shd w:fill="F7F8F9"/>
            <w:vAlign w:val="top"/>
          </w:tcPr>
          <w:p>
            <w:pPr>
              <w:spacing w:after="0"/>
            </w:pPr>
            <w:r>
              <w:rPr>
                <w:sz w:val="14"/>
              </w:rPr>
              <w:t>Incident</w:t>
            </w:r>
          </w:p>
        </w:tc>
        <w:tc>
          <w:tcPr>
            <w:tcW w:type="dxa" w:w="5074"/>
            <w:shd w:fill="F7F8F9"/>
            <w:vAlign w:val="top"/>
          </w:tcPr>
          <w:p>
            <w:pPr>
              <w:spacing w:after="0"/>
            </w:pPr>
            <w:r>
              <w:rPr>
                <w:sz w:val="14"/>
              </w:rPr>
              <w:t>Industry/business control owner joins security/SRE according to impact.</w:t>
            </w:r>
          </w:p>
        </w:tc>
      </w:tr>
      <w:tr>
        <w:tc>
          <w:tcPr>
            <w:tcW w:type="dxa" w:w="5074"/>
            <w:vAlign w:val="top"/>
          </w:tcPr>
          <w:p>
            <w:pPr>
              <w:spacing w:after="0"/>
            </w:pPr>
            <w:r>
              <w:rPr>
                <w:sz w:val="14"/>
              </w:rPr>
              <w:t>Capacity</w:t>
            </w:r>
          </w:p>
        </w:tc>
        <w:tc>
          <w:tcPr>
            <w:tcW w:type="dxa" w:w="5074"/>
            <w:vAlign w:val="top"/>
          </w:tcPr>
          <w:p>
            <w:pPr>
              <w:spacing w:after="0"/>
            </w:pPr>
            <w:r>
              <w:rPr>
                <w:sz w:val="14"/>
              </w:rPr>
              <w:t>Forecast growth, seasonality, model/vector/token use and backfill capacity.</w:t>
            </w:r>
          </w:p>
        </w:tc>
      </w:tr>
      <w:tr>
        <w:tc>
          <w:tcPr>
            <w:tcW w:type="dxa" w:w="5074"/>
            <w:shd w:fill="F7F8F9"/>
            <w:vAlign w:val="top"/>
          </w:tcPr>
          <w:p>
            <w:pPr>
              <w:spacing w:after="0"/>
            </w:pPr>
            <w:r>
              <w:rPr>
                <w:sz w:val="14"/>
              </w:rPr>
              <w:t>Review</w:t>
            </w:r>
          </w:p>
        </w:tc>
        <w:tc>
          <w:tcPr>
            <w:tcW w:type="dxa" w:w="5074"/>
            <w:shd w:fill="F7F8F9"/>
            <w:vAlign w:val="top"/>
          </w:tcPr>
          <w:p>
            <w:pPr>
              <w:spacing w:after="0"/>
            </w:pPr>
            <w:r>
              <w:rPr>
                <w:sz w:val="14"/>
              </w:rPr>
              <w:t>Monthly service review and quarterly risk/cost/resilience review.</w:t>
            </w:r>
          </w:p>
        </w:tc>
      </w:tr>
    </w:tbl>
    <w:p>
      <w:pPr>
        <w:spacing w:after="0"/>
      </w:pPr>
    </w:p>
    <w:p>
      <w:pPr>
        <w:pStyle w:val="Heading2"/>
      </w:pPr>
      <w:r>
        <w:t>6.12 Disaster Recovery and Business Continuity</w:t>
      </w:r>
    </w:p>
    <w:p>
      <w:r>
        <w:t>Warm recovery for digital commerce data products and event ingestionStore-edge/offline procedures and eventual reconciliationCatalog, inventory and order replay from durable sourcesPeak-season failover exercise before major events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Tier</w:t>
            </w:r>
          </w:p>
        </w:tc>
        <w:tc>
          <w:tcPr>
            <w:tcW w:type="dxa" w:w="3383"/>
            <w:shd w:fill="174EA6"/>
          </w:tcPr>
          <w:p>
            <w:pPr>
              <w:spacing w:after="0"/>
            </w:pPr>
            <w:r>
              <w:rPr>
                <w:b/>
                <w:color w:val="FFFFFF"/>
                <w:sz w:val="14"/>
              </w:rPr>
              <w:t>Target</w:t>
            </w:r>
          </w:p>
        </w:tc>
        <w:tc>
          <w:tcPr>
            <w:tcW w:type="dxa" w:w="3383"/>
            <w:shd w:fill="174EA6"/>
          </w:tcPr>
          <w:p>
            <w:pPr>
              <w:spacing w:after="0"/>
            </w:pPr>
            <w:r>
              <w:rPr>
                <w:b/>
                <w:color w:val="FFFFFF"/>
                <w:sz w:val="14"/>
              </w:rPr>
              <w:t>Industry application</w:t>
            </w:r>
          </w:p>
        </w:tc>
      </w:tr>
      <w:tr>
        <w:tc>
          <w:tcPr>
            <w:tcW w:type="dxa" w:w="3383"/>
            <w:vAlign w:val="top"/>
          </w:tcPr>
          <w:p>
            <w:pPr>
              <w:spacing w:after="0"/>
            </w:pPr>
            <w:r>
              <w:rPr>
                <w:sz w:val="14"/>
              </w:rPr>
              <w:t>0</w:t>
            </w:r>
          </w:p>
        </w:tc>
        <w:tc>
          <w:tcPr>
            <w:tcW w:type="dxa" w:w="3383"/>
            <w:vAlign w:val="top"/>
          </w:tcPr>
          <w:p>
            <w:pPr>
              <w:spacing w:after="0"/>
            </w:pPr>
            <w:r>
              <w:rPr>
                <w:sz w:val="14"/>
              </w:rPr>
              <w:t>RTO &lt;1h; RPO &lt;5m</w:t>
            </w:r>
          </w:p>
        </w:tc>
        <w:tc>
          <w:tcPr>
            <w:tcW w:type="dxa" w:w="3383"/>
            <w:vAlign w:val="top"/>
          </w:tcPr>
          <w:p>
            <w:pPr>
              <w:spacing w:after="0"/>
            </w:pPr>
            <w:r>
              <w:rPr>
                <w:sz w:val="14"/>
              </w:rPr>
              <w:t>Critical real-time/operational products and decision support</w:t>
            </w:r>
          </w:p>
        </w:tc>
      </w:tr>
      <w:tr>
        <w:tc>
          <w:tcPr>
            <w:tcW w:type="dxa" w:w="3383"/>
            <w:shd w:fill="F7F8F9"/>
            <w:vAlign w:val="top"/>
          </w:tcPr>
          <w:p>
            <w:pPr>
              <w:spacing w:after="0"/>
            </w:pPr>
            <w:r>
              <w:rPr>
                <w:sz w:val="14"/>
              </w:rPr>
              <w:t>1</w:t>
            </w:r>
          </w:p>
        </w:tc>
        <w:tc>
          <w:tcPr>
            <w:tcW w:type="dxa" w:w="3383"/>
            <w:shd w:fill="F7F8F9"/>
            <w:vAlign w:val="top"/>
          </w:tcPr>
          <w:p>
            <w:pPr>
              <w:spacing w:after="0"/>
            </w:pPr>
            <w:r>
              <w:rPr>
                <w:sz w:val="14"/>
              </w:rPr>
              <w:t>RTO &lt;4h; RPO &lt;15m</w:t>
            </w:r>
          </w:p>
        </w:tc>
        <w:tc>
          <w:tcPr>
            <w:tcW w:type="dxa" w:w="3383"/>
            <w:shd w:fill="F7F8F9"/>
            <w:vAlign w:val="top"/>
          </w:tcPr>
          <w:p>
            <w:pPr>
              <w:spacing w:after="0"/>
            </w:pPr>
            <w:r>
              <w:rPr>
                <w:sz w:val="14"/>
              </w:rPr>
              <w:t>High-value analytical, risk, inventory, assurance and AI services</w:t>
            </w:r>
          </w:p>
        </w:tc>
      </w:tr>
      <w:tr>
        <w:tc>
          <w:tcPr>
            <w:tcW w:type="dxa" w:w="3383"/>
            <w:vAlign w:val="top"/>
          </w:tcPr>
          <w:p>
            <w:pPr>
              <w:spacing w:after="0"/>
            </w:pPr>
            <w:r>
              <w:rPr>
                <w:sz w:val="14"/>
              </w:rPr>
              <w:t>2</w:t>
            </w:r>
          </w:p>
        </w:tc>
        <w:tc>
          <w:tcPr>
            <w:tcW w:type="dxa" w:w="3383"/>
            <w:vAlign w:val="top"/>
          </w:tcPr>
          <w:p>
            <w:pPr>
              <w:spacing w:after="0"/>
            </w:pPr>
            <w:r>
              <w:rPr>
                <w:sz w:val="14"/>
              </w:rPr>
              <w:t>RTO &lt;24h; RPO &lt;24h</w:t>
            </w:r>
          </w:p>
        </w:tc>
        <w:tc>
          <w:tcPr>
            <w:tcW w:type="dxa" w:w="3383"/>
            <w:vAlign w:val="top"/>
          </w:tcPr>
          <w:p>
            <w:pPr>
              <w:spacing w:after="0"/>
            </w:pPr>
            <w:r>
              <w:rPr>
                <w:sz w:val="14"/>
              </w:rPr>
              <w:t>Exploratory, historical and non-critical workloads</w:t>
            </w:r>
          </w:p>
        </w:tc>
      </w:tr>
    </w:tbl>
    <w:p>
      <w:pPr>
        <w:spacing w:after="0"/>
      </w:pPr>
    </w:p>
    <w:p>
      <w:pPr>
        <w:pStyle w:val="Heading2"/>
      </w:pPr>
      <w:r>
        <w:t>6.13 FinOps and Cost Governance</w:t>
      </w:r>
    </w:p>
    <w:p>
      <w:r>
        <w:t>Cost per order, search, recommendation, customer event and inventory updateSeasonal capacity planning and reservation adjustmentStorage lifecycle for clickstream and product mediaControl personalization and GenAI token/tool budgets by channel</w:t>
      </w:r>
    </w:p>
    <w:p>
      <w:pPr>
        <w:pStyle w:val="ListBullet"/>
      </w:pPr>
      <w:r>
        <w:t>Allocate cost to industry, domain, product, environment, region, owner and workload.</w:t>
      </w:r>
    </w:p>
    <w:p>
      <w:pPr>
        <w:pStyle w:val="ListBullet"/>
      </w:pPr>
      <w:r>
        <w:t>Forecast from measurable units; do not hard-code prices.</w:t>
      </w:r>
    </w:p>
    <w:p>
      <w:pPr>
        <w:pStyle w:val="ListBullet"/>
      </w:pPr>
      <w:r>
        <w:t>Review cost per successful business unit alongside quality and SLO.</w:t>
      </w:r>
    </w:p>
    <w:p>
      <w:pPr>
        <w:pStyle w:val="ListBullet"/>
      </w:pPr>
      <w:r>
        <w:t>Require approval for persistent clusters, high-cardinality telemetry, unbounded RAG context or autonomous tool loops.</w:t>
      </w:r>
    </w:p>
    <w:p>
      <w:pPr>
        <w:pStyle w:val="Heading2"/>
      </w:pPr>
      <w:r>
        <w:t>6.14 Implementation Roadmap</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Wave</w:t>
            </w:r>
          </w:p>
        </w:tc>
        <w:tc>
          <w:tcPr>
            <w:tcW w:type="dxa" w:w="5074"/>
            <w:shd w:fill="174EA6"/>
          </w:tcPr>
          <w:p>
            <w:pPr>
              <w:spacing w:after="0"/>
            </w:pPr>
            <w:r>
              <w:rPr>
                <w:b/>
                <w:color w:val="FFFFFF"/>
                <w:sz w:val="14"/>
              </w:rPr>
              <w:t>Outcome</w:t>
            </w:r>
          </w:p>
        </w:tc>
      </w:tr>
      <w:tr>
        <w:tc>
          <w:tcPr>
            <w:tcW w:type="dxa" w:w="5074"/>
            <w:vAlign w:val="top"/>
          </w:tcPr>
          <w:p>
            <w:pPr>
              <w:spacing w:after="0"/>
            </w:pPr>
            <w:r>
              <w:rPr>
                <w:sz w:val="14"/>
              </w:rPr>
              <w:t>1</w:t>
            </w:r>
          </w:p>
        </w:tc>
        <w:tc>
          <w:tcPr>
            <w:tcW w:type="dxa" w:w="5074"/>
            <w:vAlign w:val="top"/>
          </w:tcPr>
          <w:p>
            <w:pPr>
              <w:spacing w:after="0"/>
            </w:pPr>
            <w:r>
              <w:rPr>
                <w:sz w:val="14"/>
              </w:rPr>
              <w:t>Omnichannel ingestion and customer/product products</w:t>
            </w:r>
          </w:p>
        </w:tc>
      </w:tr>
      <w:tr>
        <w:tc>
          <w:tcPr>
            <w:tcW w:type="dxa" w:w="5074"/>
            <w:shd w:fill="F7F8F9"/>
            <w:vAlign w:val="top"/>
          </w:tcPr>
          <w:p>
            <w:pPr>
              <w:spacing w:after="0"/>
            </w:pPr>
            <w:r>
              <w:rPr>
                <w:sz w:val="14"/>
              </w:rPr>
              <w:t>2</w:t>
            </w:r>
          </w:p>
        </w:tc>
        <w:tc>
          <w:tcPr>
            <w:tcW w:type="dxa" w:w="5074"/>
            <w:shd w:fill="F7F8F9"/>
            <w:vAlign w:val="top"/>
          </w:tcPr>
          <w:p>
            <w:pPr>
              <w:spacing w:after="0"/>
            </w:pPr>
            <w:r>
              <w:rPr>
                <w:sz w:val="14"/>
              </w:rPr>
              <w:t>Inventory and order availability</w:t>
            </w:r>
          </w:p>
        </w:tc>
      </w:tr>
      <w:tr>
        <w:tc>
          <w:tcPr>
            <w:tcW w:type="dxa" w:w="5074"/>
            <w:vAlign w:val="top"/>
          </w:tcPr>
          <w:p>
            <w:pPr>
              <w:spacing w:after="0"/>
            </w:pPr>
            <w:r>
              <w:rPr>
                <w:sz w:val="14"/>
              </w:rPr>
              <w:t>3</w:t>
            </w:r>
          </w:p>
        </w:tc>
        <w:tc>
          <w:tcPr>
            <w:tcW w:type="dxa" w:w="5074"/>
            <w:vAlign w:val="top"/>
          </w:tcPr>
          <w:p>
            <w:pPr>
              <w:spacing w:after="0"/>
            </w:pPr>
            <w:r>
              <w:rPr>
                <w:sz w:val="14"/>
              </w:rPr>
              <w:t>Merchandising and supply-chain analytics</w:t>
            </w:r>
          </w:p>
        </w:tc>
      </w:tr>
      <w:tr>
        <w:tc>
          <w:tcPr>
            <w:tcW w:type="dxa" w:w="5074"/>
            <w:shd w:fill="F7F8F9"/>
            <w:vAlign w:val="top"/>
          </w:tcPr>
          <w:p>
            <w:pPr>
              <w:spacing w:after="0"/>
            </w:pPr>
            <w:r>
              <w:rPr>
                <w:sz w:val="14"/>
              </w:rPr>
              <w:t>4</w:t>
            </w:r>
          </w:p>
        </w:tc>
        <w:tc>
          <w:tcPr>
            <w:tcW w:type="dxa" w:w="5074"/>
            <w:shd w:fill="F7F8F9"/>
            <w:vAlign w:val="top"/>
          </w:tcPr>
          <w:p>
            <w:pPr>
              <w:spacing w:after="0"/>
            </w:pPr>
            <w:r>
              <w:rPr>
                <w:sz w:val="14"/>
              </w:rPr>
              <w:t>AI Commerce Search and personalization pilot</w:t>
            </w:r>
          </w:p>
        </w:tc>
      </w:tr>
      <w:tr>
        <w:tc>
          <w:tcPr>
            <w:tcW w:type="dxa" w:w="5074"/>
            <w:vAlign w:val="top"/>
          </w:tcPr>
          <w:p>
            <w:pPr>
              <w:spacing w:after="0"/>
            </w:pPr>
            <w:r>
              <w:rPr>
                <w:sz w:val="14"/>
              </w:rPr>
              <w:t>5</w:t>
            </w:r>
          </w:p>
        </w:tc>
        <w:tc>
          <w:tcPr>
            <w:tcW w:type="dxa" w:w="5074"/>
            <w:vAlign w:val="top"/>
          </w:tcPr>
          <w:p>
            <w:pPr>
              <w:spacing w:after="0"/>
            </w:pPr>
            <w:r>
              <w:rPr>
                <w:sz w:val="14"/>
              </w:rPr>
              <w:t>Shopping/associate agents</w:t>
            </w:r>
          </w:p>
        </w:tc>
      </w:tr>
      <w:tr>
        <w:tc>
          <w:tcPr>
            <w:tcW w:type="dxa" w:w="5074"/>
            <w:shd w:fill="F7F8F9"/>
            <w:vAlign w:val="top"/>
          </w:tcPr>
          <w:p>
            <w:pPr>
              <w:spacing w:after="0"/>
            </w:pPr>
            <w:r>
              <w:rPr>
                <w:sz w:val="14"/>
              </w:rPr>
              <w:t>6</w:t>
            </w:r>
          </w:p>
        </w:tc>
        <w:tc>
          <w:tcPr>
            <w:tcW w:type="dxa" w:w="5074"/>
            <w:shd w:fill="F7F8F9"/>
            <w:vAlign w:val="top"/>
          </w:tcPr>
          <w:p>
            <w:pPr>
              <w:spacing w:after="0"/>
            </w:pPr>
            <w:r>
              <w:rPr>
                <w:sz w:val="14"/>
              </w:rPr>
              <w:t>Global scale and seasonal resilience</w:t>
            </w:r>
          </w:p>
        </w:tc>
      </w:tr>
    </w:tbl>
    <w:p>
      <w:pPr>
        <w:spacing w:after="0"/>
      </w:pPr>
    </w:p>
    <w:p>
      <w:pPr>
        <w:pStyle w:val="Heading2"/>
      </w:pPr>
      <w:r>
        <w:t>6.15 Architecture Decisions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ADR</w:t>
            </w:r>
          </w:p>
        </w:tc>
        <w:tc>
          <w:tcPr>
            <w:tcW w:type="dxa" w:w="5074"/>
            <w:shd w:fill="174EA6"/>
          </w:tcPr>
          <w:p>
            <w:pPr>
              <w:spacing w:after="0"/>
            </w:pPr>
            <w:r>
              <w:rPr>
                <w:b/>
                <w:color w:val="FFFFFF"/>
                <w:sz w:val="14"/>
              </w:rPr>
              <w:t>Decision title</w:t>
            </w:r>
          </w:p>
        </w:tc>
      </w:tr>
      <w:tr>
        <w:tc>
          <w:tcPr>
            <w:tcW w:type="dxa" w:w="5074"/>
            <w:vAlign w:val="top"/>
          </w:tcPr>
          <w:p>
            <w:pPr>
              <w:spacing w:after="0"/>
            </w:pPr>
            <w:r>
              <w:rPr>
                <w:sz w:val="14"/>
              </w:rPr>
              <w:t>R-ADR-01</w:t>
            </w:r>
          </w:p>
        </w:tc>
        <w:tc>
          <w:tcPr>
            <w:tcW w:type="dxa" w:w="5074"/>
            <w:vAlign w:val="top"/>
          </w:tcPr>
          <w:p>
            <w:pPr>
              <w:spacing w:after="0"/>
            </w:pPr>
            <w:r>
              <w:rPr>
                <w:sz w:val="14"/>
              </w:rPr>
              <w:t>Use tokenized payment references in analytical products</w:t>
            </w:r>
          </w:p>
        </w:tc>
      </w:tr>
      <w:tr>
        <w:tc>
          <w:tcPr>
            <w:tcW w:type="dxa" w:w="5074"/>
            <w:shd w:fill="F7F8F9"/>
            <w:vAlign w:val="top"/>
          </w:tcPr>
          <w:p>
            <w:pPr>
              <w:spacing w:after="0"/>
            </w:pPr>
            <w:r>
              <w:rPr>
                <w:sz w:val="14"/>
              </w:rPr>
              <w:t>R-ADR-02</w:t>
            </w:r>
          </w:p>
        </w:tc>
        <w:tc>
          <w:tcPr>
            <w:tcW w:type="dxa" w:w="5074"/>
            <w:shd w:fill="F7F8F9"/>
            <w:vAlign w:val="top"/>
          </w:tcPr>
          <w:p>
            <w:pPr>
              <w:spacing w:after="0"/>
            </w:pPr>
            <w:r>
              <w:rPr>
                <w:sz w:val="14"/>
              </w:rPr>
              <w:t>Treat real-time inventory as a governed operational data product</w:t>
            </w:r>
          </w:p>
        </w:tc>
      </w:tr>
      <w:tr>
        <w:tc>
          <w:tcPr>
            <w:tcW w:type="dxa" w:w="5074"/>
            <w:vAlign w:val="top"/>
          </w:tcPr>
          <w:p>
            <w:pPr>
              <w:spacing w:after="0"/>
            </w:pPr>
            <w:r>
              <w:rPr>
                <w:sz w:val="14"/>
              </w:rPr>
              <w:t>R-ADR-03</w:t>
            </w:r>
          </w:p>
        </w:tc>
        <w:tc>
          <w:tcPr>
            <w:tcW w:type="dxa" w:w="5074"/>
            <w:vAlign w:val="top"/>
          </w:tcPr>
          <w:p>
            <w:pPr>
              <w:spacing w:after="0"/>
            </w:pPr>
            <w:r>
              <w:rPr>
                <w:sz w:val="14"/>
              </w:rPr>
              <w:t>Adopt AI Commerce Search conditionally for digital channels</w:t>
            </w:r>
          </w:p>
        </w:tc>
      </w:tr>
      <w:tr>
        <w:tc>
          <w:tcPr>
            <w:tcW w:type="dxa" w:w="5074"/>
            <w:shd w:fill="F7F8F9"/>
            <w:vAlign w:val="top"/>
          </w:tcPr>
          <w:p>
            <w:pPr>
              <w:spacing w:after="0"/>
            </w:pPr>
            <w:r>
              <w:rPr>
                <w:sz w:val="14"/>
              </w:rPr>
              <w:t>R-ADR-04</w:t>
            </w:r>
          </w:p>
        </w:tc>
        <w:tc>
          <w:tcPr>
            <w:tcW w:type="dxa" w:w="5074"/>
            <w:shd w:fill="F7F8F9"/>
            <w:vAlign w:val="top"/>
          </w:tcPr>
          <w:p>
            <w:pPr>
              <w:spacing w:after="0"/>
            </w:pPr>
            <w:r>
              <w:rPr>
                <w:sz w:val="14"/>
              </w:rPr>
              <w:t>Separate customer-facing agent actions from advisory responses</w:t>
            </w:r>
          </w:p>
        </w:tc>
      </w:tr>
    </w:tbl>
    <w:p>
      <w:pPr>
        <w:spacing w:after="0"/>
      </w:pPr>
    </w:p>
    <w:p>
      <w:pPr>
        <w:pStyle w:val="Heading2"/>
      </w:pPr>
      <w:r>
        <w:t>6.16 Risk Register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Risk</w:t>
            </w:r>
          </w:p>
        </w:tc>
        <w:tc>
          <w:tcPr>
            <w:tcW w:type="dxa" w:w="5074"/>
            <w:shd w:fill="174EA6"/>
          </w:tcPr>
          <w:p>
            <w:pPr>
              <w:spacing w:after="0"/>
            </w:pPr>
            <w:r>
              <w:rPr>
                <w:b/>
                <w:color w:val="FFFFFF"/>
                <w:sz w:val="14"/>
              </w:rPr>
              <w:t>Control response</w:t>
            </w:r>
          </w:p>
        </w:tc>
      </w:tr>
      <w:tr>
        <w:tc>
          <w:tcPr>
            <w:tcW w:type="dxa" w:w="5074"/>
            <w:vAlign w:val="top"/>
          </w:tcPr>
          <w:p>
            <w:pPr>
              <w:spacing w:after="0"/>
            </w:pPr>
            <w:r>
              <w:rPr>
                <w:sz w:val="14"/>
              </w:rPr>
              <w:t>Incorrect inventory availability</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Customer consent misuse</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Promotion or pricing error</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Seasonal capacity shortfall</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Cardholder data scope expansion</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Recommendation bias or unsafe products</w:t>
            </w:r>
          </w:p>
        </w:tc>
        <w:tc>
          <w:tcPr>
            <w:tcW w:type="dxa" w:w="5074"/>
            <w:shd w:fill="F7F8F9"/>
            <w:vAlign w:val="top"/>
          </w:tcPr>
          <w:p>
            <w:pPr>
              <w:spacing w:after="0"/>
            </w:pPr>
            <w:r>
              <w:rPr>
                <w:sz w:val="14"/>
              </w:rPr>
              <w:t>Named owner, preventive/detective controls, tested response and residual-risk review</w:t>
            </w:r>
          </w:p>
        </w:tc>
      </w:tr>
    </w:tbl>
    <w:p>
      <w:pPr>
        <w:spacing w:after="0"/>
      </w:pPr>
    </w:p>
    <w:p>
      <w:pPr>
        <w:pStyle w:val="Heading2"/>
      </w:pPr>
      <w:r>
        <w:t>6.17 Implementation Examples</w:t>
      </w:r>
    </w:p>
    <w:p>
      <w:r>
        <w:t>The package folder examples/retail contains a streaming pipeline, BigQuery industry interface, governed AI prompt and Terraform variables. The common folder contains the reusable regional landing and curated-data foundation.</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CREATE OR REPLACE VIEW `retail_semantic.inventory_availability` AS</w:t>
            </w:r>
          </w:p>
          <w:p>
            <w:pPr>
              <w:pStyle w:val="CodeBlock"/>
            </w:pPr>
            <w:r>
              <w:t>SELECT product_id, location_id, on_hand_qty-reserved_qty AS available_qty, promised_ts, source_freshness_ts</w:t>
            </w:r>
          </w:p>
          <w:p>
            <w:pPr>
              <w:pStyle w:val="CodeBlock"/>
            </w:pPr>
            <w:r>
              <w:t>FROM `retail_curated.inventory_position`</w:t>
            </w:r>
          </w:p>
          <w:p>
            <w:pPr>
              <w:pStyle w:val="CodeBlock"/>
            </w:pPr>
            <w:r>
              <w:t>WHERE quality_status='CERTIFIED';</w:t>
            </w:r>
          </w:p>
        </w:tc>
        <w:trPr>
          <w:tblHeader/>
        </w:trPr>
      </w:tr>
    </w:tbl>
    <w:p>
      <w:pPr>
        <w:spacing w:after="0"/>
      </w:pP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prompt_id: retail-industry-assistant-v1</w:t>
            </w:r>
          </w:p>
          <w:p>
            <w:pPr>
              <w:pStyle w:val="CodeBlock"/>
            </w:pPr>
            <w:r>
              <w:t>owner: retail-data-ai-product</w:t>
            </w:r>
          </w:p>
          <w:p>
            <w:pPr>
              <w:pStyle w:val="CodeBlock"/>
            </w:pPr>
            <w:r>
              <w:t>risk_tier: tier-2</w:t>
            </w:r>
          </w:p>
          <w:p>
            <w:pPr>
              <w:pStyle w:val="CodeBlock"/>
            </w:pPr>
            <w:r>
              <w:t>system_instruction: |</w:t>
            </w:r>
          </w:p>
          <w:p>
            <w:pPr>
              <w:pStyle w:val="CodeBlock"/>
            </w:pPr>
            <w:r>
              <w:t xml:space="preserve">  You are a shopping assistant. Use the approved catalog, policy and inventory context. Never invent availability, price or returns terms. Cite product and policy records. Require explicit confirmation before creating or changing an order.</w:t>
            </w:r>
          </w:p>
          <w:p>
            <w:pPr>
              <w:pStyle w:val="CodeBlock"/>
            </w:pPr>
            <w:r>
              <w:t>output_schema:</w:t>
            </w:r>
          </w:p>
          <w:p>
            <w:pPr>
              <w:pStyle w:val="CodeBlock"/>
            </w:pPr>
            <w:r>
              <w:t xml:space="preserve">  required: [answer, citations, confidence]</w:t>
            </w:r>
          </w:p>
          <w:p>
            <w:pPr>
              <w:pStyle w:val="CodeBlock"/>
            </w:pPr>
            <w:r>
              <w:t>rollback_version: retail-industry-assistant-v0</w:t>
            </w:r>
          </w:p>
        </w:tc>
        <w:trPr>
          <w:tblHeader/>
        </w:trPr>
      </w:tr>
    </w:tbl>
    <w:p>
      <w:pPr>
        <w:spacing w:after="0"/>
      </w:pPr>
    </w:p>
    <w:p>
      <w:pPr>
        <w:pStyle w:val="Heading2"/>
      </w:pPr>
      <w:r>
        <w:t>6.18 Industry Production Readiness</w:t>
      </w:r>
    </w:p>
    <w:p>
      <w:pPr>
        <w:pStyle w:val="ListBullet"/>
      </w:pPr>
      <w:r>
        <w:t>Regulatory scope and accountable industry control owners approved.</w:t>
      </w:r>
    </w:p>
    <w:p>
      <w:pPr>
        <w:pStyle w:val="ListBullet"/>
      </w:pPr>
      <w:r>
        <w:t>Source contracts, product interfaces, classification, quality and lineage complete.</w:t>
      </w:r>
    </w:p>
    <w:p>
      <w:pPr>
        <w:pStyle w:val="ListBullet"/>
      </w:pPr>
      <w:r>
        <w:t>Network, IAM, perimeter, KMS, tokenization/de-identification and audit paths tested.</w:t>
      </w:r>
    </w:p>
    <w:p>
      <w:pPr>
        <w:pStyle w:val="ListBullet"/>
      </w:pPr>
      <w:r>
        <w:t>Critical journeys meet SLO, load, quota, recovery and vendor-escalation criteria.</w:t>
      </w:r>
    </w:p>
    <w:p>
      <w:pPr>
        <w:pStyle w:val="ListBullet"/>
      </w:pPr>
      <w:r>
        <w:t>AI evaluation, prohibited uses, human oversight, monitoring and rollback approved.</w:t>
      </w:r>
    </w:p>
    <w:p>
      <w:pPr>
        <w:pStyle w:val="ListBullet"/>
      </w:pPr>
      <w:r>
        <w:t>Cost allocation, forecast and unit economics accepted by product and finance owners.</w:t>
      </w:r>
    </w:p>
    <w:p>
      <w:r>
        <w:br w:type="page"/>
      </w:r>
    </w:p>
    <w:p>
      <w:pPr>
        <w:pStyle w:val="Heading2"/>
      </w:pPr>
      <w:r>
        <w:t>6.19 Project and Dataset Topology</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Project / dataset</w:t>
            </w:r>
          </w:p>
        </w:tc>
        <w:tc>
          <w:tcPr>
            <w:tcW w:type="dxa" w:w="3383"/>
            <w:shd w:fill="174EA6"/>
          </w:tcPr>
          <w:p>
            <w:pPr>
              <w:spacing w:after="0"/>
            </w:pPr>
            <w:r>
              <w:rPr>
                <w:b/>
                <w:color w:val="FFFFFF"/>
                <w:sz w:val="14"/>
              </w:rPr>
              <w:t>Purpose</w:t>
            </w:r>
          </w:p>
        </w:tc>
        <w:tc>
          <w:tcPr>
            <w:tcW w:type="dxa" w:w="3383"/>
            <w:shd w:fill="174EA6"/>
          </w:tcPr>
          <w:p>
            <w:pPr>
              <w:spacing w:after="0"/>
            </w:pPr>
            <w:r>
              <w:rPr>
                <w:b/>
                <w:color w:val="FFFFFF"/>
                <w:sz w:val="14"/>
              </w:rPr>
              <w:t>Control boundary</w:t>
            </w:r>
          </w:p>
        </w:tc>
      </w:tr>
      <w:tr>
        <w:tc>
          <w:tcPr>
            <w:tcW w:type="dxa" w:w="3383"/>
            <w:vAlign w:val="top"/>
          </w:tcPr>
          <w:p>
            <w:pPr>
              <w:spacing w:after="0"/>
            </w:pPr>
            <w:r>
              <w:rPr>
                <w:sz w:val="14"/>
              </w:rPr>
              <w:t>prj-egcdp-&lt;region&gt;-retail-ing-prd</w:t>
            </w:r>
          </w:p>
        </w:tc>
        <w:tc>
          <w:tcPr>
            <w:tcW w:type="dxa" w:w="3383"/>
            <w:vAlign w:val="top"/>
          </w:tcPr>
          <w:p>
            <w:pPr>
              <w:spacing w:after="0"/>
            </w:pPr>
            <w:r>
              <w:rPr>
                <w:sz w:val="14"/>
              </w:rPr>
              <w:t>Industry ingestion, quarantine and source connectivity</w:t>
            </w:r>
          </w:p>
        </w:tc>
        <w:tc>
          <w:tcPr>
            <w:tcW w:type="dxa" w:w="3383"/>
            <w:vAlign w:val="top"/>
          </w:tcPr>
          <w:p>
            <w:pPr>
              <w:spacing w:after="0"/>
            </w:pPr>
            <w:r>
              <w:rPr>
                <w:sz w:val="14"/>
              </w:rPr>
              <w:t>Dedicated runtime identities, private network, perimeter and KMS</w:t>
            </w:r>
          </w:p>
        </w:tc>
      </w:tr>
      <w:tr>
        <w:tc>
          <w:tcPr>
            <w:tcW w:type="dxa" w:w="3383"/>
            <w:shd w:fill="F7F8F9"/>
            <w:vAlign w:val="top"/>
          </w:tcPr>
          <w:p>
            <w:pPr>
              <w:spacing w:after="0"/>
            </w:pPr>
            <w:r>
              <w:rPr>
                <w:sz w:val="14"/>
              </w:rPr>
              <w:t>prj-egcdp-&lt;region&gt;-retail-data-prd</w:t>
            </w:r>
          </w:p>
        </w:tc>
        <w:tc>
          <w:tcPr>
            <w:tcW w:type="dxa" w:w="3383"/>
            <w:shd w:fill="F7F8F9"/>
            <w:vAlign w:val="top"/>
          </w:tcPr>
          <w:p>
            <w:pPr>
              <w:spacing w:after="0"/>
            </w:pPr>
            <w:r>
              <w:rPr>
                <w:sz w:val="14"/>
              </w:rPr>
              <w:t>Standardized and curated domain products</w:t>
            </w:r>
          </w:p>
        </w:tc>
        <w:tc>
          <w:tcPr>
            <w:tcW w:type="dxa" w:w="3383"/>
            <w:shd w:fill="F7F8F9"/>
            <w:vAlign w:val="top"/>
          </w:tcPr>
          <w:p>
            <w:pPr>
              <w:spacing w:after="0"/>
            </w:pPr>
            <w:r>
              <w:rPr>
                <w:sz w:val="14"/>
              </w:rPr>
              <w:t>Domain owner, classification, contract, policy tags and cost labels</w:t>
            </w:r>
          </w:p>
        </w:tc>
      </w:tr>
      <w:tr>
        <w:tc>
          <w:tcPr>
            <w:tcW w:type="dxa" w:w="3383"/>
            <w:vAlign w:val="top"/>
          </w:tcPr>
          <w:p>
            <w:pPr>
              <w:spacing w:after="0"/>
            </w:pPr>
            <w:r>
              <w:rPr>
                <w:sz w:val="14"/>
              </w:rPr>
              <w:t>prj-egcdp-&lt;region&gt;-retail-ai-prd</w:t>
            </w:r>
          </w:p>
        </w:tc>
        <w:tc>
          <w:tcPr>
            <w:tcW w:type="dxa" w:w="3383"/>
            <w:vAlign w:val="top"/>
          </w:tcPr>
          <w:p>
            <w:pPr>
              <w:spacing w:after="0"/>
            </w:pPr>
            <w:r>
              <w:rPr>
                <w:sz w:val="14"/>
              </w:rPr>
              <w:t>Approved models, prompts, corpora/indexes and agents</w:t>
            </w:r>
          </w:p>
        </w:tc>
        <w:tc>
          <w:tcPr>
            <w:tcW w:type="dxa" w:w="3383"/>
            <w:vAlign w:val="top"/>
          </w:tcPr>
          <w:p>
            <w:pPr>
              <w:spacing w:after="0"/>
            </w:pPr>
            <w:r>
              <w:rPr>
                <w:sz w:val="14"/>
              </w:rPr>
              <w:t>AI risk tier, evaluation, model/tool allowlist and rollback</w:t>
            </w:r>
          </w:p>
        </w:tc>
      </w:tr>
      <w:tr>
        <w:tc>
          <w:tcPr>
            <w:tcW w:type="dxa" w:w="3383"/>
            <w:shd w:fill="F7F8F9"/>
            <w:vAlign w:val="top"/>
          </w:tcPr>
          <w:p>
            <w:pPr>
              <w:spacing w:after="0"/>
            </w:pPr>
            <w:r>
              <w:rPr>
                <w:sz w:val="14"/>
              </w:rPr>
              <w:t>retail_landing / quarantine</w:t>
            </w:r>
          </w:p>
        </w:tc>
        <w:tc>
          <w:tcPr>
            <w:tcW w:type="dxa" w:w="3383"/>
            <w:shd w:fill="F7F8F9"/>
            <w:vAlign w:val="top"/>
          </w:tcPr>
          <w:p>
            <w:pPr>
              <w:spacing w:after="0"/>
            </w:pPr>
            <w:r>
              <w:rPr>
                <w:sz w:val="14"/>
              </w:rPr>
              <w:t>Immutable source and rejected records</w:t>
            </w:r>
          </w:p>
        </w:tc>
        <w:tc>
          <w:tcPr>
            <w:tcW w:type="dxa" w:w="3383"/>
            <w:shd w:fill="F7F8F9"/>
            <w:vAlign w:val="top"/>
          </w:tcPr>
          <w:p>
            <w:pPr>
              <w:spacing w:after="0"/>
            </w:pPr>
            <w:r>
              <w:rPr>
                <w:sz w:val="14"/>
              </w:rPr>
              <w:t>Restricted operators, retention, legal hold and replay evidence</w:t>
            </w:r>
          </w:p>
        </w:tc>
      </w:tr>
      <w:tr>
        <w:tc>
          <w:tcPr>
            <w:tcW w:type="dxa" w:w="3383"/>
            <w:vAlign w:val="top"/>
          </w:tcPr>
          <w:p>
            <w:pPr>
              <w:spacing w:after="0"/>
            </w:pPr>
            <w:r>
              <w:rPr>
                <w:sz w:val="14"/>
              </w:rPr>
              <w:t>retail_standardized</w:t>
            </w:r>
          </w:p>
        </w:tc>
        <w:tc>
          <w:tcPr>
            <w:tcW w:type="dxa" w:w="3383"/>
            <w:vAlign w:val="top"/>
          </w:tcPr>
          <w:p>
            <w:pPr>
              <w:spacing w:after="0"/>
            </w:pPr>
            <w:r>
              <w:rPr>
                <w:sz w:val="14"/>
              </w:rPr>
              <w:t>Canonical industry entities and source-aligned history</w:t>
            </w:r>
          </w:p>
        </w:tc>
        <w:tc>
          <w:tcPr>
            <w:tcW w:type="dxa" w:w="3383"/>
            <w:vAlign w:val="top"/>
          </w:tcPr>
          <w:p>
            <w:pPr>
              <w:spacing w:after="0"/>
            </w:pPr>
            <w:r>
              <w:rPr>
                <w:sz w:val="14"/>
              </w:rPr>
              <w:t>Schema/version, event/validity time and quality results</w:t>
            </w:r>
          </w:p>
        </w:tc>
      </w:tr>
      <w:tr>
        <w:tc>
          <w:tcPr>
            <w:tcW w:type="dxa" w:w="3383"/>
            <w:shd w:fill="F7F8F9"/>
            <w:vAlign w:val="top"/>
          </w:tcPr>
          <w:p>
            <w:pPr>
              <w:spacing w:after="0"/>
            </w:pPr>
            <w:r>
              <w:rPr>
                <w:sz w:val="14"/>
              </w:rPr>
              <w:t>retail_curated / semantic</w:t>
            </w:r>
          </w:p>
        </w:tc>
        <w:tc>
          <w:tcPr>
            <w:tcW w:type="dxa" w:w="3383"/>
            <w:shd w:fill="F7F8F9"/>
            <w:vAlign w:val="top"/>
          </w:tcPr>
          <w:p>
            <w:pPr>
              <w:spacing w:after="0"/>
            </w:pPr>
            <w:r>
              <w:rPr>
                <w:sz w:val="14"/>
              </w:rPr>
              <w:t>Certified products and consumption interfaces</w:t>
            </w:r>
          </w:p>
        </w:tc>
        <w:tc>
          <w:tcPr>
            <w:tcW w:type="dxa" w:w="3383"/>
            <w:shd w:fill="F7F8F9"/>
            <w:vAlign w:val="top"/>
          </w:tcPr>
          <w:p>
            <w:pPr>
              <w:spacing w:after="0"/>
            </w:pPr>
            <w:r>
              <w:rPr>
                <w:sz w:val="14"/>
              </w:rPr>
              <w:t>Owner, SLO, authorized views and semantic governance</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Topology rule - </w:t>
            </w:r>
            <w:r>
              <w:t>Project and dataset boundaries follow region, environment, industry domain, classification, blast radius and ownership. One global project is prohibited for Restricted or Regulated production data.</w:t>
            </w:r>
          </w:p>
        </w:tc>
        <w:trPr>
          <w:tblHeader/>
        </w:trPr>
      </w:tr>
    </w:tbl>
    <w:p>
      <w:pPr>
        <w:spacing w:after="0"/>
      </w:pPr>
    </w:p>
    <w:p>
      <w:r>
        <w:br w:type="page"/>
      </w:r>
    </w:p>
    <w:p>
      <w:pPr>
        <w:pStyle w:val="Heading2"/>
      </w:pPr>
      <w:r>
        <w:t>6.20 Source-to-Product Mapping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Source</w:t>
            </w:r>
          </w:p>
        </w:tc>
        <w:tc>
          <w:tcPr>
            <w:tcW w:type="dxa" w:w="2030"/>
            <w:shd w:fill="174EA6"/>
          </w:tcPr>
          <w:p>
            <w:pPr>
              <w:spacing w:after="0"/>
            </w:pPr>
            <w:r>
              <w:rPr>
                <w:b/>
                <w:color w:val="FFFFFF"/>
                <w:sz w:val="13"/>
              </w:rPr>
              <w:t>Ingestion pattern</w:t>
            </w:r>
          </w:p>
        </w:tc>
        <w:tc>
          <w:tcPr>
            <w:tcW w:type="dxa" w:w="2030"/>
            <w:shd w:fill="174EA6"/>
          </w:tcPr>
          <w:p>
            <w:pPr>
              <w:spacing w:after="0"/>
            </w:pPr>
            <w:r>
              <w:rPr>
                <w:b/>
                <w:color w:val="FFFFFF"/>
                <w:sz w:val="13"/>
              </w:rPr>
              <w:t>Target product</w:t>
            </w:r>
          </w:p>
        </w:tc>
        <w:tc>
          <w:tcPr>
            <w:tcW w:type="dxa" w:w="2030"/>
            <w:shd w:fill="174EA6"/>
          </w:tcPr>
          <w:p>
            <w:pPr>
              <w:spacing w:after="0"/>
            </w:pPr>
            <w:r>
              <w:rPr>
                <w:b/>
                <w:color w:val="FFFFFF"/>
                <w:sz w:val="13"/>
              </w:rPr>
              <w:t>Validation</w:t>
            </w:r>
          </w:p>
        </w:tc>
        <w:tc>
          <w:tcPr>
            <w:tcW w:type="dxa" w:w="2030"/>
            <w:shd w:fill="174EA6"/>
          </w:tcPr>
          <w:p>
            <w:pPr>
              <w:spacing w:after="0"/>
            </w:pPr>
            <w:r>
              <w:rPr>
                <w:b/>
                <w:color w:val="FFFFFF"/>
                <w:sz w:val="13"/>
              </w:rPr>
              <w:t>Tier</w:t>
            </w:r>
          </w:p>
        </w:tc>
      </w:tr>
      <w:tr>
        <w:tc>
          <w:tcPr>
            <w:tcW w:type="dxa" w:w="2030"/>
            <w:vAlign w:val="top"/>
          </w:tcPr>
          <w:p>
            <w:pPr>
              <w:spacing w:after="0"/>
            </w:pPr>
            <w:r>
              <w:rPr>
                <w:sz w:val="13"/>
              </w:rPr>
              <w:t>Point-of-sale systems</w:t>
            </w:r>
          </w:p>
        </w:tc>
        <w:tc>
          <w:tcPr>
            <w:tcW w:type="dxa" w:w="2030"/>
            <w:vAlign w:val="top"/>
          </w:tcPr>
          <w:p>
            <w:pPr>
              <w:spacing w:after="0"/>
            </w:pPr>
            <w:r>
              <w:rPr>
                <w:sz w:val="13"/>
              </w:rPr>
              <w:t>Pub/Sub/Dataflow streaming</w:t>
            </w:r>
          </w:p>
        </w:tc>
        <w:tc>
          <w:tcPr>
            <w:tcW w:type="dxa" w:w="2030"/>
            <w:vAlign w:val="top"/>
          </w:tcPr>
          <w:p>
            <w:pPr>
              <w:spacing w:after="0"/>
            </w:pPr>
            <w:r>
              <w:rPr>
                <w:sz w:val="13"/>
              </w:rPr>
              <w:t>Customer and consent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E-commerce and mobile events</w:t>
            </w:r>
          </w:p>
        </w:tc>
        <w:tc>
          <w:tcPr>
            <w:tcW w:type="dxa" w:w="2030"/>
            <w:shd w:fill="F7F8F9"/>
            <w:vAlign w:val="top"/>
          </w:tcPr>
          <w:p>
            <w:pPr>
              <w:spacing w:after="0"/>
            </w:pPr>
            <w:r>
              <w:rPr>
                <w:sz w:val="13"/>
              </w:rPr>
              <w:t>Datastream CDC</w:t>
            </w:r>
          </w:p>
        </w:tc>
        <w:tc>
          <w:tcPr>
            <w:tcW w:type="dxa" w:w="2030"/>
            <w:shd w:fill="F7F8F9"/>
            <w:vAlign w:val="top"/>
          </w:tcPr>
          <w:p>
            <w:pPr>
              <w:spacing w:after="0"/>
            </w:pPr>
            <w:r>
              <w:rPr>
                <w:sz w:val="13"/>
              </w:rPr>
              <w:t>Product and catalog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Product information and digital asset systems</w:t>
            </w:r>
          </w:p>
        </w:tc>
        <w:tc>
          <w:tcPr>
            <w:tcW w:type="dxa" w:w="2030"/>
            <w:vAlign w:val="top"/>
          </w:tcPr>
          <w:p>
            <w:pPr>
              <w:spacing w:after="0"/>
            </w:pPr>
            <w:r>
              <w:rPr>
                <w:sz w:val="13"/>
              </w:rPr>
              <w:t>Cloud Storage/API batch</w:t>
            </w:r>
          </w:p>
        </w:tc>
        <w:tc>
          <w:tcPr>
            <w:tcW w:type="dxa" w:w="2030"/>
            <w:vAlign w:val="top"/>
          </w:tcPr>
          <w:p>
            <w:pPr>
              <w:spacing w:after="0"/>
            </w:pPr>
            <w:r>
              <w:rPr>
                <w:sz w:val="13"/>
              </w:rPr>
              <w:t>Price and promotion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Order management and fulfillment</w:t>
            </w:r>
          </w:p>
        </w:tc>
        <w:tc>
          <w:tcPr>
            <w:tcW w:type="dxa" w:w="2030"/>
            <w:shd w:fill="F7F8F9"/>
            <w:vAlign w:val="top"/>
          </w:tcPr>
          <w:p>
            <w:pPr>
              <w:spacing w:after="0"/>
            </w:pPr>
            <w:r>
              <w:rPr>
                <w:sz w:val="13"/>
              </w:rPr>
              <w:t>Pub/Sub/Dataflow streaming</w:t>
            </w:r>
          </w:p>
        </w:tc>
        <w:tc>
          <w:tcPr>
            <w:tcW w:type="dxa" w:w="2030"/>
            <w:shd w:fill="F7F8F9"/>
            <w:vAlign w:val="top"/>
          </w:tcPr>
          <w:p>
            <w:pPr>
              <w:spacing w:after="0"/>
            </w:pPr>
            <w:r>
              <w:rPr>
                <w:sz w:val="13"/>
              </w:rPr>
              <w:t>Store and channel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Inventory and warehouse systems</w:t>
            </w:r>
          </w:p>
        </w:tc>
        <w:tc>
          <w:tcPr>
            <w:tcW w:type="dxa" w:w="2030"/>
            <w:vAlign w:val="top"/>
          </w:tcPr>
          <w:p>
            <w:pPr>
              <w:spacing w:after="0"/>
            </w:pPr>
            <w:r>
              <w:rPr>
                <w:sz w:val="13"/>
              </w:rPr>
              <w:t>Datastream CDC</w:t>
            </w:r>
          </w:p>
        </w:tc>
        <w:tc>
          <w:tcPr>
            <w:tcW w:type="dxa" w:w="2030"/>
            <w:vAlign w:val="top"/>
          </w:tcPr>
          <w:p>
            <w:pPr>
              <w:spacing w:after="0"/>
            </w:pPr>
            <w:r>
              <w:rPr>
                <w:sz w:val="13"/>
              </w:rPr>
              <w:t>Order and fulfillment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Loyalty and CRM platforms</w:t>
            </w:r>
          </w:p>
        </w:tc>
        <w:tc>
          <w:tcPr>
            <w:tcW w:type="dxa" w:w="2030"/>
            <w:shd w:fill="F7F8F9"/>
            <w:vAlign w:val="top"/>
          </w:tcPr>
          <w:p>
            <w:pPr>
              <w:spacing w:after="0"/>
            </w:pPr>
            <w:r>
              <w:rPr>
                <w:sz w:val="13"/>
              </w:rPr>
              <w:t>Cloud Storage/API batch</w:t>
            </w:r>
          </w:p>
        </w:tc>
        <w:tc>
          <w:tcPr>
            <w:tcW w:type="dxa" w:w="2030"/>
            <w:shd w:fill="F7F8F9"/>
            <w:vAlign w:val="top"/>
          </w:tcPr>
          <w:p>
            <w:pPr>
              <w:spacing w:after="0"/>
            </w:pPr>
            <w:r>
              <w:rPr>
                <w:sz w:val="13"/>
              </w:rPr>
              <w:t>Inventory availability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Payment and fraud providers</w:t>
            </w:r>
          </w:p>
        </w:tc>
        <w:tc>
          <w:tcPr>
            <w:tcW w:type="dxa" w:w="2030"/>
            <w:vAlign w:val="top"/>
          </w:tcPr>
          <w:p>
            <w:pPr>
              <w:spacing w:after="0"/>
            </w:pPr>
            <w:r>
              <w:rPr>
                <w:sz w:val="13"/>
              </w:rPr>
              <w:t>Pub/Sub/Dataflow streaming</w:t>
            </w:r>
          </w:p>
        </w:tc>
        <w:tc>
          <w:tcPr>
            <w:tcW w:type="dxa" w:w="2030"/>
            <w:vAlign w:val="top"/>
          </w:tcPr>
          <w:p>
            <w:pPr>
              <w:spacing w:after="0"/>
            </w:pPr>
            <w:r>
              <w:rPr>
                <w:sz w:val="13"/>
              </w:rPr>
              <w:t>Digital interaction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Supplier, procurement and logistics feeds</w:t>
            </w:r>
          </w:p>
        </w:tc>
        <w:tc>
          <w:tcPr>
            <w:tcW w:type="dxa" w:w="2030"/>
            <w:shd w:fill="F7F8F9"/>
            <w:vAlign w:val="top"/>
          </w:tcPr>
          <w:p>
            <w:pPr>
              <w:spacing w:after="0"/>
            </w:pPr>
            <w:r>
              <w:rPr>
                <w:sz w:val="13"/>
              </w:rPr>
              <w:t>Datastream CDC</w:t>
            </w:r>
          </w:p>
        </w:tc>
        <w:tc>
          <w:tcPr>
            <w:tcW w:type="dxa" w:w="2030"/>
            <w:shd w:fill="F7F8F9"/>
            <w:vAlign w:val="top"/>
          </w:tcPr>
          <w:p>
            <w:pPr>
              <w:spacing w:after="0"/>
            </w:pPr>
            <w:r>
              <w:rPr>
                <w:sz w:val="13"/>
              </w:rPr>
              <w:t>Supplier and purchase-order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Store IoT and workforce systems</w:t>
            </w:r>
          </w:p>
        </w:tc>
        <w:tc>
          <w:tcPr>
            <w:tcW w:type="dxa" w:w="2030"/>
            <w:vAlign w:val="top"/>
          </w:tcPr>
          <w:p>
            <w:pPr>
              <w:spacing w:after="0"/>
            </w:pPr>
            <w:r>
              <w:rPr>
                <w:sz w:val="13"/>
              </w:rPr>
              <w:t>Cloud Storage/API batch</w:t>
            </w:r>
          </w:p>
        </w:tc>
        <w:tc>
          <w:tcPr>
            <w:tcW w:type="dxa" w:w="2030"/>
            <w:vAlign w:val="top"/>
          </w:tcPr>
          <w:p>
            <w:pPr>
              <w:spacing w:after="0"/>
            </w:pPr>
            <w:r>
              <w:rPr>
                <w:sz w:val="13"/>
              </w:rPr>
              <w:t>Demand signal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Marketing and experimentation platforms</w:t>
            </w:r>
          </w:p>
        </w:tc>
        <w:tc>
          <w:tcPr>
            <w:tcW w:type="dxa" w:w="2030"/>
            <w:shd w:fill="F7F8F9"/>
            <w:vAlign w:val="top"/>
          </w:tcPr>
          <w:p>
            <w:pPr>
              <w:spacing w:after="0"/>
            </w:pPr>
            <w:r>
              <w:rPr>
                <w:sz w:val="13"/>
              </w:rPr>
              <w:t>Pub/Sub/Dataflow streaming</w:t>
            </w:r>
          </w:p>
        </w:tc>
        <w:tc>
          <w:tcPr>
            <w:tcW w:type="dxa" w:w="2030"/>
            <w:shd w:fill="F7F8F9"/>
            <w:vAlign w:val="top"/>
          </w:tcPr>
          <w:p>
            <w:pPr>
              <w:spacing w:after="0"/>
            </w:pPr>
            <w:r>
              <w:rPr>
                <w:sz w:val="13"/>
              </w:rPr>
              <w:t>Payment token and fraud signal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bl>
    <w:p>
      <w:pPr>
        <w:spacing w:after="0"/>
      </w:pPr>
    </w:p>
    <w:p>
      <w:r>
        <w:br w:type="page"/>
      </w:r>
    </w:p>
    <w:p>
      <w:pPr>
        <w:pStyle w:val="Heading2"/>
      </w:pPr>
      <w:r>
        <w:t>6.21 Detailed Data-Product Contract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Contract section</w:t>
            </w:r>
          </w:p>
        </w:tc>
        <w:tc>
          <w:tcPr>
            <w:tcW w:type="dxa" w:w="5074"/>
            <w:shd w:fill="174EA6"/>
          </w:tcPr>
          <w:p>
            <w:pPr>
              <w:spacing w:after="0"/>
            </w:pPr>
            <w:r>
              <w:rPr>
                <w:b/>
                <w:color w:val="FFFFFF"/>
                <w:sz w:val="14"/>
              </w:rPr>
              <w:t>Industry specification</w:t>
            </w:r>
          </w:p>
        </w:tc>
      </w:tr>
      <w:tr>
        <w:tc>
          <w:tcPr>
            <w:tcW w:type="dxa" w:w="5074"/>
            <w:vAlign w:val="top"/>
          </w:tcPr>
          <w:p>
            <w:pPr>
              <w:spacing w:after="0"/>
            </w:pPr>
            <w:r>
              <w:rPr>
                <w:sz w:val="14"/>
              </w:rPr>
              <w:t>Product identity</w:t>
            </w:r>
          </w:p>
        </w:tc>
        <w:tc>
          <w:tcPr>
            <w:tcW w:type="dxa" w:w="5074"/>
            <w:vAlign w:val="top"/>
          </w:tcPr>
          <w:p>
            <w:pPr>
              <w:spacing w:after="0"/>
            </w:pPr>
            <w:r>
              <w:rPr>
                <w:sz w:val="14"/>
              </w:rPr>
              <w:t>retail.customer-and-consent-product.v1; accountable domain product owner and steward</w:t>
            </w:r>
          </w:p>
        </w:tc>
      </w:tr>
      <w:tr>
        <w:tc>
          <w:tcPr>
            <w:tcW w:type="dxa" w:w="5074"/>
            <w:shd w:fill="F7F8F9"/>
            <w:vAlign w:val="top"/>
          </w:tcPr>
          <w:p>
            <w:pPr>
              <w:spacing w:after="0"/>
            </w:pPr>
            <w:r>
              <w:rPr>
                <w:sz w:val="14"/>
              </w:rPr>
              <w:t>Entities and grain</w:t>
            </w:r>
          </w:p>
        </w:tc>
        <w:tc>
          <w:tcPr>
            <w:tcW w:type="dxa" w:w="5074"/>
            <w:shd w:fill="F7F8F9"/>
            <w:vAlign w:val="top"/>
          </w:tcPr>
          <w:p>
            <w:pPr>
              <w:spacing w:after="0"/>
            </w:pPr>
            <w:r>
              <w:rPr>
                <w:sz w:val="14"/>
              </w:rPr>
              <w:t>Business entity, stable key, event/validity timestamps, source identifier and record version</w:t>
            </w:r>
          </w:p>
        </w:tc>
      </w:tr>
      <w:tr>
        <w:tc>
          <w:tcPr>
            <w:tcW w:type="dxa" w:w="5074"/>
            <w:vAlign w:val="top"/>
          </w:tcPr>
          <w:p>
            <w:pPr>
              <w:spacing w:after="0"/>
            </w:pPr>
            <w:r>
              <w:rPr>
                <w:sz w:val="14"/>
              </w:rPr>
              <w:t>Classification</w:t>
            </w:r>
          </w:p>
        </w:tc>
        <w:tc>
          <w:tcPr>
            <w:tcW w:type="dxa" w:w="5074"/>
            <w:vAlign w:val="top"/>
          </w:tcPr>
          <w:p>
            <w:pPr>
              <w:spacing w:after="0"/>
            </w:pPr>
            <w:r>
              <w:rPr>
                <w:sz w:val="14"/>
              </w:rPr>
              <w:t>Highest applicable industry class; Restricted/Regulated detail separated from broader analytical views</w:t>
            </w:r>
          </w:p>
        </w:tc>
      </w:tr>
      <w:tr>
        <w:tc>
          <w:tcPr>
            <w:tcW w:type="dxa" w:w="5074"/>
            <w:shd w:fill="F7F8F9"/>
            <w:vAlign w:val="top"/>
          </w:tcPr>
          <w:p>
            <w:pPr>
              <w:spacing w:after="0"/>
            </w:pPr>
            <w:r>
              <w:rPr>
                <w:sz w:val="14"/>
              </w:rPr>
              <w:t>Quality</w:t>
            </w:r>
          </w:p>
        </w:tc>
        <w:tc>
          <w:tcPr>
            <w:tcW w:type="dxa" w:w="5074"/>
            <w:shd w:fill="F7F8F9"/>
            <w:vAlign w:val="top"/>
          </w:tcPr>
          <w:p>
            <w:pPr>
              <w:spacing w:after="0"/>
            </w:pPr>
            <w:r>
              <w:rPr>
                <w:sz w:val="14"/>
              </w:rPr>
              <w:t>Critical keys non-null, uniqueness, referential integrity, validity, freshness and business reconciliation</w:t>
            </w:r>
          </w:p>
        </w:tc>
      </w:tr>
      <w:tr>
        <w:tc>
          <w:tcPr>
            <w:tcW w:type="dxa" w:w="5074"/>
            <w:vAlign w:val="top"/>
          </w:tcPr>
          <w:p>
            <w:pPr>
              <w:spacing w:after="0"/>
            </w:pPr>
            <w:r>
              <w:rPr>
                <w:sz w:val="14"/>
              </w:rPr>
              <w:t>Reliability</w:t>
            </w:r>
          </w:p>
        </w:tc>
        <w:tc>
          <w:tcPr>
            <w:tcW w:type="dxa" w:w="5074"/>
            <w:vAlign w:val="top"/>
          </w:tcPr>
          <w:p>
            <w:pPr>
              <w:spacing w:after="0"/>
            </w:pPr>
            <w:r>
              <w:rPr>
                <w:sz w:val="14"/>
              </w:rPr>
              <w:t>Tier-defined availability/freshness, RTO/RPO, replay interval and degraded mode</w:t>
            </w:r>
          </w:p>
        </w:tc>
      </w:tr>
      <w:tr>
        <w:tc>
          <w:tcPr>
            <w:tcW w:type="dxa" w:w="5074"/>
            <w:shd w:fill="F7F8F9"/>
            <w:vAlign w:val="top"/>
          </w:tcPr>
          <w:p>
            <w:pPr>
              <w:spacing w:after="0"/>
            </w:pPr>
            <w:r>
              <w:rPr>
                <w:sz w:val="14"/>
              </w:rPr>
              <w:t>Access</w:t>
            </w:r>
          </w:p>
        </w:tc>
        <w:tc>
          <w:tcPr>
            <w:tcW w:type="dxa" w:w="5074"/>
            <w:shd w:fill="F7F8F9"/>
            <w:vAlign w:val="top"/>
          </w:tcPr>
          <w:p>
            <w:pPr>
              <w:spacing w:after="0"/>
            </w:pPr>
            <w:r>
              <w:rPr>
                <w:sz w:val="14"/>
              </w:rPr>
              <w:t>Purpose-specific groups, service identities, authorized views/policies and approval workflow</w:t>
            </w:r>
          </w:p>
        </w:tc>
      </w:tr>
      <w:tr>
        <w:tc>
          <w:tcPr>
            <w:tcW w:type="dxa" w:w="5074"/>
            <w:vAlign w:val="top"/>
          </w:tcPr>
          <w:p>
            <w:pPr>
              <w:spacing w:after="0"/>
            </w:pPr>
            <w:r>
              <w:rPr>
                <w:sz w:val="14"/>
              </w:rPr>
              <w:t>Lifecycle</w:t>
            </w:r>
          </w:p>
        </w:tc>
        <w:tc>
          <w:tcPr>
            <w:tcW w:type="dxa" w:w="5074"/>
            <w:vAlign w:val="top"/>
          </w:tcPr>
          <w:p>
            <w:pPr>
              <w:spacing w:after="0"/>
            </w:pPr>
            <w:r>
              <w:rPr>
                <w:sz w:val="14"/>
              </w:rPr>
              <w:t>Retention, legal hold, deletion, deprecation and derived-artifact propagation</w:t>
            </w:r>
          </w:p>
        </w:tc>
      </w:tr>
      <w:tr>
        <w:tc>
          <w:tcPr>
            <w:tcW w:type="dxa" w:w="5074"/>
            <w:shd w:fill="F7F8F9"/>
            <w:vAlign w:val="top"/>
          </w:tcPr>
          <w:p>
            <w:pPr>
              <w:spacing w:after="0"/>
            </w:pPr>
            <w:r>
              <w:rPr>
                <w:sz w:val="14"/>
              </w:rPr>
              <w:t>Economics</w:t>
            </w:r>
          </w:p>
        </w:tc>
        <w:tc>
          <w:tcPr>
            <w:tcW w:type="dxa" w:w="5074"/>
            <w:shd w:fill="F7F8F9"/>
            <w:vAlign w:val="top"/>
          </w:tcPr>
          <w:p>
            <w:pPr>
              <w:spacing w:after="0"/>
            </w:pPr>
            <w:r>
              <w:rPr>
                <w:sz w:val="14"/>
              </w:rPr>
              <w:t>Product budget, forecast, cost center and unit-cost denominator</w:t>
            </w:r>
          </w:p>
        </w:tc>
      </w:tr>
      <w:tr>
        <w:tc>
          <w:tcPr>
            <w:tcW w:type="dxa" w:w="5074"/>
            <w:vAlign w:val="top"/>
          </w:tcPr>
          <w:p>
            <w:pPr>
              <w:spacing w:after="0"/>
            </w:pPr>
            <w:r>
              <w:rPr>
                <w:sz w:val="14"/>
              </w:rPr>
              <w:t>Evidence</w:t>
            </w:r>
          </w:p>
        </w:tc>
        <w:tc>
          <w:tcPr>
            <w:tcW w:type="dxa" w:w="5074"/>
            <w:vAlign w:val="top"/>
          </w:tcPr>
          <w:p>
            <w:pPr>
              <w:spacing w:after="0"/>
            </w:pPr>
            <w:r>
              <w:rPr>
                <w:sz w:val="14"/>
              </w:rPr>
              <w:t>Source-to-product lineage, run/model/prompt/index versions, quality and approval records</w:t>
            </w:r>
          </w:p>
        </w:tc>
      </w:tr>
    </w:tbl>
    <w:p>
      <w:pPr>
        <w:spacing w:after="0"/>
      </w:pPr>
    </w:p>
    <w:p>
      <w:r>
        <w:br w:type="page"/>
      </w:r>
    </w:p>
    <w:p>
      <w:pPr>
        <w:pStyle w:val="Heading2"/>
      </w:pPr>
      <w:r>
        <w:t>6.22 Ingestion, Reconciliation and Exception Controls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Control stage</w:t>
            </w:r>
          </w:p>
        </w:tc>
        <w:tc>
          <w:tcPr>
            <w:tcW w:type="dxa" w:w="3383"/>
            <w:shd w:fill="174EA6"/>
          </w:tcPr>
          <w:p>
            <w:pPr>
              <w:spacing w:after="0"/>
            </w:pPr>
            <w:r>
              <w:rPr>
                <w:b/>
                <w:color w:val="FFFFFF"/>
                <w:sz w:val="14"/>
              </w:rPr>
              <w:t>Required tests</w:t>
            </w:r>
          </w:p>
        </w:tc>
        <w:tc>
          <w:tcPr>
            <w:tcW w:type="dxa" w:w="3383"/>
            <w:shd w:fill="174EA6"/>
          </w:tcPr>
          <w:p>
            <w:pPr>
              <w:spacing w:after="0"/>
            </w:pPr>
            <w:r>
              <w:rPr>
                <w:b/>
                <w:color w:val="FFFFFF"/>
                <w:sz w:val="14"/>
              </w:rPr>
              <w:t>Failure action</w:t>
            </w:r>
          </w:p>
        </w:tc>
      </w:tr>
      <w:tr>
        <w:tc>
          <w:tcPr>
            <w:tcW w:type="dxa" w:w="3383"/>
            <w:vAlign w:val="top"/>
          </w:tcPr>
          <w:p>
            <w:pPr>
              <w:spacing w:after="0"/>
            </w:pPr>
            <w:r>
              <w:rPr>
                <w:sz w:val="14"/>
              </w:rPr>
              <w:t>Source authorization</w:t>
            </w:r>
          </w:p>
        </w:tc>
        <w:tc>
          <w:tcPr>
            <w:tcW w:type="dxa" w:w="3383"/>
            <w:vAlign w:val="top"/>
          </w:tcPr>
          <w:p>
            <w:pPr>
              <w:spacing w:after="0"/>
            </w:pPr>
            <w:r>
              <w:rPr>
                <w:sz w:val="14"/>
              </w:rPr>
              <w:t>Identity, private path, certificate/secret and approved source scope</w:t>
            </w:r>
          </w:p>
        </w:tc>
        <w:tc>
          <w:tcPr>
            <w:tcW w:type="dxa" w:w="3383"/>
            <w:vAlign w:val="top"/>
          </w:tcPr>
          <w:p>
            <w:pPr>
              <w:spacing w:after="0"/>
            </w:pPr>
            <w:r>
              <w:rPr>
                <w:sz w:val="14"/>
              </w:rPr>
              <w:t>Reject and open security/connection incident</w:t>
            </w:r>
          </w:p>
        </w:tc>
      </w:tr>
      <w:tr>
        <w:tc>
          <w:tcPr>
            <w:tcW w:type="dxa" w:w="3383"/>
            <w:shd w:fill="F7F8F9"/>
            <w:vAlign w:val="top"/>
          </w:tcPr>
          <w:p>
            <w:pPr>
              <w:spacing w:after="0"/>
            </w:pPr>
            <w:r>
              <w:rPr>
                <w:sz w:val="14"/>
              </w:rPr>
              <w:t>Arrival / event contract</w:t>
            </w:r>
          </w:p>
        </w:tc>
        <w:tc>
          <w:tcPr>
            <w:tcW w:type="dxa" w:w="3383"/>
            <w:shd w:fill="F7F8F9"/>
            <w:vAlign w:val="top"/>
          </w:tcPr>
          <w:p>
            <w:pPr>
              <w:spacing w:after="0"/>
            </w:pPr>
            <w:r>
              <w:rPr>
                <w:sz w:val="14"/>
              </w:rPr>
              <w:t>Manifest/checksum or message schema, event ID and timestamp</w:t>
            </w:r>
          </w:p>
        </w:tc>
        <w:tc>
          <w:tcPr>
            <w:tcW w:type="dxa" w:w="3383"/>
            <w:shd w:fill="F7F8F9"/>
            <w:vAlign w:val="top"/>
          </w:tcPr>
          <w:p>
            <w:pPr>
              <w:spacing w:after="0"/>
            </w:pPr>
            <w:r>
              <w:rPr>
                <w:sz w:val="14"/>
              </w:rPr>
              <w:t>Quarantine or dead-letter; no silent drop</w:t>
            </w:r>
          </w:p>
        </w:tc>
      </w:tr>
      <w:tr>
        <w:tc>
          <w:tcPr>
            <w:tcW w:type="dxa" w:w="3383"/>
            <w:vAlign w:val="top"/>
          </w:tcPr>
          <w:p>
            <w:pPr>
              <w:spacing w:after="0"/>
            </w:pPr>
            <w:r>
              <w:rPr>
                <w:sz w:val="14"/>
              </w:rPr>
              <w:t>Standardization</w:t>
            </w:r>
          </w:p>
        </w:tc>
        <w:tc>
          <w:tcPr>
            <w:tcW w:type="dxa" w:w="3383"/>
            <w:vAlign w:val="top"/>
          </w:tcPr>
          <w:p>
            <w:pPr>
              <w:spacing w:after="0"/>
            </w:pPr>
            <w:r>
              <w:rPr>
                <w:sz w:val="14"/>
              </w:rPr>
              <w:t>Type, code set, canonical entity, duplicate and late-data behavior</w:t>
            </w:r>
          </w:p>
        </w:tc>
        <w:tc>
          <w:tcPr>
            <w:tcW w:type="dxa" w:w="3383"/>
            <w:vAlign w:val="top"/>
          </w:tcPr>
          <w:p>
            <w:pPr>
              <w:spacing w:after="0"/>
            </w:pPr>
            <w:r>
              <w:rPr>
                <w:sz w:val="14"/>
              </w:rPr>
              <w:t>Side output or fail interval by severity</w:t>
            </w:r>
          </w:p>
        </w:tc>
      </w:tr>
      <w:tr>
        <w:tc>
          <w:tcPr>
            <w:tcW w:type="dxa" w:w="3383"/>
            <w:shd w:fill="F7F8F9"/>
            <w:vAlign w:val="top"/>
          </w:tcPr>
          <w:p>
            <w:pPr>
              <w:spacing w:after="0"/>
            </w:pPr>
            <w:r>
              <w:rPr>
                <w:sz w:val="14"/>
              </w:rPr>
              <w:t>Reconciliation</w:t>
            </w:r>
          </w:p>
        </w:tc>
        <w:tc>
          <w:tcPr>
            <w:tcW w:type="dxa" w:w="3383"/>
            <w:shd w:fill="F7F8F9"/>
            <w:vAlign w:val="top"/>
          </w:tcPr>
          <w:p>
            <w:pPr>
              <w:spacing w:after="0"/>
            </w:pPr>
            <w:r>
              <w:rPr>
                <w:sz w:val="14"/>
              </w:rPr>
              <w:t>Counts, amounts/quantities, hashes, coverage and source-to-target balance</w:t>
            </w:r>
          </w:p>
        </w:tc>
        <w:tc>
          <w:tcPr>
            <w:tcW w:type="dxa" w:w="3383"/>
            <w:shd w:fill="F7F8F9"/>
            <w:vAlign w:val="top"/>
          </w:tcPr>
          <w:p>
            <w:pPr>
              <w:spacing w:after="0"/>
            </w:pPr>
            <w:r>
              <w:rPr>
                <w:sz w:val="14"/>
              </w:rPr>
              <w:t>Block certification and consumer publication</w:t>
            </w:r>
          </w:p>
        </w:tc>
      </w:tr>
      <w:tr>
        <w:tc>
          <w:tcPr>
            <w:tcW w:type="dxa" w:w="3383"/>
            <w:vAlign w:val="top"/>
          </w:tcPr>
          <w:p>
            <w:pPr>
              <w:spacing w:after="0"/>
            </w:pPr>
            <w:r>
              <w:rPr>
                <w:sz w:val="14"/>
              </w:rPr>
              <w:t>Replay/backfill</w:t>
            </w:r>
          </w:p>
        </w:tc>
        <w:tc>
          <w:tcPr>
            <w:tcW w:type="dxa" w:w="3383"/>
            <w:vAlign w:val="top"/>
          </w:tcPr>
          <w:p>
            <w:pPr>
              <w:spacing w:after="0"/>
            </w:pPr>
            <w:r>
              <w:rPr>
                <w:sz w:val="14"/>
              </w:rPr>
              <w:t>Bounded range, original IDs, isolated capacity and privacy/retention policy</w:t>
            </w:r>
          </w:p>
        </w:tc>
        <w:tc>
          <w:tcPr>
            <w:tcW w:type="dxa" w:w="3383"/>
            <w:vAlign w:val="top"/>
          </w:tcPr>
          <w:p>
            <w:pPr>
              <w:spacing w:after="0"/>
            </w:pPr>
            <w:r>
              <w:rPr>
                <w:sz w:val="14"/>
              </w:rPr>
              <w:t>Stop if idempotency or reconciliation fails</w:t>
            </w:r>
          </w:p>
        </w:tc>
      </w:tr>
      <w:tr>
        <w:tc>
          <w:tcPr>
            <w:tcW w:type="dxa" w:w="3383"/>
            <w:shd w:fill="F7F8F9"/>
            <w:vAlign w:val="top"/>
          </w:tcPr>
          <w:p>
            <w:pPr>
              <w:spacing w:after="0"/>
            </w:pPr>
            <w:r>
              <w:rPr>
                <w:sz w:val="14"/>
              </w:rPr>
              <w:t>Closure</w:t>
            </w:r>
          </w:p>
        </w:tc>
        <w:tc>
          <w:tcPr>
            <w:tcW w:type="dxa" w:w="3383"/>
            <w:shd w:fill="F7F8F9"/>
            <w:vAlign w:val="top"/>
          </w:tcPr>
          <w:p>
            <w:pPr>
              <w:spacing w:after="0"/>
            </w:pPr>
            <w:r>
              <w:rPr>
                <w:sz w:val="14"/>
              </w:rPr>
              <w:t>Evidence, owner, corrective action, downstream communication and rule update</w:t>
            </w:r>
          </w:p>
        </w:tc>
        <w:tc>
          <w:tcPr>
            <w:tcW w:type="dxa" w:w="3383"/>
            <w:shd w:fill="F7F8F9"/>
            <w:vAlign w:val="top"/>
          </w:tcPr>
          <w:p>
            <w:pPr>
              <w:spacing w:after="0"/>
            </w:pPr>
            <w:r>
              <w:rPr>
                <w:sz w:val="14"/>
              </w:rPr>
              <w:t>Incident/problem record remains open until verified</w:t>
            </w:r>
          </w:p>
        </w:tc>
      </w:tr>
    </w:tbl>
    <w:p>
      <w:pPr>
        <w:spacing w:after="0"/>
      </w:pPr>
    </w:p>
    <w:p>
      <w:r>
        <w:br w:type="page"/>
      </w:r>
    </w:p>
    <w:p>
      <w:pPr>
        <w:pStyle w:val="Heading2"/>
      </w:pPr>
      <w:r>
        <w:t>6.23 Analytics KPI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Business capability</w:t>
            </w:r>
          </w:p>
        </w:tc>
        <w:tc>
          <w:tcPr>
            <w:tcW w:type="dxa" w:w="2030"/>
            <w:shd w:fill="174EA6"/>
          </w:tcPr>
          <w:p>
            <w:pPr>
              <w:spacing w:after="0"/>
            </w:pPr>
            <w:r>
              <w:rPr>
                <w:b/>
                <w:color w:val="FFFFFF"/>
                <w:sz w:val="13"/>
              </w:rPr>
              <w:t>KPI ID</w:t>
            </w:r>
          </w:p>
        </w:tc>
        <w:tc>
          <w:tcPr>
            <w:tcW w:type="dxa" w:w="2030"/>
            <w:shd w:fill="174EA6"/>
          </w:tcPr>
          <w:p>
            <w:pPr>
              <w:spacing w:after="0"/>
            </w:pPr>
            <w:r>
              <w:rPr>
                <w:b/>
                <w:color w:val="FFFFFF"/>
                <w:sz w:val="13"/>
              </w:rPr>
              <w:t>Definition standard</w:t>
            </w:r>
          </w:p>
        </w:tc>
        <w:tc>
          <w:tcPr>
            <w:tcW w:type="dxa" w:w="2030"/>
            <w:shd w:fill="174EA6"/>
          </w:tcPr>
          <w:p>
            <w:pPr>
              <w:spacing w:after="0"/>
            </w:pPr>
            <w:r>
              <w:rPr>
                <w:b/>
                <w:color w:val="FFFFFF"/>
                <w:sz w:val="13"/>
              </w:rPr>
              <w:t>Owner</w:t>
            </w:r>
          </w:p>
        </w:tc>
        <w:tc>
          <w:tcPr>
            <w:tcW w:type="dxa" w:w="2030"/>
            <w:shd w:fill="174EA6"/>
          </w:tcPr>
          <w:p>
            <w:pPr>
              <w:spacing w:after="0"/>
            </w:pPr>
            <w:r>
              <w:rPr>
                <w:b/>
                <w:color w:val="FFFFFF"/>
                <w:sz w:val="13"/>
              </w:rPr>
              <w:t>Dashboard control</w:t>
            </w:r>
          </w:p>
        </w:tc>
      </w:tr>
      <w:tr>
        <w:tc>
          <w:tcPr>
            <w:tcW w:type="dxa" w:w="2030"/>
            <w:vAlign w:val="top"/>
          </w:tcPr>
          <w:p>
            <w:pPr>
              <w:spacing w:after="0"/>
            </w:pPr>
            <w:r>
              <w:rPr>
                <w:sz w:val="13"/>
              </w:rPr>
              <w:t>Customer and household 360</w:t>
            </w:r>
          </w:p>
        </w:tc>
        <w:tc>
          <w:tcPr>
            <w:tcW w:type="dxa" w:w="2030"/>
            <w:vAlign w:val="top"/>
          </w:tcPr>
          <w:p>
            <w:pPr>
              <w:spacing w:after="0"/>
            </w:pPr>
            <w:r>
              <w:rPr>
                <w:sz w:val="13"/>
              </w:rPr>
              <w:t>retail_kpi_01</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Product catalog and content quality</w:t>
            </w:r>
          </w:p>
        </w:tc>
        <w:tc>
          <w:tcPr>
            <w:tcW w:type="dxa" w:w="2030"/>
            <w:shd w:fill="F7F8F9"/>
            <w:vAlign w:val="top"/>
          </w:tcPr>
          <w:p>
            <w:pPr>
              <w:spacing w:after="0"/>
            </w:pPr>
            <w:r>
              <w:rPr>
                <w:sz w:val="13"/>
              </w:rPr>
              <w:t>retail_kpi_02</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Real-time inventory and availability</w:t>
            </w:r>
          </w:p>
        </w:tc>
        <w:tc>
          <w:tcPr>
            <w:tcW w:type="dxa" w:w="2030"/>
            <w:vAlign w:val="top"/>
          </w:tcPr>
          <w:p>
            <w:pPr>
              <w:spacing w:after="0"/>
            </w:pPr>
            <w:r>
              <w:rPr>
                <w:sz w:val="13"/>
              </w:rPr>
              <w:t>retail_kpi_03</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Order and fulfillment analytics</w:t>
            </w:r>
          </w:p>
        </w:tc>
        <w:tc>
          <w:tcPr>
            <w:tcW w:type="dxa" w:w="2030"/>
            <w:shd w:fill="F7F8F9"/>
            <w:vAlign w:val="top"/>
          </w:tcPr>
          <w:p>
            <w:pPr>
              <w:spacing w:after="0"/>
            </w:pPr>
            <w:r>
              <w:rPr>
                <w:sz w:val="13"/>
              </w:rPr>
              <w:t>retail_kpi_04</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Pricing and promotion effectiveness</w:t>
            </w:r>
          </w:p>
        </w:tc>
        <w:tc>
          <w:tcPr>
            <w:tcW w:type="dxa" w:w="2030"/>
            <w:vAlign w:val="top"/>
          </w:tcPr>
          <w:p>
            <w:pPr>
              <w:spacing w:after="0"/>
            </w:pPr>
            <w:r>
              <w:rPr>
                <w:sz w:val="13"/>
              </w:rPr>
              <w:t>retail_kpi_05</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Demand forecasting and replenishment</w:t>
            </w:r>
          </w:p>
        </w:tc>
        <w:tc>
          <w:tcPr>
            <w:tcW w:type="dxa" w:w="2030"/>
            <w:shd w:fill="F7F8F9"/>
            <w:vAlign w:val="top"/>
          </w:tcPr>
          <w:p>
            <w:pPr>
              <w:spacing w:after="0"/>
            </w:pPr>
            <w:r>
              <w:rPr>
                <w:sz w:val="13"/>
              </w:rPr>
              <w:t>retail_kpi_06</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Omnichannel journey analytics</w:t>
            </w:r>
          </w:p>
        </w:tc>
        <w:tc>
          <w:tcPr>
            <w:tcW w:type="dxa" w:w="2030"/>
            <w:vAlign w:val="top"/>
          </w:tcPr>
          <w:p>
            <w:pPr>
              <w:spacing w:after="0"/>
            </w:pPr>
            <w:r>
              <w:rPr>
                <w:sz w:val="13"/>
              </w:rPr>
              <w:t>retail_kpi_07</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Search, recommendation and shopping assistance</w:t>
            </w:r>
          </w:p>
        </w:tc>
        <w:tc>
          <w:tcPr>
            <w:tcW w:type="dxa" w:w="2030"/>
            <w:shd w:fill="F7F8F9"/>
            <w:vAlign w:val="top"/>
          </w:tcPr>
          <w:p>
            <w:pPr>
              <w:spacing w:after="0"/>
            </w:pPr>
            <w:r>
              <w:rPr>
                <w:sz w:val="13"/>
              </w:rPr>
              <w:t>retail_kpi_08</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E6F4EA"/>
          </w:tcPr>
          <w:p>
            <w:r>
              <w:rPr>
                <w:b/>
                <w:color w:val="17365D"/>
              </w:rPr>
              <w:t xml:space="preserve">KPI governance - </w:t>
            </w:r>
            <w:r>
              <w:t>Regulatory and executive measures require a named business owner, formula, grain, time basis, exclusions, unit/currency, source reconciliation and change approval.</w:t>
            </w:r>
          </w:p>
        </w:tc>
        <w:trPr>
          <w:tblHeader/>
        </w:trPr>
      </w:tr>
    </w:tbl>
    <w:p>
      <w:pPr>
        <w:spacing w:after="0"/>
      </w:pPr>
    </w:p>
    <w:p>
      <w:r>
        <w:br w:type="page"/>
      </w:r>
    </w:p>
    <w:p>
      <w:pPr>
        <w:pStyle w:val="Heading2"/>
      </w:pPr>
      <w:r>
        <w:t>6.24 AI Evaluation and Model-System Card</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AI use case</w:t>
            </w:r>
          </w:p>
        </w:tc>
        <w:tc>
          <w:tcPr>
            <w:tcW w:type="dxa" w:w="2537"/>
            <w:shd w:fill="174EA6"/>
          </w:tcPr>
          <w:p>
            <w:pPr>
              <w:spacing w:after="0"/>
            </w:pPr>
            <w:r>
              <w:rPr>
                <w:b/>
                <w:color w:val="FFFFFF"/>
                <w:sz w:val="13"/>
              </w:rPr>
              <w:t>Evaluation suite</w:t>
            </w:r>
          </w:p>
        </w:tc>
        <w:tc>
          <w:tcPr>
            <w:tcW w:type="dxa" w:w="2537"/>
            <w:shd w:fill="174EA6"/>
          </w:tcPr>
          <w:p>
            <w:pPr>
              <w:spacing w:after="0"/>
            </w:pPr>
            <w:r>
              <w:rPr>
                <w:b/>
                <w:color w:val="FFFFFF"/>
                <w:sz w:val="13"/>
              </w:rPr>
              <w:t>Human control</w:t>
            </w:r>
          </w:p>
        </w:tc>
        <w:tc>
          <w:tcPr>
            <w:tcW w:type="dxa" w:w="2537"/>
            <w:shd w:fill="174EA6"/>
          </w:tcPr>
          <w:p>
            <w:pPr>
              <w:spacing w:after="0"/>
            </w:pPr>
            <w:r>
              <w:rPr>
                <w:b/>
                <w:color w:val="FFFFFF"/>
                <w:sz w:val="13"/>
              </w:rPr>
              <w:t>Rollback</w:t>
            </w:r>
          </w:p>
        </w:tc>
      </w:tr>
      <w:tr>
        <w:tc>
          <w:tcPr>
            <w:tcW w:type="dxa" w:w="2537"/>
            <w:vAlign w:val="top"/>
          </w:tcPr>
          <w:p>
            <w:pPr>
              <w:spacing w:after="0"/>
            </w:pPr>
            <w:r>
              <w:rPr>
                <w:sz w:val="13"/>
              </w:rPr>
              <w:t>AI Commerce Search for search, browse and recommendations where product fit is validated</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Demand forecasting and replenishment models</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Dynamic assortment and promotion analysis with business guardrails</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Shopping assistant grounded in catalog, inventory, policy and order data</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Store-associate assistant with role-based access</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Product-content enrichment with brand and safety review</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Fraud and return-abuse detection</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System-card field</w:t>
            </w:r>
          </w:p>
        </w:tc>
        <w:tc>
          <w:tcPr>
            <w:tcW w:type="dxa" w:w="5074"/>
            <w:shd w:fill="174EA6"/>
          </w:tcPr>
          <w:p>
            <w:pPr>
              <w:spacing w:after="0"/>
            </w:pPr>
            <w:r>
              <w:rPr>
                <w:b/>
                <w:color w:val="FFFFFF"/>
                <w:sz w:val="14"/>
              </w:rPr>
              <w:t>Required record</w:t>
            </w:r>
          </w:p>
        </w:tc>
      </w:tr>
      <w:tr>
        <w:tc>
          <w:tcPr>
            <w:tcW w:type="dxa" w:w="5074"/>
            <w:vAlign w:val="top"/>
          </w:tcPr>
          <w:p>
            <w:pPr>
              <w:spacing w:after="0"/>
            </w:pPr>
            <w:r>
              <w:rPr>
                <w:sz w:val="14"/>
              </w:rPr>
              <w:t>Intended/prohibited use</w:t>
            </w:r>
          </w:p>
        </w:tc>
        <w:tc>
          <w:tcPr>
            <w:tcW w:type="dxa" w:w="5074"/>
            <w:vAlign w:val="top"/>
          </w:tcPr>
          <w:p>
            <w:pPr>
              <w:spacing w:after="0"/>
            </w:pPr>
            <w:r>
              <w:rPr>
                <w:sz w:val="14"/>
              </w:rPr>
              <w:t>Authorized users, workflow, jurisdictions, decision role and explicit prohibited actions</w:t>
            </w:r>
          </w:p>
        </w:tc>
      </w:tr>
      <w:tr>
        <w:tc>
          <w:tcPr>
            <w:tcW w:type="dxa" w:w="5074"/>
            <w:shd w:fill="F7F8F9"/>
            <w:vAlign w:val="top"/>
          </w:tcPr>
          <w:p>
            <w:pPr>
              <w:spacing w:after="0"/>
            </w:pPr>
            <w:r>
              <w:rPr>
                <w:sz w:val="14"/>
              </w:rPr>
              <w:t>Data and model</w:t>
            </w:r>
          </w:p>
        </w:tc>
        <w:tc>
          <w:tcPr>
            <w:tcW w:type="dxa" w:w="5074"/>
            <w:shd w:fill="F7F8F9"/>
            <w:vAlign w:val="top"/>
          </w:tcPr>
          <w:p>
            <w:pPr>
              <w:spacing w:after="0"/>
            </w:pPr>
            <w:r>
              <w:rPr>
                <w:sz w:val="14"/>
              </w:rPr>
              <w:t>Approved product versions, model/version/region, prompt, retrieval/index and tool catalog</w:t>
            </w:r>
          </w:p>
        </w:tc>
      </w:tr>
      <w:tr>
        <w:tc>
          <w:tcPr>
            <w:tcW w:type="dxa" w:w="5074"/>
            <w:vAlign w:val="top"/>
          </w:tcPr>
          <w:p>
            <w:pPr>
              <w:spacing w:after="0"/>
            </w:pPr>
            <w:r>
              <w:rPr>
                <w:sz w:val="14"/>
              </w:rPr>
              <w:t>Performance and safety</w:t>
            </w:r>
          </w:p>
        </w:tc>
        <w:tc>
          <w:tcPr>
            <w:tcW w:type="dxa" w:w="5074"/>
            <w:vAlign w:val="top"/>
          </w:tcPr>
          <w:p>
            <w:pPr>
              <w:spacing w:after="0"/>
            </w:pPr>
            <w:r>
              <w:rPr>
                <w:sz w:val="14"/>
              </w:rPr>
              <w:t>Primary and segment metrics, groundedness/citations, robustness, privacy and red-team evidence</w:t>
            </w:r>
          </w:p>
        </w:tc>
      </w:tr>
      <w:tr>
        <w:tc>
          <w:tcPr>
            <w:tcW w:type="dxa" w:w="5074"/>
            <w:shd w:fill="F7F8F9"/>
            <w:vAlign w:val="top"/>
          </w:tcPr>
          <w:p>
            <w:pPr>
              <w:spacing w:after="0"/>
            </w:pPr>
            <w:r>
              <w:rPr>
                <w:sz w:val="14"/>
              </w:rPr>
              <w:t>Operations</w:t>
            </w:r>
          </w:p>
        </w:tc>
        <w:tc>
          <w:tcPr>
            <w:tcW w:type="dxa" w:w="5074"/>
            <w:shd w:fill="F7F8F9"/>
            <w:vAlign w:val="top"/>
          </w:tcPr>
          <w:p>
            <w:pPr>
              <w:spacing w:after="0"/>
            </w:pPr>
            <w:r>
              <w:rPr>
                <w:sz w:val="14"/>
              </w:rPr>
              <w:t>SLO, quotas, monitoring, feedback, incident, rollback, DR and periodic review</w:t>
            </w:r>
          </w:p>
        </w:tc>
      </w:tr>
      <w:tr>
        <w:tc>
          <w:tcPr>
            <w:tcW w:type="dxa" w:w="5074"/>
            <w:vAlign w:val="top"/>
          </w:tcPr>
          <w:p>
            <w:pPr>
              <w:spacing w:after="0"/>
            </w:pPr>
            <w:r>
              <w:rPr>
                <w:sz w:val="14"/>
              </w:rPr>
              <w:t>Accountability</w:t>
            </w:r>
          </w:p>
        </w:tc>
        <w:tc>
          <w:tcPr>
            <w:tcW w:type="dxa" w:w="5074"/>
            <w:vAlign w:val="top"/>
          </w:tcPr>
          <w:p>
            <w:pPr>
              <w:spacing w:after="0"/>
            </w:pPr>
            <w:r>
              <w:rPr>
                <w:sz w:val="14"/>
              </w:rPr>
              <w:t>Business owner, AI product owner, validators, security/privacy/legal and human decision authority</w:t>
            </w:r>
          </w:p>
        </w:tc>
      </w:tr>
    </w:tbl>
    <w:p>
      <w:pPr>
        <w:spacing w:after="0"/>
      </w:pPr>
    </w:p>
    <w:p>
      <w:r>
        <w:br w:type="page"/>
      </w:r>
    </w:p>
    <w:p>
      <w:pPr>
        <w:pStyle w:val="Heading2"/>
      </w:pPr>
      <w:r>
        <w:t>6.25 Security and Regulatory Control Mapping</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Industry control</w:t>
            </w:r>
          </w:p>
        </w:tc>
        <w:tc>
          <w:tcPr>
            <w:tcW w:type="dxa" w:w="2537"/>
            <w:shd w:fill="174EA6"/>
          </w:tcPr>
          <w:p>
            <w:pPr>
              <w:spacing w:after="0"/>
            </w:pPr>
            <w:r>
              <w:rPr>
                <w:b/>
                <w:color w:val="FFFFFF"/>
                <w:sz w:val="13"/>
              </w:rPr>
              <w:t>Implementation type</w:t>
            </w:r>
          </w:p>
        </w:tc>
        <w:tc>
          <w:tcPr>
            <w:tcW w:type="dxa" w:w="2537"/>
            <w:shd w:fill="174EA6"/>
          </w:tcPr>
          <w:p>
            <w:pPr>
              <w:spacing w:after="0"/>
            </w:pPr>
            <w:r>
              <w:rPr>
                <w:b/>
                <w:color w:val="FFFFFF"/>
                <w:sz w:val="13"/>
              </w:rPr>
              <w:t>Evidence</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Keep raw cardholder data outside broad analytical zones through tokenization</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PCI segmentation and evidence for payment-related projects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Consent and purpose restrictions for personalization</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Regional privacy deletion across profiles, features and indexes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Bot/abuse protection for customer-facing APIs and agents</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Separate employee, customer and supplier identities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Prevent prompt injection from product/seller content</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Human approval for price, refund and order-changing actions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Compliance boundary - </w:t>
            </w:r>
            <w:r>
              <w:t>This mapping supports control design and evidence collection; legal counsel and qualified assessors determine applicability and compliance conclusions.</w:t>
            </w:r>
          </w:p>
        </w:tc>
        <w:trPr>
          <w:tblHeader/>
        </w:trPr>
      </w:tr>
    </w:tbl>
    <w:p>
      <w:pPr>
        <w:spacing w:after="0"/>
      </w:pPr>
    </w:p>
    <w:p>
      <w:r>
        <w:br w:type="page"/>
      </w:r>
    </w:p>
    <w:p>
      <w:pPr>
        <w:pStyle w:val="Heading2"/>
      </w:pPr>
      <w:r>
        <w:t>6.26 Network Flows and Trust Boundaries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Flow</w:t>
            </w:r>
          </w:p>
        </w:tc>
        <w:tc>
          <w:tcPr>
            <w:tcW w:type="dxa" w:w="2537"/>
            <w:shd w:fill="174EA6"/>
          </w:tcPr>
          <w:p>
            <w:pPr>
              <w:spacing w:after="0"/>
            </w:pPr>
            <w:r>
              <w:rPr>
                <w:b/>
                <w:color w:val="FFFFFF"/>
                <w:sz w:val="13"/>
              </w:rPr>
              <w:t>Source -&gt; destination</w:t>
            </w:r>
          </w:p>
        </w:tc>
        <w:tc>
          <w:tcPr>
            <w:tcW w:type="dxa" w:w="2537"/>
            <w:shd w:fill="174EA6"/>
          </w:tcPr>
          <w:p>
            <w:pPr>
              <w:spacing w:after="0"/>
            </w:pPr>
            <w:r>
              <w:rPr>
                <w:b/>
                <w:color w:val="FFFFFF"/>
                <w:sz w:val="13"/>
              </w:rPr>
              <w:t>Protocol / path</w:t>
            </w:r>
          </w:p>
        </w:tc>
        <w:tc>
          <w:tcPr>
            <w:tcW w:type="dxa" w:w="2537"/>
            <w:shd w:fill="174EA6"/>
          </w:tcPr>
          <w:p>
            <w:pPr>
              <w:spacing w:after="0"/>
            </w:pPr>
            <w:r>
              <w:rPr>
                <w:b/>
                <w:color w:val="FFFFFF"/>
                <w:sz w:val="13"/>
              </w:rPr>
              <w:t>Authorization and control</w:t>
            </w:r>
          </w:p>
        </w:tc>
      </w:tr>
      <w:tr>
        <w:tc>
          <w:tcPr>
            <w:tcW w:type="dxa" w:w="2537"/>
            <w:vAlign w:val="top"/>
          </w:tcPr>
          <w:p>
            <w:pPr>
              <w:spacing w:after="0"/>
            </w:pPr>
            <w:r>
              <w:rPr>
                <w:sz w:val="13"/>
              </w:rPr>
              <w:t>Hybrid ingestion</w:t>
            </w:r>
          </w:p>
        </w:tc>
        <w:tc>
          <w:tcPr>
            <w:tcW w:type="dxa" w:w="2537"/>
            <w:vAlign w:val="top"/>
          </w:tcPr>
          <w:p>
            <w:pPr>
              <w:spacing w:after="0"/>
            </w:pPr>
            <w:r>
              <w:rPr>
                <w:sz w:val="13"/>
              </w:rPr>
              <w:t>Industry source -&gt; regional ingestion project</w:t>
            </w:r>
          </w:p>
        </w:tc>
        <w:tc>
          <w:tcPr>
            <w:tcW w:type="dxa" w:w="2537"/>
            <w:vAlign w:val="top"/>
          </w:tcPr>
          <w:p>
            <w:pPr>
              <w:spacing w:after="0"/>
            </w:pPr>
            <w:r>
              <w:rPr>
                <w:sz w:val="13"/>
              </w:rPr>
              <w:t>Interconnect/VPN/private endpoint/API</w:t>
            </w:r>
          </w:p>
        </w:tc>
        <w:tc>
          <w:tcPr>
            <w:tcW w:type="dxa" w:w="2537"/>
            <w:vAlign w:val="top"/>
          </w:tcPr>
          <w:p>
            <w:pPr>
              <w:spacing w:after="0"/>
            </w:pPr>
            <w:r>
              <w:rPr>
                <w:sz w:val="13"/>
              </w:rPr>
              <w:t>Workload identity, source allowlist, encryption and schema contract</w:t>
            </w:r>
          </w:p>
        </w:tc>
      </w:tr>
      <w:tr>
        <w:tc>
          <w:tcPr>
            <w:tcW w:type="dxa" w:w="2537"/>
            <w:shd w:fill="F7F8F9"/>
            <w:vAlign w:val="top"/>
          </w:tcPr>
          <w:p>
            <w:pPr>
              <w:spacing w:after="0"/>
            </w:pPr>
            <w:r>
              <w:rPr>
                <w:sz w:val="13"/>
              </w:rPr>
              <w:t>Managed data processing</w:t>
            </w:r>
          </w:p>
        </w:tc>
        <w:tc>
          <w:tcPr>
            <w:tcW w:type="dxa" w:w="2537"/>
            <w:shd w:fill="F7F8F9"/>
            <w:vAlign w:val="top"/>
          </w:tcPr>
          <w:p>
            <w:pPr>
              <w:spacing w:after="0"/>
            </w:pPr>
            <w:r>
              <w:rPr>
                <w:sz w:val="13"/>
              </w:rPr>
              <w:t>Ingestion runtime -&gt; Cloud Storage/BigQuery/Pub/Sub</w:t>
            </w:r>
          </w:p>
        </w:tc>
        <w:tc>
          <w:tcPr>
            <w:tcW w:type="dxa" w:w="2537"/>
            <w:shd w:fill="F7F8F9"/>
            <w:vAlign w:val="top"/>
          </w:tcPr>
          <w:p>
            <w:pPr>
              <w:spacing w:after="0"/>
            </w:pPr>
            <w:r>
              <w:rPr>
                <w:sz w:val="13"/>
              </w:rPr>
              <w:t>Private Google API path/PSC where supported</w:t>
            </w:r>
          </w:p>
        </w:tc>
        <w:tc>
          <w:tcPr>
            <w:tcW w:type="dxa" w:w="2537"/>
            <w:shd w:fill="F7F8F9"/>
            <w:vAlign w:val="top"/>
          </w:tcPr>
          <w:p>
            <w:pPr>
              <w:spacing w:after="0"/>
            </w:pPr>
            <w:r>
              <w:rPr>
                <w:sz w:val="13"/>
              </w:rPr>
              <w:t>Dedicated SA, VPC SC, CMEK and egress policy</w:t>
            </w:r>
          </w:p>
        </w:tc>
      </w:tr>
      <w:tr>
        <w:tc>
          <w:tcPr>
            <w:tcW w:type="dxa" w:w="2537"/>
            <w:vAlign w:val="top"/>
          </w:tcPr>
          <w:p>
            <w:pPr>
              <w:spacing w:after="0"/>
            </w:pPr>
            <w:r>
              <w:rPr>
                <w:sz w:val="13"/>
              </w:rPr>
              <w:t>Analytics</w:t>
            </w:r>
          </w:p>
        </w:tc>
        <w:tc>
          <w:tcPr>
            <w:tcW w:type="dxa" w:w="2537"/>
            <w:vAlign w:val="top"/>
          </w:tcPr>
          <w:p>
            <w:pPr>
              <w:spacing w:after="0"/>
            </w:pPr>
            <w:r>
              <w:rPr>
                <w:sz w:val="13"/>
              </w:rPr>
              <w:t>Looker/authorized consumer -&gt; curated/semantic product</w:t>
            </w:r>
          </w:p>
        </w:tc>
        <w:tc>
          <w:tcPr>
            <w:tcW w:type="dxa" w:w="2537"/>
            <w:vAlign w:val="top"/>
          </w:tcPr>
          <w:p>
            <w:pPr>
              <w:spacing w:after="0"/>
            </w:pPr>
            <w:r>
              <w:rPr>
                <w:sz w:val="13"/>
              </w:rPr>
              <w:t>Approved Google API/application path</w:t>
            </w:r>
          </w:p>
        </w:tc>
        <w:tc>
          <w:tcPr>
            <w:tcW w:type="dxa" w:w="2537"/>
            <w:vAlign w:val="top"/>
          </w:tcPr>
          <w:p>
            <w:pPr>
              <w:spacing w:after="0"/>
            </w:pPr>
            <w:r>
              <w:rPr>
                <w:sz w:val="13"/>
              </w:rPr>
              <w:t>Group/attribute access, row/column policy and audit</w:t>
            </w:r>
          </w:p>
        </w:tc>
      </w:tr>
      <w:tr>
        <w:tc>
          <w:tcPr>
            <w:tcW w:type="dxa" w:w="2537"/>
            <w:shd w:fill="F7F8F9"/>
            <w:vAlign w:val="top"/>
          </w:tcPr>
          <w:p>
            <w:pPr>
              <w:spacing w:after="0"/>
            </w:pPr>
            <w:r>
              <w:rPr>
                <w:sz w:val="13"/>
              </w:rPr>
              <w:t>AI retrieval</w:t>
            </w:r>
          </w:p>
        </w:tc>
        <w:tc>
          <w:tcPr>
            <w:tcW w:type="dxa" w:w="2537"/>
            <w:shd w:fill="F7F8F9"/>
            <w:vAlign w:val="top"/>
          </w:tcPr>
          <w:p>
            <w:pPr>
              <w:spacing w:after="0"/>
            </w:pPr>
            <w:r>
              <w:rPr>
                <w:sz w:val="13"/>
              </w:rPr>
              <w:t>Agent/application -&gt; approved data product/corpus/index</w:t>
            </w:r>
          </w:p>
        </w:tc>
        <w:tc>
          <w:tcPr>
            <w:tcW w:type="dxa" w:w="2537"/>
            <w:shd w:fill="F7F8F9"/>
            <w:vAlign w:val="top"/>
          </w:tcPr>
          <w:p>
            <w:pPr>
              <w:spacing w:after="0"/>
            </w:pPr>
            <w:r>
              <w:rPr>
                <w:sz w:val="13"/>
              </w:rPr>
              <w:t>Private managed-service path where supported</w:t>
            </w:r>
          </w:p>
        </w:tc>
        <w:tc>
          <w:tcPr>
            <w:tcW w:type="dxa" w:w="2537"/>
            <w:shd w:fill="F7F8F9"/>
            <w:vAlign w:val="top"/>
          </w:tcPr>
          <w:p>
            <w:pPr>
              <w:spacing w:after="0"/>
            </w:pPr>
            <w:r>
              <w:rPr>
                <w:sz w:val="13"/>
              </w:rPr>
              <w:t>Caller identity, purpose/ACL filter, safety and citation controls</w:t>
            </w:r>
          </w:p>
        </w:tc>
      </w:tr>
      <w:tr>
        <w:tc>
          <w:tcPr>
            <w:tcW w:type="dxa" w:w="2537"/>
            <w:vAlign w:val="top"/>
          </w:tcPr>
          <w:p>
            <w:pPr>
              <w:spacing w:after="0"/>
            </w:pPr>
            <w:r>
              <w:rPr>
                <w:sz w:val="13"/>
              </w:rPr>
              <w:t>Operations</w:t>
            </w:r>
          </w:p>
        </w:tc>
        <w:tc>
          <w:tcPr>
            <w:tcW w:type="dxa" w:w="2537"/>
            <w:vAlign w:val="top"/>
          </w:tcPr>
          <w:p>
            <w:pPr>
              <w:spacing w:after="0"/>
            </w:pPr>
            <w:r>
              <w:rPr>
                <w:sz w:val="13"/>
              </w:rPr>
              <w:t>Runtime -&gt; logging/monitoring/SCC</w:t>
            </w:r>
          </w:p>
        </w:tc>
        <w:tc>
          <w:tcPr>
            <w:tcW w:type="dxa" w:w="2537"/>
            <w:vAlign w:val="top"/>
          </w:tcPr>
          <w:p>
            <w:pPr>
              <w:spacing w:after="0"/>
            </w:pPr>
            <w:r>
              <w:rPr>
                <w:sz w:val="13"/>
              </w:rPr>
              <w:t>Central regional control projects</w:t>
            </w:r>
          </w:p>
        </w:tc>
        <w:tc>
          <w:tcPr>
            <w:tcW w:type="dxa" w:w="2537"/>
            <w:vAlign w:val="top"/>
          </w:tcPr>
          <w:p>
            <w:pPr>
              <w:spacing w:after="0"/>
            </w:pPr>
            <w:r>
              <w:rPr>
                <w:sz w:val="13"/>
              </w:rPr>
              <w:t>Redaction, retention, immutable sinks and least privilege</w:t>
            </w:r>
          </w:p>
        </w:tc>
      </w:tr>
      <w:tr>
        <w:tc>
          <w:tcPr>
            <w:tcW w:type="dxa" w:w="2537"/>
            <w:shd w:fill="F7F8F9"/>
            <w:vAlign w:val="top"/>
          </w:tcPr>
          <w:p>
            <w:pPr>
              <w:spacing w:after="0"/>
            </w:pPr>
            <w:r>
              <w:rPr>
                <w:sz w:val="13"/>
              </w:rPr>
              <w:t>Cross-region</w:t>
            </w:r>
          </w:p>
        </w:tc>
        <w:tc>
          <w:tcPr>
            <w:tcW w:type="dxa" w:w="2537"/>
            <w:shd w:fill="F7F8F9"/>
            <w:vAlign w:val="top"/>
          </w:tcPr>
          <w:p>
            <w:pPr>
              <w:spacing w:after="0"/>
            </w:pPr>
            <w:r>
              <w:rPr>
                <w:sz w:val="13"/>
              </w:rPr>
              <w:t>Regional product -&gt; approved recovery/sharing destination</w:t>
            </w:r>
          </w:p>
        </w:tc>
        <w:tc>
          <w:tcPr>
            <w:tcW w:type="dxa" w:w="2537"/>
            <w:shd w:fill="F7F8F9"/>
            <w:vAlign w:val="top"/>
          </w:tcPr>
          <w:p>
            <w:pPr>
              <w:spacing w:after="0"/>
            </w:pPr>
            <w:r>
              <w:rPr>
                <w:sz w:val="13"/>
              </w:rPr>
              <w:t>Explicit replication/export path</w:t>
            </w:r>
          </w:p>
        </w:tc>
        <w:tc>
          <w:tcPr>
            <w:tcW w:type="dxa" w:w="2537"/>
            <w:shd w:fill="F7F8F9"/>
            <w:vAlign w:val="top"/>
          </w:tcPr>
          <w:p>
            <w:pPr>
              <w:spacing w:after="0"/>
            </w:pPr>
            <w:r>
              <w:rPr>
                <w:sz w:val="13"/>
              </w:rPr>
              <w:t>Residency approval, encryption, manifest and reconciliation</w:t>
            </w:r>
          </w:p>
        </w:tc>
      </w:tr>
    </w:tbl>
    <w:p>
      <w:pPr>
        <w:spacing w:after="0"/>
      </w:pPr>
    </w:p>
    <w:p>
      <w:r>
        <w:br w:type="page"/>
      </w:r>
    </w:p>
    <w:p>
      <w:pPr>
        <w:pStyle w:val="Heading2"/>
      </w:pPr>
      <w:r>
        <w:t>6.27 SLI, SLO and Support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SLO ID</w:t>
            </w:r>
          </w:p>
        </w:tc>
        <w:tc>
          <w:tcPr>
            <w:tcW w:type="dxa" w:w="2030"/>
            <w:shd w:fill="174EA6"/>
          </w:tcPr>
          <w:p>
            <w:pPr>
              <w:spacing w:after="0"/>
            </w:pPr>
            <w:r>
              <w:rPr>
                <w:b/>
                <w:color w:val="FFFFFF"/>
                <w:sz w:val="13"/>
              </w:rPr>
              <w:t>Critical service/journey</w:t>
            </w:r>
          </w:p>
        </w:tc>
        <w:tc>
          <w:tcPr>
            <w:tcW w:type="dxa" w:w="2030"/>
            <w:shd w:fill="174EA6"/>
          </w:tcPr>
          <w:p>
            <w:pPr>
              <w:spacing w:after="0"/>
            </w:pPr>
            <w:r>
              <w:rPr>
                <w:b/>
                <w:color w:val="FFFFFF"/>
                <w:sz w:val="13"/>
              </w:rPr>
              <w:t>Target</w:t>
            </w:r>
          </w:p>
        </w:tc>
        <w:tc>
          <w:tcPr>
            <w:tcW w:type="dxa" w:w="2030"/>
            <w:shd w:fill="174EA6"/>
          </w:tcPr>
          <w:p>
            <w:pPr>
              <w:spacing w:after="0"/>
            </w:pPr>
            <w:r>
              <w:rPr>
                <w:b/>
                <w:color w:val="FFFFFF"/>
                <w:sz w:val="13"/>
              </w:rPr>
              <w:t>Window</w:t>
            </w:r>
          </w:p>
        </w:tc>
        <w:tc>
          <w:tcPr>
            <w:tcW w:type="dxa" w:w="2030"/>
            <w:shd w:fill="174EA6"/>
          </w:tcPr>
          <w:p>
            <w:pPr>
              <w:spacing w:after="0"/>
            </w:pPr>
            <w:r>
              <w:rPr>
                <w:b/>
                <w:color w:val="FFFFFF"/>
                <w:sz w:val="13"/>
              </w:rPr>
              <w:t>Owner</w:t>
            </w:r>
          </w:p>
        </w:tc>
      </w:tr>
      <w:tr>
        <w:tc>
          <w:tcPr>
            <w:tcW w:type="dxa" w:w="2030"/>
            <w:vAlign w:val="top"/>
          </w:tcPr>
          <w:p>
            <w:pPr>
              <w:spacing w:after="0"/>
            </w:pPr>
            <w:r>
              <w:rPr>
                <w:sz w:val="13"/>
              </w:rPr>
              <w:t>retail-SLO-01</w:t>
            </w:r>
          </w:p>
        </w:tc>
        <w:tc>
          <w:tcPr>
            <w:tcW w:type="dxa" w:w="2030"/>
            <w:vAlign w:val="top"/>
          </w:tcPr>
          <w:p>
            <w:pPr>
              <w:spacing w:after="0"/>
            </w:pPr>
            <w:r>
              <w:rPr>
                <w:sz w:val="13"/>
              </w:rPr>
              <w:t>Tier 0 seasonal commerce event and inventory availability services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retail-SLO-02</w:t>
            </w:r>
          </w:p>
        </w:tc>
        <w:tc>
          <w:tcPr>
            <w:tcW w:type="dxa" w:w="2030"/>
            <w:shd w:fill="F7F8F9"/>
            <w:vAlign w:val="top"/>
          </w:tcPr>
          <w:p>
            <w:pPr>
              <w:spacing w:after="0"/>
            </w:pPr>
            <w:r>
              <w:rPr>
                <w:sz w:val="13"/>
              </w:rPr>
              <w:t>Peak-event load and backlog forecasts for major campaigns</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r>
        <w:tc>
          <w:tcPr>
            <w:tcW w:type="dxa" w:w="2030"/>
            <w:vAlign w:val="top"/>
          </w:tcPr>
          <w:p>
            <w:pPr>
              <w:spacing w:after="0"/>
            </w:pPr>
            <w:r>
              <w:rPr>
                <w:sz w:val="13"/>
              </w:rPr>
              <w:t>retail-SLO-03</w:t>
            </w:r>
          </w:p>
        </w:tc>
        <w:tc>
          <w:tcPr>
            <w:tcW w:type="dxa" w:w="2030"/>
            <w:vAlign w:val="top"/>
          </w:tcPr>
          <w:p>
            <w:pPr>
              <w:spacing w:after="0"/>
            </w:pPr>
            <w:r>
              <w:rPr>
                <w:sz w:val="13"/>
              </w:rPr>
              <w:t>Search/recommendation quality plus latency and catalog freshness SLIs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retail-SLO-04</w:t>
            </w:r>
          </w:p>
        </w:tc>
        <w:tc>
          <w:tcPr>
            <w:tcW w:type="dxa" w:w="2030"/>
            <w:shd w:fill="F7F8F9"/>
            <w:vAlign w:val="top"/>
          </w:tcPr>
          <w:p>
            <w:pPr>
              <w:spacing w:after="0"/>
            </w:pPr>
            <w:r>
              <w:rPr>
                <w:sz w:val="13"/>
              </w:rPr>
              <w:t>Business continuity for stores during cloud or network disruption</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Alert severity</w:t>
            </w:r>
          </w:p>
        </w:tc>
        <w:tc>
          <w:tcPr>
            <w:tcW w:type="dxa" w:w="3383"/>
            <w:shd w:fill="174EA6"/>
          </w:tcPr>
          <w:p>
            <w:pPr>
              <w:spacing w:after="0"/>
            </w:pPr>
            <w:r>
              <w:rPr>
                <w:b/>
                <w:color w:val="FFFFFF"/>
                <w:sz w:val="14"/>
              </w:rPr>
              <w:t>Trigger</w:t>
            </w:r>
          </w:p>
        </w:tc>
        <w:tc>
          <w:tcPr>
            <w:tcW w:type="dxa" w:w="3383"/>
            <w:shd w:fill="174EA6"/>
          </w:tcPr>
          <w:p>
            <w:pPr>
              <w:spacing w:after="0"/>
            </w:pPr>
            <w:r>
              <w:rPr>
                <w:b/>
                <w:color w:val="FFFFFF"/>
                <w:sz w:val="14"/>
              </w:rPr>
              <w:t>Response</w:t>
            </w:r>
          </w:p>
        </w:tc>
      </w:tr>
      <w:tr>
        <w:tc>
          <w:tcPr>
            <w:tcW w:type="dxa" w:w="3383"/>
            <w:vAlign w:val="top"/>
          </w:tcPr>
          <w:p>
            <w:pPr>
              <w:spacing w:after="0"/>
            </w:pPr>
            <w:r>
              <w:rPr>
                <w:sz w:val="14"/>
              </w:rPr>
              <w:t>SEV-1</w:t>
            </w:r>
          </w:p>
        </w:tc>
        <w:tc>
          <w:tcPr>
            <w:tcW w:type="dxa" w:w="3383"/>
            <w:vAlign w:val="top"/>
          </w:tcPr>
          <w:p>
            <w:pPr>
              <w:spacing w:after="0"/>
            </w:pPr>
            <w:r>
              <w:rPr>
                <w:sz w:val="14"/>
              </w:rPr>
              <w:t>Tier 0 outage, data loss/exposure, unsafe high-impact action or critical regulated error</w:t>
            </w:r>
          </w:p>
        </w:tc>
        <w:tc>
          <w:tcPr>
            <w:tcW w:type="dxa" w:w="3383"/>
            <w:vAlign w:val="top"/>
          </w:tcPr>
          <w:p>
            <w:pPr>
              <w:spacing w:after="0"/>
            </w:pPr>
            <w:r>
              <w:rPr>
                <w:sz w:val="14"/>
              </w:rPr>
              <w:t>Immediate incident command, business/security/control owners and vendor escalation</w:t>
            </w:r>
          </w:p>
        </w:tc>
      </w:tr>
      <w:tr>
        <w:tc>
          <w:tcPr>
            <w:tcW w:type="dxa" w:w="3383"/>
            <w:shd w:fill="F7F8F9"/>
            <w:vAlign w:val="top"/>
          </w:tcPr>
          <w:p>
            <w:pPr>
              <w:spacing w:after="0"/>
            </w:pPr>
            <w:r>
              <w:rPr>
                <w:sz w:val="14"/>
              </w:rPr>
              <w:t>SEV-2</w:t>
            </w:r>
          </w:p>
        </w:tc>
        <w:tc>
          <w:tcPr>
            <w:tcW w:type="dxa" w:w="3383"/>
            <w:shd w:fill="F7F8F9"/>
            <w:vAlign w:val="top"/>
          </w:tcPr>
          <w:p>
            <w:pPr>
              <w:spacing w:after="0"/>
            </w:pPr>
            <w:r>
              <w:rPr>
                <w:sz w:val="14"/>
              </w:rPr>
              <w:t>Tier 1 SLO breach, rapidly growing backlog or material quality failure</w:t>
            </w:r>
          </w:p>
        </w:tc>
        <w:tc>
          <w:tcPr>
            <w:tcW w:type="dxa" w:w="3383"/>
            <w:shd w:fill="F7F8F9"/>
            <w:vAlign w:val="top"/>
          </w:tcPr>
          <w:p>
            <w:pPr>
              <w:spacing w:after="0"/>
            </w:pPr>
            <w:r>
              <w:rPr>
                <w:sz w:val="14"/>
              </w:rPr>
              <w:t>Page product and platform on-call; protect capacity and users</w:t>
            </w:r>
          </w:p>
        </w:tc>
      </w:tr>
      <w:tr>
        <w:tc>
          <w:tcPr>
            <w:tcW w:type="dxa" w:w="3383"/>
            <w:vAlign w:val="top"/>
          </w:tcPr>
          <w:p>
            <w:pPr>
              <w:spacing w:after="0"/>
            </w:pPr>
            <w:r>
              <w:rPr>
                <w:sz w:val="14"/>
              </w:rPr>
              <w:t>SEV-3</w:t>
            </w:r>
          </w:p>
        </w:tc>
        <w:tc>
          <w:tcPr>
            <w:tcW w:type="dxa" w:w="3383"/>
            <w:vAlign w:val="top"/>
          </w:tcPr>
          <w:p>
            <w:pPr>
              <w:spacing w:after="0"/>
            </w:pPr>
            <w:r>
              <w:rPr>
                <w:sz w:val="14"/>
              </w:rPr>
              <w:t>Degradation with workaround, aging DLQ or forecast risk</w:t>
            </w:r>
          </w:p>
        </w:tc>
        <w:tc>
          <w:tcPr>
            <w:tcW w:type="dxa" w:w="3383"/>
            <w:vAlign w:val="top"/>
          </w:tcPr>
          <w:p>
            <w:pPr>
              <w:spacing w:after="0"/>
            </w:pPr>
            <w:r>
              <w:rPr>
                <w:sz w:val="14"/>
              </w:rPr>
              <w:t>Ticket and bounded remediation</w:t>
            </w:r>
          </w:p>
        </w:tc>
      </w:tr>
      <w:tr>
        <w:tc>
          <w:tcPr>
            <w:tcW w:type="dxa" w:w="3383"/>
            <w:shd w:fill="F7F8F9"/>
            <w:vAlign w:val="top"/>
          </w:tcPr>
          <w:p>
            <w:pPr>
              <w:spacing w:after="0"/>
            </w:pPr>
            <w:r>
              <w:rPr>
                <w:sz w:val="14"/>
              </w:rPr>
              <w:t>SEV-4</w:t>
            </w:r>
          </w:p>
        </w:tc>
        <w:tc>
          <w:tcPr>
            <w:tcW w:type="dxa" w:w="3383"/>
            <w:shd w:fill="F7F8F9"/>
            <w:vAlign w:val="top"/>
          </w:tcPr>
          <w:p>
            <w:pPr>
              <w:spacing w:after="0"/>
            </w:pPr>
            <w:r>
              <w:rPr>
                <w:sz w:val="14"/>
              </w:rPr>
              <w:t>Optimization, lifecycle or documentation gap</w:t>
            </w:r>
          </w:p>
        </w:tc>
        <w:tc>
          <w:tcPr>
            <w:tcW w:type="dxa" w:w="3383"/>
            <w:shd w:fill="F7F8F9"/>
            <w:vAlign w:val="top"/>
          </w:tcPr>
          <w:p>
            <w:pPr>
              <w:spacing w:after="0"/>
            </w:pPr>
            <w:r>
              <w:rPr>
                <w:sz w:val="14"/>
              </w:rPr>
              <w:t>Backlog and service review</w:t>
            </w:r>
          </w:p>
        </w:tc>
      </w:tr>
    </w:tbl>
    <w:p>
      <w:pPr>
        <w:spacing w:after="0"/>
      </w:pPr>
    </w:p>
    <w:p>
      <w:r>
        <w:br w:type="page"/>
      </w:r>
    </w:p>
    <w:p>
      <w:pPr>
        <w:pStyle w:val="Heading2"/>
      </w:pPr>
      <w:r>
        <w:t>6.28 Disaster-Recovery Pattern</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Recovery requirement</w:t>
            </w:r>
          </w:p>
        </w:tc>
        <w:tc>
          <w:tcPr>
            <w:tcW w:type="dxa" w:w="2537"/>
            <w:shd w:fill="174EA6"/>
          </w:tcPr>
          <w:p>
            <w:pPr>
              <w:spacing w:after="0"/>
            </w:pPr>
            <w:r>
              <w:rPr>
                <w:b/>
                <w:color w:val="FFFFFF"/>
                <w:sz w:val="13"/>
              </w:rPr>
              <w:t>Primary</w:t>
            </w:r>
          </w:p>
        </w:tc>
        <w:tc>
          <w:tcPr>
            <w:tcW w:type="dxa" w:w="2537"/>
            <w:shd w:fill="174EA6"/>
          </w:tcPr>
          <w:p>
            <w:pPr>
              <w:spacing w:after="0"/>
            </w:pPr>
            <w:r>
              <w:rPr>
                <w:b/>
                <w:color w:val="FFFFFF"/>
                <w:sz w:val="13"/>
              </w:rPr>
              <w:t>Recovery pattern</w:t>
            </w:r>
          </w:p>
        </w:tc>
        <w:tc>
          <w:tcPr>
            <w:tcW w:type="dxa" w:w="2537"/>
            <w:shd w:fill="174EA6"/>
          </w:tcPr>
          <w:p>
            <w:pPr>
              <w:spacing w:after="0"/>
            </w:pPr>
            <w:r>
              <w:rPr>
                <w:b/>
                <w:color w:val="FFFFFF"/>
                <w:sz w:val="13"/>
              </w:rPr>
              <w:t>Evidence</w:t>
            </w:r>
          </w:p>
        </w:tc>
      </w:tr>
      <w:tr>
        <w:tc>
          <w:tcPr>
            <w:tcW w:type="dxa" w:w="2537"/>
            <w:vAlign w:val="top"/>
          </w:tcPr>
          <w:p>
            <w:pPr>
              <w:spacing w:after="0"/>
            </w:pPr>
            <w:r>
              <w:rPr>
                <w:sz w:val="13"/>
              </w:rPr>
              <w:t>Warm recovery for digital commerce data products and event ingestion</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Store-edge/offline procedures and eventual reconciliation</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r>
        <w:tc>
          <w:tcPr>
            <w:tcW w:type="dxa" w:w="2537"/>
            <w:vAlign w:val="top"/>
          </w:tcPr>
          <w:p>
            <w:pPr>
              <w:spacing w:after="0"/>
            </w:pPr>
            <w:r>
              <w:rPr>
                <w:sz w:val="13"/>
              </w:rPr>
              <w:t>Catalog, inventory and order replay from durable sources</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Peak-season failover exercise before major events</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Component</w:t>
            </w:r>
          </w:p>
        </w:tc>
        <w:tc>
          <w:tcPr>
            <w:tcW w:type="dxa" w:w="5074"/>
            <w:shd w:fill="174EA6"/>
          </w:tcPr>
          <w:p>
            <w:pPr>
              <w:spacing w:after="0"/>
            </w:pPr>
            <w:r>
              <w:rPr>
                <w:b/>
                <w:color w:val="FFFFFF"/>
                <w:sz w:val="14"/>
              </w:rPr>
              <w:t>Recoverable artifacts</w:t>
            </w:r>
          </w:p>
        </w:tc>
      </w:tr>
      <w:tr>
        <w:tc>
          <w:tcPr>
            <w:tcW w:type="dxa" w:w="5074"/>
            <w:vAlign w:val="top"/>
          </w:tcPr>
          <w:p>
            <w:pPr>
              <w:spacing w:after="0"/>
            </w:pPr>
            <w:r>
              <w:rPr>
                <w:sz w:val="14"/>
              </w:rPr>
              <w:t>Data</w:t>
            </w:r>
          </w:p>
        </w:tc>
        <w:tc>
          <w:tcPr>
            <w:tcW w:type="dxa" w:w="5074"/>
            <w:vAlign w:val="top"/>
          </w:tcPr>
          <w:p>
            <w:pPr>
              <w:spacing w:after="0"/>
            </w:pPr>
            <w:r>
              <w:rPr>
                <w:sz w:val="14"/>
              </w:rPr>
              <w:t>Immutable source, table snapshots/replicas/exports, product manifest and quality evidence</w:t>
            </w:r>
          </w:p>
        </w:tc>
      </w:tr>
      <w:tr>
        <w:tc>
          <w:tcPr>
            <w:tcW w:type="dxa" w:w="5074"/>
            <w:shd w:fill="F7F8F9"/>
            <w:vAlign w:val="top"/>
          </w:tcPr>
          <w:p>
            <w:pPr>
              <w:spacing w:after="0"/>
            </w:pPr>
            <w:r>
              <w:rPr>
                <w:sz w:val="14"/>
              </w:rPr>
              <w:t>Pipelines</w:t>
            </w:r>
          </w:p>
        </w:tc>
        <w:tc>
          <w:tcPr>
            <w:tcW w:type="dxa" w:w="5074"/>
            <w:shd w:fill="F7F8F9"/>
            <w:vAlign w:val="top"/>
          </w:tcPr>
          <w:p>
            <w:pPr>
              <w:spacing w:after="0"/>
            </w:pPr>
            <w:r>
              <w:rPr>
                <w:sz w:val="14"/>
              </w:rPr>
              <w:t>Source code, compiled template/image digest, parameters, checkpoint/offset and runbook</w:t>
            </w:r>
          </w:p>
        </w:tc>
      </w:tr>
      <w:tr>
        <w:tc>
          <w:tcPr>
            <w:tcW w:type="dxa" w:w="5074"/>
            <w:vAlign w:val="top"/>
          </w:tcPr>
          <w:p>
            <w:pPr>
              <w:spacing w:after="0"/>
            </w:pPr>
            <w:r>
              <w:rPr>
                <w:sz w:val="14"/>
              </w:rPr>
              <w:t>Analytics</w:t>
            </w:r>
          </w:p>
        </w:tc>
        <w:tc>
          <w:tcPr>
            <w:tcW w:type="dxa" w:w="5074"/>
            <w:vAlign w:val="top"/>
          </w:tcPr>
          <w:p>
            <w:pPr>
              <w:spacing w:after="0"/>
            </w:pPr>
            <w:r>
              <w:rPr>
                <w:sz w:val="14"/>
              </w:rPr>
              <w:t>Semantic model, KPI definitions, dashboards and reservation assignments</w:t>
            </w:r>
          </w:p>
        </w:tc>
      </w:tr>
      <w:tr>
        <w:tc>
          <w:tcPr>
            <w:tcW w:type="dxa" w:w="5074"/>
            <w:shd w:fill="F7F8F9"/>
            <w:vAlign w:val="top"/>
          </w:tcPr>
          <w:p>
            <w:pPr>
              <w:spacing w:after="0"/>
            </w:pPr>
            <w:r>
              <w:rPr>
                <w:sz w:val="14"/>
              </w:rPr>
              <w:t>AI</w:t>
            </w:r>
          </w:p>
        </w:tc>
        <w:tc>
          <w:tcPr>
            <w:tcW w:type="dxa" w:w="5074"/>
            <w:shd w:fill="F7F8F9"/>
            <w:vAlign w:val="top"/>
          </w:tcPr>
          <w:p>
            <w:pPr>
              <w:spacing w:after="0"/>
            </w:pPr>
            <w:r>
              <w:rPr>
                <w:sz w:val="14"/>
              </w:rPr>
              <w:t>Model/prompt/evaluation/index/tool/policy bundle, approvals and prior champion</w:t>
            </w:r>
          </w:p>
        </w:tc>
      </w:tr>
      <w:tr>
        <w:tc>
          <w:tcPr>
            <w:tcW w:type="dxa" w:w="5074"/>
            <w:vAlign w:val="top"/>
          </w:tcPr>
          <w:p>
            <w:pPr>
              <w:spacing w:after="0"/>
            </w:pPr>
            <w:r>
              <w:rPr>
                <w:sz w:val="14"/>
              </w:rPr>
              <w:t>Security/operations</w:t>
            </w:r>
          </w:p>
        </w:tc>
        <w:tc>
          <w:tcPr>
            <w:tcW w:type="dxa" w:w="5074"/>
            <w:vAlign w:val="top"/>
          </w:tcPr>
          <w:p>
            <w:pPr>
              <w:spacing w:after="0"/>
            </w:pPr>
            <w:r>
              <w:rPr>
                <w:sz w:val="14"/>
              </w:rPr>
              <w:t>IAM/perimeter/KMS references, alert/runbook, incident and evidence-retention configuration</w:t>
            </w:r>
          </w:p>
        </w:tc>
      </w:tr>
    </w:tbl>
    <w:p>
      <w:pPr>
        <w:spacing w:after="0"/>
      </w:pPr>
    </w:p>
    <w:p>
      <w:r>
        <w:br w:type="page"/>
      </w:r>
    </w:p>
    <w:p>
      <w:pPr>
        <w:pStyle w:val="Heading2"/>
      </w:pPr>
      <w:r>
        <w:t>6.29 FinOps Unit-Economics Model</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Unit-economics focus</w:t>
            </w:r>
          </w:p>
        </w:tc>
        <w:tc>
          <w:tcPr>
            <w:tcW w:type="dxa" w:w="2537"/>
            <w:shd w:fill="174EA6"/>
          </w:tcPr>
          <w:p>
            <w:pPr>
              <w:spacing w:after="0"/>
            </w:pPr>
            <w:r>
              <w:rPr>
                <w:b/>
                <w:color w:val="FFFFFF"/>
                <w:sz w:val="13"/>
              </w:rPr>
              <w:t>Variable model</w:t>
            </w:r>
          </w:p>
        </w:tc>
        <w:tc>
          <w:tcPr>
            <w:tcW w:type="dxa" w:w="2537"/>
            <w:shd w:fill="174EA6"/>
          </w:tcPr>
          <w:p>
            <w:pPr>
              <w:spacing w:after="0"/>
            </w:pPr>
            <w:r>
              <w:rPr>
                <w:b/>
                <w:color w:val="FFFFFF"/>
                <w:sz w:val="13"/>
              </w:rPr>
              <w:t>Owner</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Cost per order, search, recommendation, customer event and inventory update</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Seasonal capacity planning and reservation adjustment</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r>
        <w:tc>
          <w:tcPr>
            <w:tcW w:type="dxa" w:w="2537"/>
            <w:vAlign w:val="top"/>
          </w:tcPr>
          <w:p>
            <w:pPr>
              <w:spacing w:after="0"/>
            </w:pPr>
            <w:r>
              <w:rPr>
                <w:sz w:val="13"/>
              </w:rPr>
              <w:t>Storage lifecycle for clickstream and product media</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Control personalization and GenAI token/tool budgets by channel</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Cost domain</w:t>
            </w:r>
          </w:p>
        </w:tc>
        <w:tc>
          <w:tcPr>
            <w:tcW w:type="dxa" w:w="3383"/>
            <w:shd w:fill="174EA6"/>
          </w:tcPr>
          <w:p>
            <w:pPr>
              <w:spacing w:after="0"/>
            </w:pPr>
            <w:r>
              <w:rPr>
                <w:b/>
                <w:color w:val="FFFFFF"/>
                <w:sz w:val="13"/>
              </w:rPr>
              <w:t>Measured variables</w:t>
            </w:r>
          </w:p>
        </w:tc>
        <w:tc>
          <w:tcPr>
            <w:tcW w:type="dxa" w:w="3383"/>
            <w:shd w:fill="174EA6"/>
          </w:tcPr>
          <w:p>
            <w:pPr>
              <w:spacing w:after="0"/>
            </w:pPr>
            <w:r>
              <w:rPr>
                <w:b/>
                <w:color w:val="FFFFFF"/>
                <w:sz w:val="13"/>
              </w:rPr>
              <w:t>Optimization guardrail</w:t>
            </w:r>
          </w:p>
        </w:tc>
      </w:tr>
      <w:tr>
        <w:tc>
          <w:tcPr>
            <w:tcW w:type="dxa" w:w="3383"/>
            <w:vAlign w:val="top"/>
          </w:tcPr>
          <w:p>
            <w:pPr>
              <w:spacing w:after="0"/>
            </w:pPr>
            <w:r>
              <w:rPr>
                <w:sz w:val="13"/>
              </w:rPr>
              <w:t>Ingestion/processing</w:t>
            </w:r>
          </w:p>
        </w:tc>
        <w:tc>
          <w:tcPr>
            <w:tcW w:type="dxa" w:w="3383"/>
            <w:vAlign w:val="top"/>
          </w:tcPr>
          <w:p>
            <w:pPr>
              <w:spacing w:after="0"/>
            </w:pPr>
            <w:r>
              <w:rPr>
                <w:sz w:val="13"/>
              </w:rPr>
              <w:t>events, bytes, worker/compute duration, shuffle, connector usage</w:t>
            </w:r>
          </w:p>
        </w:tc>
        <w:tc>
          <w:tcPr>
            <w:tcW w:type="dxa" w:w="3383"/>
            <w:vAlign w:val="top"/>
          </w:tcPr>
          <w:p>
            <w:pPr>
              <w:spacing w:after="0"/>
            </w:pPr>
            <w:r>
              <w:rPr>
                <w:sz w:val="13"/>
              </w:rPr>
              <w:t>Freshness, correctness and recovery cannot be weakened</w:t>
            </w:r>
          </w:p>
        </w:tc>
      </w:tr>
      <w:tr>
        <w:tc>
          <w:tcPr>
            <w:tcW w:type="dxa" w:w="3383"/>
            <w:shd w:fill="F7F8F9"/>
            <w:vAlign w:val="top"/>
          </w:tcPr>
          <w:p>
            <w:pPr>
              <w:spacing w:after="0"/>
            </w:pPr>
            <w:r>
              <w:rPr>
                <w:sz w:val="13"/>
              </w:rPr>
              <w:t>Warehouse/storage</w:t>
            </w:r>
          </w:p>
        </w:tc>
        <w:tc>
          <w:tcPr>
            <w:tcW w:type="dxa" w:w="3383"/>
            <w:shd w:fill="F7F8F9"/>
            <w:vAlign w:val="top"/>
          </w:tcPr>
          <w:p>
            <w:pPr>
              <w:spacing w:after="0"/>
            </w:pPr>
            <w:r>
              <w:rPr>
                <w:sz w:val="13"/>
              </w:rPr>
              <w:t>bytes/slots, table/index/storage class, retention and replication</w:t>
            </w:r>
          </w:p>
        </w:tc>
        <w:tc>
          <w:tcPr>
            <w:tcW w:type="dxa" w:w="3383"/>
            <w:shd w:fill="F7F8F9"/>
            <w:vAlign w:val="top"/>
          </w:tcPr>
          <w:p>
            <w:pPr>
              <w:spacing w:after="0"/>
            </w:pPr>
            <w:r>
              <w:rPr>
                <w:sz w:val="13"/>
              </w:rPr>
              <w:t>Regulatory retention and query performance maintained</w:t>
            </w:r>
          </w:p>
        </w:tc>
      </w:tr>
      <w:tr>
        <w:tc>
          <w:tcPr>
            <w:tcW w:type="dxa" w:w="3383"/>
            <w:vAlign w:val="top"/>
          </w:tcPr>
          <w:p>
            <w:pPr>
              <w:spacing w:after="0"/>
            </w:pPr>
            <w:r>
              <w:rPr>
                <w:sz w:val="13"/>
              </w:rPr>
              <w:t>Analytics</w:t>
            </w:r>
          </w:p>
        </w:tc>
        <w:tc>
          <w:tcPr>
            <w:tcW w:type="dxa" w:w="3383"/>
            <w:vAlign w:val="top"/>
          </w:tcPr>
          <w:p>
            <w:pPr>
              <w:spacing w:after="0"/>
            </w:pPr>
            <w:r>
              <w:rPr>
                <w:sz w:val="13"/>
              </w:rPr>
              <w:t>queries, BI Engine/cache, concurrency and extracts</w:t>
            </w:r>
          </w:p>
        </w:tc>
        <w:tc>
          <w:tcPr>
            <w:tcW w:type="dxa" w:w="3383"/>
            <w:vAlign w:val="top"/>
          </w:tcPr>
          <w:p>
            <w:pPr>
              <w:spacing w:after="0"/>
            </w:pPr>
            <w:r>
              <w:rPr>
                <w:sz w:val="13"/>
              </w:rPr>
              <w:t>Certified KPI correctness and access controls preserved</w:t>
            </w:r>
          </w:p>
        </w:tc>
      </w:tr>
      <w:tr>
        <w:tc>
          <w:tcPr>
            <w:tcW w:type="dxa" w:w="3383"/>
            <w:shd w:fill="F7F8F9"/>
            <w:vAlign w:val="top"/>
          </w:tcPr>
          <w:p>
            <w:pPr>
              <w:spacing w:after="0"/>
            </w:pPr>
            <w:r>
              <w:rPr>
                <w:sz w:val="13"/>
              </w:rPr>
              <w:t>AI</w:t>
            </w:r>
          </w:p>
        </w:tc>
        <w:tc>
          <w:tcPr>
            <w:tcW w:type="dxa" w:w="3383"/>
            <w:shd w:fill="F7F8F9"/>
            <w:vAlign w:val="top"/>
          </w:tcPr>
          <w:p>
            <w:pPr>
              <w:spacing w:after="0"/>
            </w:pPr>
            <w:r>
              <w:rPr>
                <w:sz w:val="13"/>
              </w:rPr>
              <w:t>input/output/cached tokens, model calls, vector operations, tool calls and evaluation</w:t>
            </w:r>
          </w:p>
        </w:tc>
        <w:tc>
          <w:tcPr>
            <w:tcW w:type="dxa" w:w="3383"/>
            <w:shd w:fill="F7F8F9"/>
            <w:vAlign w:val="top"/>
          </w:tcPr>
          <w:p>
            <w:pPr>
              <w:spacing w:after="0"/>
            </w:pPr>
            <w:r>
              <w:rPr>
                <w:sz w:val="13"/>
              </w:rPr>
              <w:t>Quality, safety, privacy and human control thresholds maintained</w:t>
            </w:r>
          </w:p>
        </w:tc>
      </w:tr>
      <w:tr>
        <w:tc>
          <w:tcPr>
            <w:tcW w:type="dxa" w:w="3383"/>
            <w:vAlign w:val="top"/>
          </w:tcPr>
          <w:p>
            <w:pPr>
              <w:spacing w:after="0"/>
            </w:pPr>
            <w:r>
              <w:rPr>
                <w:sz w:val="13"/>
              </w:rPr>
              <w:t>Telemetry/security</w:t>
            </w:r>
          </w:p>
        </w:tc>
        <w:tc>
          <w:tcPr>
            <w:tcW w:type="dxa" w:w="3383"/>
            <w:vAlign w:val="top"/>
          </w:tcPr>
          <w:p>
            <w:pPr>
              <w:spacing w:after="0"/>
            </w:pPr>
            <w:r>
              <w:rPr>
                <w:sz w:val="13"/>
              </w:rPr>
              <w:t>log/metric volume, retention, findings and scanning</w:t>
            </w:r>
          </w:p>
        </w:tc>
        <w:tc>
          <w:tcPr>
            <w:tcW w:type="dxa" w:w="3383"/>
            <w:vAlign w:val="top"/>
          </w:tcPr>
          <w:p>
            <w:pPr>
              <w:spacing w:after="0"/>
            </w:pPr>
            <w:r>
              <w:rPr>
                <w:sz w:val="13"/>
              </w:rPr>
              <w:t>Audit and incident evidence remain sufficient</w:t>
            </w:r>
          </w:p>
        </w:tc>
      </w:tr>
    </w:tbl>
    <w:p>
      <w:pPr>
        <w:spacing w:after="0"/>
      </w:pPr>
    </w:p>
    <w:p>
      <w:r>
        <w:br w:type="page"/>
      </w:r>
    </w:p>
    <w:p>
      <w:pPr>
        <w:pStyle w:val="Heading2"/>
      </w:pPr>
      <w:r>
        <w:t>6.30 Delivery Work Packages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Work package</w:t>
            </w:r>
          </w:p>
        </w:tc>
        <w:tc>
          <w:tcPr>
            <w:tcW w:type="dxa" w:w="2537"/>
            <w:shd w:fill="174EA6"/>
          </w:tcPr>
          <w:p>
            <w:pPr>
              <w:spacing w:after="0"/>
            </w:pPr>
            <w:r>
              <w:rPr>
                <w:b/>
                <w:color w:val="FFFFFF"/>
                <w:sz w:val="13"/>
              </w:rPr>
              <w:t>Outcome</w:t>
            </w:r>
          </w:p>
        </w:tc>
        <w:tc>
          <w:tcPr>
            <w:tcW w:type="dxa" w:w="2537"/>
            <w:shd w:fill="174EA6"/>
          </w:tcPr>
          <w:p>
            <w:pPr>
              <w:spacing w:after="0"/>
            </w:pPr>
            <w:r>
              <w:rPr>
                <w:b/>
                <w:color w:val="FFFFFF"/>
                <w:sz w:val="13"/>
              </w:rPr>
              <w:t>Team composition</w:t>
            </w:r>
          </w:p>
        </w:tc>
        <w:tc>
          <w:tcPr>
            <w:tcW w:type="dxa" w:w="2537"/>
            <w:shd w:fill="174EA6"/>
          </w:tcPr>
          <w:p>
            <w:pPr>
              <w:spacing w:after="0"/>
            </w:pPr>
            <w:r>
              <w:rPr>
                <w:b/>
                <w:color w:val="FFFFFF"/>
                <w:sz w:val="13"/>
              </w:rPr>
              <w:t>Exit gate</w:t>
            </w:r>
          </w:p>
        </w:tc>
      </w:tr>
      <w:tr>
        <w:tc>
          <w:tcPr>
            <w:tcW w:type="dxa" w:w="2537"/>
            <w:vAlign w:val="top"/>
          </w:tcPr>
          <w:p>
            <w:pPr>
              <w:spacing w:after="0"/>
            </w:pPr>
            <w:r>
              <w:rPr>
                <w:sz w:val="13"/>
              </w:rPr>
              <w:t>WP-01</w:t>
            </w:r>
          </w:p>
        </w:tc>
        <w:tc>
          <w:tcPr>
            <w:tcW w:type="dxa" w:w="2537"/>
            <w:vAlign w:val="top"/>
          </w:tcPr>
          <w:p>
            <w:pPr>
              <w:spacing w:after="0"/>
            </w:pPr>
            <w:r>
              <w:rPr>
                <w:sz w:val="13"/>
              </w:rPr>
              <w:t>Omnichannel ingestion and customer/product products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WP-02</w:t>
            </w:r>
          </w:p>
        </w:tc>
        <w:tc>
          <w:tcPr>
            <w:tcW w:type="dxa" w:w="2537"/>
            <w:shd w:fill="F7F8F9"/>
            <w:vAlign w:val="top"/>
          </w:tcPr>
          <w:p>
            <w:pPr>
              <w:spacing w:after="0"/>
            </w:pPr>
            <w:r>
              <w:rPr>
                <w:sz w:val="13"/>
              </w:rPr>
              <w:t>Inventory and order availability</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WP-03</w:t>
            </w:r>
          </w:p>
        </w:tc>
        <w:tc>
          <w:tcPr>
            <w:tcW w:type="dxa" w:w="2537"/>
            <w:vAlign w:val="top"/>
          </w:tcPr>
          <w:p>
            <w:pPr>
              <w:spacing w:after="0"/>
            </w:pPr>
            <w:r>
              <w:rPr>
                <w:sz w:val="13"/>
              </w:rPr>
              <w:t>Merchandising and supply-chain analytics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WP-04</w:t>
            </w:r>
          </w:p>
        </w:tc>
        <w:tc>
          <w:tcPr>
            <w:tcW w:type="dxa" w:w="2537"/>
            <w:shd w:fill="F7F8F9"/>
            <w:vAlign w:val="top"/>
          </w:tcPr>
          <w:p>
            <w:pPr>
              <w:spacing w:after="0"/>
            </w:pPr>
            <w:r>
              <w:rPr>
                <w:sz w:val="13"/>
              </w:rPr>
              <w:t>AI Commerce Search and personalization pilot</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WP-05</w:t>
            </w:r>
          </w:p>
        </w:tc>
        <w:tc>
          <w:tcPr>
            <w:tcW w:type="dxa" w:w="2537"/>
            <w:vAlign w:val="top"/>
          </w:tcPr>
          <w:p>
            <w:pPr>
              <w:spacing w:after="0"/>
            </w:pPr>
            <w:r>
              <w:rPr>
                <w:sz w:val="13"/>
              </w:rPr>
              <w:t>Shopping/associate agents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WP-06</w:t>
            </w:r>
          </w:p>
        </w:tc>
        <w:tc>
          <w:tcPr>
            <w:tcW w:type="dxa" w:w="2537"/>
            <w:shd w:fill="F7F8F9"/>
            <w:vAlign w:val="top"/>
          </w:tcPr>
          <w:p>
            <w:pPr>
              <w:spacing w:after="0"/>
            </w:pPr>
            <w:r>
              <w:rPr>
                <w:sz w:val="13"/>
              </w:rPr>
              <w:t>Global scale and seasonal resilience</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bl>
    <w:p>
      <w:pPr>
        <w:spacing w:after="0"/>
      </w:pPr>
    </w:p>
    <w:p>
      <w:pPr>
        <w:pStyle w:val="ListBullet"/>
      </w:pPr>
      <w:r>
        <w:t>Use representative high-value workloads rather than only low-risk demonstrations.</w:t>
      </w:r>
    </w:p>
    <w:p>
      <w:pPr>
        <w:pStyle w:val="ListBullet"/>
      </w:pPr>
      <w:r>
        <w:t>Run legacy/target outputs in parallel until reconciliation, user acceptance and recovery evidence are complete.</w:t>
      </w:r>
    </w:p>
    <w:p>
      <w:pPr>
        <w:pStyle w:val="ListBullet"/>
      </w:pPr>
      <w:r>
        <w:t>Track migration debt, exceptions, vendor dependencies, data-retention gaps and unimplemented controls.</w:t>
      </w:r>
    </w:p>
    <w:p>
      <w:pPr>
        <w:pStyle w:val="ListBullet"/>
      </w:pPr>
      <w:r>
        <w:t>Scale only after reliability, security, regulatory, operational and unit-economics thresholds are achieved.</w:t>
      </w:r>
    </w:p>
    <w:p>
      <w:r>
        <w:br w:type="page"/>
      </w:r>
    </w:p>
    <w:p>
      <w:pPr>
        <w:pStyle w:val="Heading2"/>
      </w:pPr>
      <w:r>
        <w:t>6.31 Operational Runbooks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Runbook</w:t>
            </w:r>
          </w:p>
        </w:tc>
        <w:tc>
          <w:tcPr>
            <w:tcW w:type="dxa" w:w="2537"/>
            <w:shd w:fill="174EA6"/>
          </w:tcPr>
          <w:p>
            <w:pPr>
              <w:spacing w:after="0"/>
            </w:pPr>
            <w:r>
              <w:rPr>
                <w:b/>
                <w:color w:val="FFFFFF"/>
                <w:sz w:val="13"/>
              </w:rPr>
              <w:t>Trigger</w:t>
            </w:r>
          </w:p>
        </w:tc>
        <w:tc>
          <w:tcPr>
            <w:tcW w:type="dxa" w:w="2537"/>
            <w:shd w:fill="174EA6"/>
          </w:tcPr>
          <w:p>
            <w:pPr>
              <w:spacing w:after="0"/>
            </w:pPr>
            <w:r>
              <w:rPr>
                <w:b/>
                <w:color w:val="FFFFFF"/>
                <w:sz w:val="13"/>
              </w:rPr>
              <w:t>Key actions</w:t>
            </w:r>
          </w:p>
        </w:tc>
        <w:tc>
          <w:tcPr>
            <w:tcW w:type="dxa" w:w="2537"/>
            <w:shd w:fill="174EA6"/>
          </w:tcPr>
          <w:p>
            <w:pPr>
              <w:spacing w:after="0"/>
            </w:pPr>
            <w:r>
              <w:rPr>
                <w:b/>
                <w:color w:val="FFFFFF"/>
                <w:sz w:val="13"/>
              </w:rPr>
              <w:t>Closure evidence</w:t>
            </w:r>
          </w:p>
        </w:tc>
      </w:tr>
      <w:tr>
        <w:tc>
          <w:tcPr>
            <w:tcW w:type="dxa" w:w="2537"/>
            <w:vAlign w:val="top"/>
          </w:tcPr>
          <w:p>
            <w:pPr>
              <w:spacing w:after="0"/>
            </w:pPr>
            <w:r>
              <w:rPr>
                <w:sz w:val="13"/>
              </w:rPr>
              <w:t>Ingestion backlog / lag</w:t>
            </w:r>
          </w:p>
        </w:tc>
        <w:tc>
          <w:tcPr>
            <w:tcW w:type="dxa" w:w="2537"/>
            <w:vAlign w:val="top"/>
          </w:tcPr>
          <w:p>
            <w:pPr>
              <w:spacing w:after="0"/>
            </w:pPr>
            <w:r>
              <w:rPr>
                <w:sz w:val="13"/>
              </w:rPr>
              <w:t>Freshness burn-rate or subscription/CDC backlog</w:t>
            </w:r>
          </w:p>
        </w:tc>
        <w:tc>
          <w:tcPr>
            <w:tcW w:type="dxa" w:w="2537"/>
            <w:vAlign w:val="top"/>
          </w:tcPr>
          <w:p>
            <w:pPr>
              <w:spacing w:after="0"/>
            </w:pPr>
            <w:r>
              <w:rPr>
                <w:sz w:val="13"/>
              </w:rPr>
              <w:t>Protect Tier 0 capacity, identify source/sink constraint, scale or shed noncritical load</w:t>
            </w:r>
          </w:p>
        </w:tc>
        <w:tc>
          <w:tcPr>
            <w:tcW w:type="dxa" w:w="2537"/>
            <w:vAlign w:val="top"/>
          </w:tcPr>
          <w:p>
            <w:pPr>
              <w:spacing w:after="0"/>
            </w:pPr>
            <w:r>
              <w:rPr>
                <w:sz w:val="13"/>
              </w:rPr>
              <w:t>Backlog cleared and data reconciled</w:t>
            </w:r>
          </w:p>
        </w:tc>
      </w:tr>
      <w:tr>
        <w:tc>
          <w:tcPr>
            <w:tcW w:type="dxa" w:w="2537"/>
            <w:shd w:fill="F7F8F9"/>
            <w:vAlign w:val="top"/>
          </w:tcPr>
          <w:p>
            <w:pPr>
              <w:spacing w:after="0"/>
            </w:pPr>
            <w:r>
              <w:rPr>
                <w:sz w:val="13"/>
              </w:rPr>
              <w:t>Schema/contract failure</w:t>
            </w:r>
          </w:p>
        </w:tc>
        <w:tc>
          <w:tcPr>
            <w:tcW w:type="dxa" w:w="2537"/>
            <w:shd w:fill="F7F8F9"/>
            <w:vAlign w:val="top"/>
          </w:tcPr>
          <w:p>
            <w:pPr>
              <w:spacing w:after="0"/>
            </w:pPr>
            <w:r>
              <w:rPr>
                <w:sz w:val="13"/>
              </w:rPr>
              <w:t>Quarantine spike or incompatible change</w:t>
            </w:r>
          </w:p>
        </w:tc>
        <w:tc>
          <w:tcPr>
            <w:tcW w:type="dxa" w:w="2537"/>
            <w:shd w:fill="F7F8F9"/>
            <w:vAlign w:val="top"/>
          </w:tcPr>
          <w:p>
            <w:pPr>
              <w:spacing w:after="0"/>
            </w:pPr>
            <w:r>
              <w:rPr>
                <w:sz w:val="13"/>
              </w:rPr>
              <w:t>Block publication, engage source owner, version/migrate contract</w:t>
            </w:r>
          </w:p>
        </w:tc>
        <w:tc>
          <w:tcPr>
            <w:tcW w:type="dxa" w:w="2537"/>
            <w:shd w:fill="F7F8F9"/>
            <w:vAlign w:val="top"/>
          </w:tcPr>
          <w:p>
            <w:pPr>
              <w:spacing w:after="0"/>
            </w:pPr>
            <w:r>
              <w:rPr>
                <w:sz w:val="13"/>
              </w:rPr>
              <w:t>Compatibility tests and consumer approval</w:t>
            </w:r>
          </w:p>
        </w:tc>
      </w:tr>
      <w:tr>
        <w:tc>
          <w:tcPr>
            <w:tcW w:type="dxa" w:w="2537"/>
            <w:vAlign w:val="top"/>
          </w:tcPr>
          <w:p>
            <w:pPr>
              <w:spacing w:after="0"/>
            </w:pPr>
            <w:r>
              <w:rPr>
                <w:sz w:val="13"/>
              </w:rPr>
              <w:t>Data-quality failure</w:t>
            </w:r>
          </w:p>
        </w:tc>
        <w:tc>
          <w:tcPr>
            <w:tcW w:type="dxa" w:w="2537"/>
            <w:vAlign w:val="top"/>
          </w:tcPr>
          <w:p>
            <w:pPr>
              <w:spacing w:after="0"/>
            </w:pPr>
            <w:r>
              <w:rPr>
                <w:sz w:val="13"/>
              </w:rPr>
              <w:t>Critical assertion or reconciliation mismatch</w:t>
            </w:r>
          </w:p>
        </w:tc>
        <w:tc>
          <w:tcPr>
            <w:tcW w:type="dxa" w:w="2537"/>
            <w:vAlign w:val="top"/>
          </w:tcPr>
          <w:p>
            <w:pPr>
              <w:spacing w:after="0"/>
            </w:pPr>
            <w:r>
              <w:rPr>
                <w:sz w:val="13"/>
              </w:rPr>
              <w:t>Stop certification, assess impact, correct and bounded replay</w:t>
            </w:r>
          </w:p>
        </w:tc>
        <w:tc>
          <w:tcPr>
            <w:tcW w:type="dxa" w:w="2537"/>
            <w:vAlign w:val="top"/>
          </w:tcPr>
          <w:p>
            <w:pPr>
              <w:spacing w:after="0"/>
            </w:pPr>
            <w:r>
              <w:rPr>
                <w:sz w:val="13"/>
              </w:rPr>
              <w:t>Quality and business totals pass</w:t>
            </w:r>
          </w:p>
        </w:tc>
      </w:tr>
      <w:tr>
        <w:tc>
          <w:tcPr>
            <w:tcW w:type="dxa" w:w="2537"/>
            <w:shd w:fill="F7F8F9"/>
            <w:vAlign w:val="top"/>
          </w:tcPr>
          <w:p>
            <w:pPr>
              <w:spacing w:after="0"/>
            </w:pPr>
            <w:r>
              <w:rPr>
                <w:sz w:val="13"/>
              </w:rPr>
              <w:t>Unauthorized access / leakage</w:t>
            </w:r>
          </w:p>
        </w:tc>
        <w:tc>
          <w:tcPr>
            <w:tcW w:type="dxa" w:w="2537"/>
            <w:shd w:fill="F7F8F9"/>
            <w:vAlign w:val="top"/>
          </w:tcPr>
          <w:p>
            <w:pPr>
              <w:spacing w:after="0"/>
            </w:pPr>
            <w:r>
              <w:rPr>
                <w:sz w:val="13"/>
              </w:rPr>
              <w:t>Audit/SCC/DLP alert</w:t>
            </w:r>
          </w:p>
        </w:tc>
        <w:tc>
          <w:tcPr>
            <w:tcW w:type="dxa" w:w="2537"/>
            <w:shd w:fill="F7F8F9"/>
            <w:vAlign w:val="top"/>
          </w:tcPr>
          <w:p>
            <w:pPr>
              <w:spacing w:after="0"/>
            </w:pPr>
            <w:r>
              <w:rPr>
                <w:sz w:val="13"/>
              </w:rPr>
              <w:t>Contain identity/resource, preserve evidence, notify security/privacy/legal</w:t>
            </w:r>
          </w:p>
        </w:tc>
        <w:tc>
          <w:tcPr>
            <w:tcW w:type="dxa" w:w="2537"/>
            <w:shd w:fill="F7F8F9"/>
            <w:vAlign w:val="top"/>
          </w:tcPr>
          <w:p>
            <w:pPr>
              <w:spacing w:after="0"/>
            </w:pPr>
            <w:r>
              <w:rPr>
                <w:sz w:val="13"/>
              </w:rPr>
              <w:t>Incident closure and control regression test</w:t>
            </w:r>
          </w:p>
        </w:tc>
      </w:tr>
      <w:tr>
        <w:tc>
          <w:tcPr>
            <w:tcW w:type="dxa" w:w="2537"/>
            <w:vAlign w:val="top"/>
          </w:tcPr>
          <w:p>
            <w:pPr>
              <w:spacing w:after="0"/>
            </w:pPr>
            <w:r>
              <w:rPr>
                <w:sz w:val="13"/>
              </w:rPr>
              <w:t>AI safety/quality event</w:t>
            </w:r>
          </w:p>
        </w:tc>
        <w:tc>
          <w:tcPr>
            <w:tcW w:type="dxa" w:w="2537"/>
            <w:vAlign w:val="top"/>
          </w:tcPr>
          <w:p>
            <w:pPr>
              <w:spacing w:after="0"/>
            </w:pPr>
            <w:r>
              <w:rPr>
                <w:sz w:val="13"/>
              </w:rPr>
              <w:t>Unsafe output, unsupported claim or tool misuse</w:t>
            </w:r>
          </w:p>
        </w:tc>
        <w:tc>
          <w:tcPr>
            <w:tcW w:type="dxa" w:w="2537"/>
            <w:vAlign w:val="top"/>
          </w:tcPr>
          <w:p>
            <w:pPr>
              <w:spacing w:after="0"/>
            </w:pPr>
            <w:r>
              <w:rPr>
                <w:sz w:val="13"/>
              </w:rPr>
              <w:t>Disable model/prompt/tool, preserve trajectory, switch to approved fallback</w:t>
            </w:r>
          </w:p>
        </w:tc>
        <w:tc>
          <w:tcPr>
            <w:tcW w:type="dxa" w:w="2537"/>
            <w:vAlign w:val="top"/>
          </w:tcPr>
          <w:p>
            <w:pPr>
              <w:spacing w:after="0"/>
            </w:pPr>
            <w:r>
              <w:rPr>
                <w:sz w:val="13"/>
              </w:rPr>
              <w:t>Evaluation and independent approval</w:t>
            </w:r>
          </w:p>
        </w:tc>
      </w:tr>
      <w:tr>
        <w:tc>
          <w:tcPr>
            <w:tcW w:type="dxa" w:w="2537"/>
            <w:shd w:fill="F7F8F9"/>
            <w:vAlign w:val="top"/>
          </w:tcPr>
          <w:p>
            <w:pPr>
              <w:spacing w:after="0"/>
            </w:pPr>
            <w:r>
              <w:rPr>
                <w:sz w:val="13"/>
              </w:rPr>
              <w:t>Regional recovery</w:t>
            </w:r>
          </w:p>
        </w:tc>
        <w:tc>
          <w:tcPr>
            <w:tcW w:type="dxa" w:w="2537"/>
            <w:shd w:fill="F7F8F9"/>
            <w:vAlign w:val="top"/>
          </w:tcPr>
          <w:p>
            <w:pPr>
              <w:spacing w:after="0"/>
            </w:pPr>
            <w:r>
              <w:rPr>
                <w:sz w:val="13"/>
              </w:rPr>
              <w:t>Regional service or dependency failure</w:t>
            </w:r>
          </w:p>
        </w:tc>
        <w:tc>
          <w:tcPr>
            <w:tcW w:type="dxa" w:w="2537"/>
            <w:shd w:fill="F7F8F9"/>
            <w:vAlign w:val="top"/>
          </w:tcPr>
          <w:p>
            <w:pPr>
              <w:spacing w:after="0"/>
            </w:pPr>
            <w:r>
              <w:rPr>
                <w:sz w:val="13"/>
              </w:rPr>
              <w:t>Activate approved alternate/rebuild/replay path and communications</w:t>
            </w:r>
          </w:p>
        </w:tc>
        <w:tc>
          <w:tcPr>
            <w:tcW w:type="dxa" w:w="2537"/>
            <w:shd w:fill="F7F8F9"/>
            <w:vAlign w:val="top"/>
          </w:tcPr>
          <w:p>
            <w:pPr>
              <w:spacing w:after="0"/>
            </w:pPr>
            <w:r>
              <w:rPr>
                <w:sz w:val="13"/>
              </w:rPr>
              <w:t>RTO/RPO met, data reconciled and failback approved</w:t>
            </w:r>
          </w:p>
        </w:tc>
      </w:tr>
    </w:tbl>
    <w:p>
      <w:pPr>
        <w:spacing w:after="0"/>
      </w:pPr>
    </w:p>
    <w:p>
      <w:r>
        <w:br w:type="page"/>
      </w:r>
    </w:p>
    <w:p>
      <w:pPr>
        <w:pStyle w:val="Heading1"/>
      </w:pPr>
      <w:r>
        <w:t>7. Telecommunications Reference Implementation</w:t>
      </w:r>
    </w:p>
    <w:p>
      <w:r>
        <w:t>A multinational communications service provider with mobile, fixed, broadband, enterprise and wholesale services. The platform processes high-volume CDR, network telemetry, service assurance, subscriber, billing and customer-care data to improve network reliability, customer experience, revenue assurance and automation.</w:t>
      </w:r>
    </w:p>
    <w:p>
      <w:pPr>
        <w:jc w:val="center"/>
      </w:pPr>
      <w:r>
        <w:drawing>
          <wp:inline xmlns:a="http://schemas.openxmlformats.org/drawingml/2006/main" xmlns:pic="http://schemas.openxmlformats.org/drawingml/2006/picture">
            <wp:extent cx="6156000" cy="937191"/>
            <wp:docPr id="7" name="Picture 7" descr="Image: image6.png"/>
            <wp:cNvGraphicFramePr>
              <a:graphicFrameLocks noChangeAspect="1"/>
            </wp:cNvGraphicFramePr>
            <a:graphic>
              <a:graphicData uri="http://schemas.openxmlformats.org/drawingml/2006/picture">
                <pic:pic>
                  <pic:nvPicPr>
                    <pic:cNvPr id="0" name="04_telecom_architecture.png"/>
                    <pic:cNvPicPr/>
                  </pic:nvPicPr>
                  <pic:blipFill>
                    <a:blip r:embed="rId16"/>
                    <a:stretch>
                      <a:fillRect/>
                    </a:stretch>
                  </pic:blipFill>
                  <pic:spPr>
                    <a:xfrm>
                      <a:off x="0" y="0"/>
                      <a:ext cx="6156000" cy="937191"/>
                    </a:xfrm>
                    <a:prstGeom prst="rect"/>
                  </pic:spPr>
                </pic:pic>
              </a:graphicData>
            </a:graphic>
          </wp:inline>
        </w:drawing>
      </w:r>
    </w:p>
    <w:p>
      <w:pPr>
        <w:jc w:val="center"/>
      </w:pPr>
      <w:r>
        <w:rPr>
          <w:b/>
          <w:sz w:val="16"/>
        </w:rPr>
        <w:t>Figure 7-1. Telecommunications logical reference architecture with industry controls.</w:t>
      </w:r>
    </w:p>
    <w:p>
      <w:pPr>
        <w:pStyle w:val="Heading2"/>
      </w:pPr>
      <w:r>
        <w:t>7.1 Business Context and Capabilities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Capability</w:t>
            </w:r>
          </w:p>
        </w:tc>
        <w:tc>
          <w:tcPr>
            <w:tcW w:type="dxa" w:w="5074"/>
            <w:shd w:fill="174EA6"/>
          </w:tcPr>
          <w:p>
            <w:pPr>
              <w:spacing w:after="0"/>
            </w:pPr>
            <w:r>
              <w:rPr>
                <w:b/>
                <w:color w:val="FFFFFF"/>
                <w:sz w:val="14"/>
              </w:rPr>
              <w:t>Architecture response</w:t>
            </w:r>
          </w:p>
        </w:tc>
      </w:tr>
      <w:tr>
        <w:tc>
          <w:tcPr>
            <w:tcW w:type="dxa" w:w="5074"/>
            <w:vAlign w:val="top"/>
          </w:tcPr>
          <w:p>
            <w:pPr>
              <w:spacing w:after="0"/>
            </w:pPr>
            <w:r>
              <w:rPr>
                <w:sz w:val="14"/>
              </w:rPr>
              <w:t>Subscriber and service 360</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Network performance and topology analytics</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Service assurance and fault correlation</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Usage, charging and revenue assurance</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Churn and next-best-action analytics</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Capacity and investment planning</w:t>
            </w:r>
          </w:p>
        </w:tc>
        <w:tc>
          <w:tcPr>
            <w:tcW w:type="dxa" w:w="5074"/>
            <w:shd w:fill="F7F8F9"/>
            <w:vAlign w:val="top"/>
          </w:tcPr>
          <w:p>
            <w:pPr>
              <w:spacing w:after="0"/>
            </w:pPr>
            <w:r>
              <w:rPr>
                <w:sz w:val="14"/>
              </w:rPr>
              <w:t>Delivered through governed domain products, analytical interfaces and risk-appropriate automation.</w:t>
            </w:r>
          </w:p>
        </w:tc>
      </w:tr>
      <w:tr>
        <w:tc>
          <w:tcPr>
            <w:tcW w:type="dxa" w:w="5074"/>
            <w:vAlign w:val="top"/>
          </w:tcPr>
          <w:p>
            <w:pPr>
              <w:spacing w:after="0"/>
            </w:pPr>
            <w:r>
              <w:rPr>
                <w:sz w:val="14"/>
              </w:rPr>
              <w:t>Field operations and trouble-ticket optimization</w:t>
            </w:r>
          </w:p>
        </w:tc>
        <w:tc>
          <w:tcPr>
            <w:tcW w:type="dxa" w:w="5074"/>
            <w:vAlign w:val="top"/>
          </w:tcPr>
          <w:p>
            <w:pPr>
              <w:spacing w:after="0"/>
            </w:pPr>
            <w:r>
              <w:rPr>
                <w:sz w:val="14"/>
              </w:rPr>
              <w:t>Delivered through governed domain products, analytical interfaces and risk-appropriate automation.</w:t>
            </w:r>
          </w:p>
        </w:tc>
      </w:tr>
      <w:tr>
        <w:tc>
          <w:tcPr>
            <w:tcW w:type="dxa" w:w="5074"/>
            <w:shd w:fill="F7F8F9"/>
            <w:vAlign w:val="top"/>
          </w:tcPr>
          <w:p>
            <w:pPr>
              <w:spacing w:after="0"/>
            </w:pPr>
            <w:r>
              <w:rPr>
                <w:sz w:val="14"/>
              </w:rPr>
              <w:t>Network and customer-care copilots</w:t>
            </w:r>
          </w:p>
        </w:tc>
        <w:tc>
          <w:tcPr>
            <w:tcW w:type="dxa" w:w="5074"/>
            <w:shd w:fill="F7F8F9"/>
            <w:vAlign w:val="top"/>
          </w:tcPr>
          <w:p>
            <w:pPr>
              <w:spacing w:after="0"/>
            </w:pPr>
            <w:r>
              <w:rPr>
                <w:sz w:val="14"/>
              </w:rPr>
              <w:t>Delivered through governed domain products, analytical interfaces and risk-appropriate automation.</w:t>
            </w:r>
          </w:p>
        </w:tc>
      </w:tr>
    </w:tbl>
    <w:p>
      <w:pPr>
        <w:spacing w:after="0"/>
      </w:pPr>
    </w:p>
    <w:p>
      <w:pPr>
        <w:pStyle w:val="Heading2"/>
      </w:pPr>
      <w:r>
        <w:t>7.2 Regulatory Requirements</w:t>
      </w:r>
    </w:p>
    <w:p>
      <w:r>
        <w:t>FCC CPNI rules in the United States, GDPR and ePrivacy obligations where applicable, NIS2 and critical-infrastructure cybersecurity requirements in the EU, lawful-intercept and retention obligations by jurisdiction, spectrum and service-quality reporting, records management and cross-border restrictions. FCC rules protect customer proprietary network information held by carriers.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 objective</w:t>
            </w:r>
          </w:p>
        </w:tc>
        <w:tc>
          <w:tcPr>
            <w:tcW w:type="dxa" w:w="5074"/>
            <w:shd w:fill="174EA6"/>
          </w:tcPr>
          <w:p>
            <w:pPr>
              <w:spacing w:after="0"/>
            </w:pPr>
            <w:r>
              <w:rPr>
                <w:b/>
                <w:color w:val="FFFFFF"/>
                <w:sz w:val="14"/>
              </w:rPr>
              <w:t>Implementation pattern</w:t>
            </w:r>
          </w:p>
        </w:tc>
      </w:tr>
      <w:tr>
        <w:tc>
          <w:tcPr>
            <w:tcW w:type="dxa" w:w="5074"/>
            <w:vAlign w:val="top"/>
          </w:tcPr>
          <w:p>
            <w:pPr>
              <w:spacing w:after="0"/>
            </w:pPr>
            <w:r>
              <w:rPr>
                <w:sz w:val="14"/>
              </w:rPr>
              <w:t>Data inventory and purpose</w:t>
            </w:r>
          </w:p>
        </w:tc>
        <w:tc>
          <w:tcPr>
            <w:tcW w:type="dxa" w:w="5074"/>
            <w:vAlign w:val="top"/>
          </w:tcPr>
          <w:p>
            <w:pPr>
              <w:spacing w:after="0"/>
            </w:pPr>
            <w:r>
              <w:rPr>
                <w:sz w:val="14"/>
              </w:rPr>
              <w:t>Catalog every source/product and approved processing purpose.</w:t>
            </w:r>
          </w:p>
        </w:tc>
      </w:tr>
      <w:tr>
        <w:tc>
          <w:tcPr>
            <w:tcW w:type="dxa" w:w="5074"/>
            <w:shd w:fill="F7F8F9"/>
            <w:vAlign w:val="top"/>
          </w:tcPr>
          <w:p>
            <w:pPr>
              <w:spacing w:after="0"/>
            </w:pPr>
            <w:r>
              <w:rPr>
                <w:sz w:val="14"/>
              </w:rPr>
              <w:t>Access and segregation</w:t>
            </w:r>
          </w:p>
        </w:tc>
        <w:tc>
          <w:tcPr>
            <w:tcW w:type="dxa" w:w="5074"/>
            <w:shd w:fill="F7F8F9"/>
            <w:vAlign w:val="top"/>
          </w:tcPr>
          <w:p>
            <w:pPr>
              <w:spacing w:after="0"/>
            </w:pPr>
            <w:r>
              <w:rPr>
                <w:sz w:val="14"/>
              </w:rPr>
              <w:t>Group-based least privilege, workload identity, JIT elevation and separation of duties.</w:t>
            </w:r>
          </w:p>
        </w:tc>
      </w:tr>
      <w:tr>
        <w:tc>
          <w:tcPr>
            <w:tcW w:type="dxa" w:w="5074"/>
            <w:vAlign w:val="top"/>
          </w:tcPr>
          <w:p>
            <w:pPr>
              <w:spacing w:after="0"/>
            </w:pPr>
            <w:r>
              <w:rPr>
                <w:sz w:val="14"/>
              </w:rPr>
              <w:t>Protection</w:t>
            </w:r>
          </w:p>
        </w:tc>
        <w:tc>
          <w:tcPr>
            <w:tcW w:type="dxa" w:w="5074"/>
            <w:vAlign w:val="top"/>
          </w:tcPr>
          <w:p>
            <w:pPr>
              <w:spacing w:after="0"/>
            </w:pPr>
            <w:r>
              <w:rPr>
                <w:sz w:val="14"/>
              </w:rPr>
              <w:t>Regional projects, VPC Service Controls, CMEK/HSM as required, de-identification/tokenization.</w:t>
            </w:r>
          </w:p>
        </w:tc>
      </w:tr>
      <w:tr>
        <w:tc>
          <w:tcPr>
            <w:tcW w:type="dxa" w:w="5074"/>
            <w:shd w:fill="F7F8F9"/>
            <w:vAlign w:val="top"/>
          </w:tcPr>
          <w:p>
            <w:pPr>
              <w:spacing w:after="0"/>
            </w:pPr>
            <w:r>
              <w:rPr>
                <w:sz w:val="14"/>
              </w:rPr>
              <w:t>Evidence</w:t>
            </w:r>
          </w:p>
        </w:tc>
        <w:tc>
          <w:tcPr>
            <w:tcW w:type="dxa" w:w="5074"/>
            <w:shd w:fill="F7F8F9"/>
            <w:vAlign w:val="top"/>
          </w:tcPr>
          <w:p>
            <w:pPr>
              <w:spacing w:after="0"/>
            </w:pPr>
            <w:r>
              <w:rPr>
                <w:sz w:val="14"/>
              </w:rPr>
              <w:t>Immutable audit, data lineage, deployment/model evidence, incident and recovery records.</w:t>
            </w:r>
          </w:p>
        </w:tc>
      </w:tr>
      <w:tr>
        <w:tc>
          <w:tcPr>
            <w:tcW w:type="dxa" w:w="5074"/>
            <w:vAlign w:val="top"/>
          </w:tcPr>
          <w:p>
            <w:pPr>
              <w:spacing w:after="0"/>
            </w:pPr>
            <w:r>
              <w:rPr>
                <w:sz w:val="14"/>
              </w:rPr>
              <w:t>Resilience</w:t>
            </w:r>
          </w:p>
        </w:tc>
        <w:tc>
          <w:tcPr>
            <w:tcW w:type="dxa" w:w="5074"/>
            <w:vAlign w:val="top"/>
          </w:tcPr>
          <w:p>
            <w:pPr>
              <w:spacing w:after="0"/>
            </w:pPr>
            <w:r>
              <w:rPr>
                <w:sz w:val="14"/>
              </w:rPr>
              <w:t>Critical-journey SLOs, dependency mapping, tested failover/replay and third-party escalation.</w:t>
            </w:r>
          </w:p>
        </w:tc>
      </w:tr>
      <w:tr>
        <w:tc>
          <w:tcPr>
            <w:tcW w:type="dxa" w:w="5074"/>
            <w:shd w:fill="F7F8F9"/>
            <w:vAlign w:val="top"/>
          </w:tcPr>
          <w:p>
            <w:pPr>
              <w:spacing w:after="0"/>
            </w:pPr>
            <w:r>
              <w:rPr>
                <w:sz w:val="14"/>
              </w:rPr>
              <w:t>Lifecycle</w:t>
            </w:r>
          </w:p>
        </w:tc>
        <w:tc>
          <w:tcPr>
            <w:tcW w:type="dxa" w:w="5074"/>
            <w:shd w:fill="F7F8F9"/>
            <w:vAlign w:val="top"/>
          </w:tcPr>
          <w:p>
            <w:pPr>
              <w:spacing w:after="0"/>
            </w:pPr>
            <w:r>
              <w:rPr>
                <w:sz w:val="14"/>
              </w:rPr>
              <w:t>Retention, legal hold, deletion and derived-artifact propagation.</w:t>
            </w:r>
          </w:p>
        </w:tc>
      </w:tr>
    </w:tbl>
    <w:p>
      <w:pPr>
        <w:spacing w:after="0"/>
      </w:pPr>
    </w:p>
    <w:p>
      <w:pPr>
        <w:pStyle w:val="Heading2"/>
      </w:pPr>
      <w:r>
        <w:t>7.3 Data Sources and Ingestion</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Source category</w:t>
            </w:r>
          </w:p>
        </w:tc>
        <w:tc>
          <w:tcPr>
            <w:tcW w:type="dxa" w:w="3383"/>
            <w:shd w:fill="174EA6"/>
          </w:tcPr>
          <w:p>
            <w:pPr>
              <w:spacing w:after="0"/>
            </w:pPr>
            <w:r>
              <w:rPr>
                <w:b/>
                <w:color w:val="FFFFFF"/>
                <w:sz w:val="13"/>
              </w:rPr>
              <w:t>Recommended ingestion</w:t>
            </w:r>
          </w:p>
        </w:tc>
        <w:tc>
          <w:tcPr>
            <w:tcW w:type="dxa" w:w="3383"/>
            <w:shd w:fill="174EA6"/>
          </w:tcPr>
          <w:p>
            <w:pPr>
              <w:spacing w:after="0"/>
            </w:pPr>
            <w:r>
              <w:rPr>
                <w:b/>
                <w:color w:val="FFFFFF"/>
                <w:sz w:val="13"/>
              </w:rPr>
              <w:t>Key controls</w:t>
            </w:r>
          </w:p>
        </w:tc>
      </w:tr>
      <w:tr>
        <w:tc>
          <w:tcPr>
            <w:tcW w:type="dxa" w:w="3383"/>
            <w:vAlign w:val="top"/>
          </w:tcPr>
          <w:p>
            <w:pPr>
              <w:spacing w:after="0"/>
            </w:pPr>
            <w:r>
              <w:rPr>
                <w:sz w:val="13"/>
              </w:rPr>
              <w:t>BSS billing, CRM and product catalog</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OSS inventory, topology, alarms and performance</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Call detail and usage records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Network probes and telemetry streams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RAN, core, transport and fixed-network elements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Customer care and ticketing</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Field-service and workforce systems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Mediation and charging platforms</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r>
        <w:tc>
          <w:tcPr>
            <w:tcW w:type="dxa" w:w="3383"/>
            <w:vAlign w:val="top"/>
          </w:tcPr>
          <w:p>
            <w:pPr>
              <w:spacing w:after="0"/>
            </w:pPr>
            <w:r>
              <w:rPr>
                <w:sz w:val="13"/>
              </w:rPr>
              <w:t>Partner/roaming and wholesale feeds</w:t>
            </w:r>
          </w:p>
        </w:tc>
        <w:tc>
          <w:tcPr>
            <w:tcW w:type="dxa" w:w="3383"/>
            <w:vAlign w:val="top"/>
          </w:tcPr>
          <w:p>
            <w:pPr>
              <w:spacing w:after="0"/>
            </w:pPr>
            <w:r>
              <w:rPr>
                <w:sz w:val="13"/>
              </w:rPr>
              <w:t>Datastream / Pub/Sub / Dataflow / file and API pattern</w:t>
            </w:r>
          </w:p>
        </w:tc>
        <w:tc>
          <w:tcPr>
            <w:tcW w:type="dxa" w:w="3383"/>
            <w:vAlign w:val="top"/>
          </w:tcPr>
          <w:p>
            <w:pPr>
              <w:spacing w:after="0"/>
            </w:pPr>
            <w:r>
              <w:rPr>
                <w:sz w:val="13"/>
              </w:rPr>
              <w:t>Contract, private path, schema validation, quarantine, event/validity time and replay</w:t>
            </w:r>
          </w:p>
        </w:tc>
      </w:tr>
      <w:tr>
        <w:tc>
          <w:tcPr>
            <w:tcW w:type="dxa" w:w="3383"/>
            <w:shd w:fill="F7F8F9"/>
            <w:vAlign w:val="top"/>
          </w:tcPr>
          <w:p>
            <w:pPr>
              <w:spacing w:after="0"/>
            </w:pPr>
            <w:r>
              <w:rPr>
                <w:sz w:val="13"/>
              </w:rPr>
              <w:t>Digital channel and experience telemetry</w:t>
            </w:r>
          </w:p>
        </w:tc>
        <w:tc>
          <w:tcPr>
            <w:tcW w:type="dxa" w:w="3383"/>
            <w:shd w:fill="F7F8F9"/>
            <w:vAlign w:val="top"/>
          </w:tcPr>
          <w:p>
            <w:pPr>
              <w:spacing w:after="0"/>
            </w:pPr>
            <w:r>
              <w:rPr>
                <w:sz w:val="13"/>
              </w:rPr>
              <w:t>Datastream / Pub/Sub / Dataflow / file and API pattern</w:t>
            </w:r>
          </w:p>
        </w:tc>
        <w:tc>
          <w:tcPr>
            <w:tcW w:type="dxa" w:w="3383"/>
            <w:shd w:fill="F7F8F9"/>
            <w:vAlign w:val="top"/>
          </w:tcPr>
          <w:p>
            <w:pPr>
              <w:spacing w:after="0"/>
            </w:pPr>
            <w:r>
              <w:rPr>
                <w:sz w:val="13"/>
              </w:rPr>
              <w:t>Contract, private path, schema validation, quarantine, event/validity time and replay</w:t>
            </w:r>
          </w:p>
        </w:tc>
      </w:tr>
    </w:tbl>
    <w:p>
      <w:pPr>
        <w:spacing w:after="0"/>
      </w:pPr>
    </w:p>
    <w:p>
      <w:pPr>
        <w:pStyle w:val="Heading2"/>
      </w:pPr>
      <w:r>
        <w:t>7.4 Landing Zone and Networking</w:t>
      </w:r>
    </w:p>
    <w:p>
      <w:pPr>
        <w:pStyle w:val="ListBullet"/>
      </w:pPr>
      <w:r>
        <w:t>Separate regional production projects for shared platform, industry domains and high-risk workloads.</w:t>
      </w:r>
    </w:p>
    <w:p>
      <w:pPr>
        <w:pStyle w:val="ListBullet"/>
      </w:pPr>
      <w:r>
        <w:t>Use Shared VPC, private API paths/PSC where supported, restricted egress and hybrid connectivity sized to source/DR needs.</w:t>
      </w:r>
    </w:p>
    <w:p>
      <w:pPr>
        <w:pStyle w:val="ListBullet"/>
      </w:pPr>
      <w:r>
        <w:t>Apply tags/labels for industry, domain, product, environment, region, owner, classification, cost center and tier.</w:t>
      </w:r>
    </w:p>
    <w:p>
      <w:pPr>
        <w:pStyle w:val="ListBullet"/>
      </w:pPr>
      <w:r>
        <w:t>Place Restricted/Regulated projects in VPC Service Controls perimeters where service paths are supported and tested.</w:t>
      </w:r>
    </w:p>
    <w:p>
      <w:pPr>
        <w:pStyle w:val="ListBullet"/>
      </w:pPr>
      <w:r>
        <w:t>Use dedicated KMS key rings by region and classification; service-agent permissions are deployed through approved modules.</w:t>
      </w:r>
    </w:p>
    <w:p>
      <w:pPr>
        <w:pStyle w:val="Heading2"/>
      </w:pPr>
      <w:r>
        <w:t>7.5 Data Layers and Data Products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Layer</w:t>
            </w:r>
          </w:p>
        </w:tc>
        <w:tc>
          <w:tcPr>
            <w:tcW w:type="dxa" w:w="5074"/>
            <w:shd w:fill="174EA6"/>
          </w:tcPr>
          <w:p>
            <w:pPr>
              <w:spacing w:after="0"/>
            </w:pPr>
            <w:r>
              <w:rPr>
                <w:b/>
                <w:color w:val="FFFFFF"/>
                <w:sz w:val="14"/>
              </w:rPr>
              <w:t>Industry implementation</w:t>
            </w:r>
          </w:p>
        </w:tc>
      </w:tr>
      <w:tr>
        <w:tc>
          <w:tcPr>
            <w:tcW w:type="dxa" w:w="5074"/>
            <w:vAlign w:val="top"/>
          </w:tcPr>
          <w:p>
            <w:pPr>
              <w:spacing w:after="0"/>
            </w:pPr>
            <w:r>
              <w:rPr>
                <w:sz w:val="14"/>
              </w:rPr>
              <w:t>Landing/raw</w:t>
            </w:r>
          </w:p>
        </w:tc>
        <w:tc>
          <w:tcPr>
            <w:tcW w:type="dxa" w:w="5074"/>
            <w:vAlign w:val="top"/>
          </w:tcPr>
          <w:p>
            <w:pPr>
              <w:spacing w:after="0"/>
            </w:pPr>
            <w:r>
              <w:rPr>
                <w:sz w:val="14"/>
              </w:rPr>
              <w:t>Immutable source records, source metadata, legal/retention controls and quarantine.</w:t>
            </w:r>
          </w:p>
        </w:tc>
      </w:tr>
      <w:tr>
        <w:tc>
          <w:tcPr>
            <w:tcW w:type="dxa" w:w="5074"/>
            <w:shd w:fill="F7F8F9"/>
            <w:vAlign w:val="top"/>
          </w:tcPr>
          <w:p>
            <w:pPr>
              <w:spacing w:after="0"/>
            </w:pPr>
            <w:r>
              <w:rPr>
                <w:sz w:val="14"/>
              </w:rPr>
              <w:t>Standardized</w:t>
            </w:r>
          </w:p>
        </w:tc>
        <w:tc>
          <w:tcPr>
            <w:tcW w:type="dxa" w:w="5074"/>
            <w:shd w:fill="F7F8F9"/>
            <w:vAlign w:val="top"/>
          </w:tcPr>
          <w:p>
            <w:pPr>
              <w:spacing w:after="0"/>
            </w:pPr>
            <w:r>
              <w:rPr>
                <w:sz w:val="14"/>
              </w:rPr>
              <w:t>Canonical industry entities, source identifiers, event/validity timestamps and data-quality results.</w:t>
            </w:r>
          </w:p>
        </w:tc>
      </w:tr>
      <w:tr>
        <w:tc>
          <w:tcPr>
            <w:tcW w:type="dxa" w:w="5074"/>
            <w:vAlign w:val="top"/>
          </w:tcPr>
          <w:p>
            <w:pPr>
              <w:spacing w:after="0"/>
            </w:pPr>
            <w:r>
              <w:rPr>
                <w:sz w:val="14"/>
              </w:rPr>
              <w:t>Curated/product</w:t>
            </w:r>
          </w:p>
        </w:tc>
        <w:tc>
          <w:tcPr>
            <w:tcW w:type="dxa" w:w="5074"/>
            <w:vAlign w:val="top"/>
          </w:tcPr>
          <w:p>
            <w:pPr>
              <w:spacing w:after="0"/>
            </w:pPr>
            <w:r>
              <w:rPr>
                <w:sz w:val="14"/>
              </w:rPr>
              <w:t>Domain-owned products listed below with contracts, certification and SLOs.</w:t>
            </w:r>
          </w:p>
        </w:tc>
      </w:tr>
      <w:tr>
        <w:tc>
          <w:tcPr>
            <w:tcW w:type="dxa" w:w="5074"/>
            <w:shd w:fill="F7F8F9"/>
            <w:vAlign w:val="top"/>
          </w:tcPr>
          <w:p>
            <w:pPr>
              <w:spacing w:after="0"/>
            </w:pPr>
            <w:r>
              <w:rPr>
                <w:sz w:val="14"/>
              </w:rPr>
              <w:t>Semantic/serving</w:t>
            </w:r>
          </w:p>
        </w:tc>
        <w:tc>
          <w:tcPr>
            <w:tcW w:type="dxa" w:w="5074"/>
            <w:shd w:fill="F7F8F9"/>
            <w:vAlign w:val="top"/>
          </w:tcPr>
          <w:p>
            <w:pPr>
              <w:spacing w:after="0"/>
            </w:pPr>
            <w:r>
              <w:rPr>
                <w:sz w:val="14"/>
              </w:rPr>
              <w:t>Looker/BigQuery/API/feature/RAG interfaces separated by consumer and purpose.</w:t>
            </w:r>
          </w:p>
        </w:tc>
      </w:tr>
      <w:tr>
        <w:tc>
          <w:tcPr>
            <w:tcW w:type="dxa" w:w="5074"/>
            <w:vAlign w:val="top"/>
          </w:tcPr>
          <w:p>
            <w:pPr>
              <w:spacing w:after="0"/>
            </w:pPr>
            <w:r>
              <w:rPr>
                <w:sz w:val="14"/>
              </w:rPr>
              <w:t>Archive/recovery</w:t>
            </w:r>
          </w:p>
        </w:tc>
        <w:tc>
          <w:tcPr>
            <w:tcW w:type="dxa" w:w="5074"/>
            <w:vAlign w:val="top"/>
          </w:tcPr>
          <w:p>
            <w:pPr>
              <w:spacing w:after="0"/>
            </w:pPr>
            <w:r>
              <w:rPr>
                <w:sz w:val="14"/>
              </w:rPr>
              <w:t>Policy-driven retention, source replay, legal hold and recovery evidence.</w:t>
            </w:r>
          </w:p>
        </w:tc>
      </w:tr>
    </w:tbl>
    <w:p>
      <w:pPr>
        <w:spacing w:after="0"/>
      </w:pP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Data product</w:t>
            </w:r>
          </w:p>
        </w:tc>
        <w:tc>
          <w:tcPr>
            <w:tcW w:type="dxa" w:w="2537"/>
            <w:shd w:fill="174EA6"/>
          </w:tcPr>
          <w:p>
            <w:pPr>
              <w:spacing w:after="0"/>
            </w:pPr>
            <w:r>
              <w:rPr>
                <w:b/>
                <w:color w:val="FFFFFF"/>
                <w:sz w:val="13"/>
              </w:rPr>
              <w:t>Owner/accountability</w:t>
            </w:r>
          </w:p>
        </w:tc>
        <w:tc>
          <w:tcPr>
            <w:tcW w:type="dxa" w:w="2537"/>
            <w:shd w:fill="174EA6"/>
          </w:tcPr>
          <w:p>
            <w:pPr>
              <w:spacing w:after="0"/>
            </w:pPr>
            <w:r>
              <w:rPr>
                <w:b/>
                <w:color w:val="FFFFFF"/>
                <w:sz w:val="13"/>
              </w:rPr>
              <w:t>Primary consumers</w:t>
            </w:r>
          </w:p>
        </w:tc>
        <w:tc>
          <w:tcPr>
            <w:tcW w:type="dxa" w:w="2537"/>
            <w:shd w:fill="174EA6"/>
          </w:tcPr>
          <w:p>
            <w:pPr>
              <w:spacing w:after="0"/>
            </w:pPr>
            <w:r>
              <w:rPr>
                <w:b/>
                <w:color w:val="FFFFFF"/>
                <w:sz w:val="13"/>
              </w:rPr>
              <w:t>Baseline SLO</w:t>
            </w:r>
          </w:p>
        </w:tc>
      </w:tr>
      <w:tr>
        <w:tc>
          <w:tcPr>
            <w:tcW w:type="dxa" w:w="2537"/>
            <w:vAlign w:val="top"/>
          </w:tcPr>
          <w:p>
            <w:pPr>
              <w:spacing w:after="0"/>
            </w:pPr>
            <w:r>
              <w:rPr>
                <w:sz w:val="13"/>
              </w:rPr>
              <w:t>Subscriber and account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Subscription and service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Network resource and topology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Alarm and incident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Performance measurement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Usage and CDR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Charging and revenue-assurance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Customer experience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r>
        <w:tc>
          <w:tcPr>
            <w:tcW w:type="dxa" w:w="2537"/>
            <w:vAlign w:val="top"/>
          </w:tcPr>
          <w:p>
            <w:pPr>
              <w:spacing w:after="0"/>
            </w:pPr>
            <w:r>
              <w:rPr>
                <w:sz w:val="13"/>
              </w:rPr>
              <w:t>Field operation product</w:t>
            </w:r>
          </w:p>
        </w:tc>
        <w:tc>
          <w:tcPr>
            <w:tcW w:type="dxa" w:w="2537"/>
            <w:vAlign w:val="top"/>
          </w:tcPr>
          <w:p>
            <w:pPr>
              <w:spacing w:after="0"/>
            </w:pPr>
            <w:r>
              <w:rPr>
                <w:sz w:val="13"/>
              </w:rPr>
              <w:t>Industry domain product owner</w:t>
            </w:r>
          </w:p>
        </w:tc>
        <w:tc>
          <w:tcPr>
            <w:tcW w:type="dxa" w:w="2537"/>
            <w:vAlign w:val="top"/>
          </w:tcPr>
          <w:p>
            <w:pPr>
              <w:spacing w:after="0"/>
            </w:pPr>
            <w:r>
              <w:rPr>
                <w:sz w:val="13"/>
              </w:rPr>
              <w:t>Analytics, operations, applications and approved AI</w:t>
            </w:r>
          </w:p>
        </w:tc>
        <w:tc>
          <w:tcPr>
            <w:tcW w:type="dxa" w:w="2537"/>
            <w:vAlign w:val="top"/>
          </w:tcPr>
          <w:p>
            <w:pPr>
              <w:spacing w:after="0"/>
            </w:pPr>
            <w:r>
              <w:rPr>
                <w:sz w:val="13"/>
              </w:rPr>
              <w:t>Tier and freshness defined in product contract</w:t>
            </w:r>
          </w:p>
        </w:tc>
      </w:tr>
      <w:tr>
        <w:tc>
          <w:tcPr>
            <w:tcW w:type="dxa" w:w="2537"/>
            <w:shd w:fill="F7F8F9"/>
            <w:vAlign w:val="top"/>
          </w:tcPr>
          <w:p>
            <w:pPr>
              <w:spacing w:after="0"/>
            </w:pPr>
            <w:r>
              <w:rPr>
                <w:sz w:val="13"/>
              </w:rPr>
              <w:t>Capacity and investment product</w:t>
            </w:r>
          </w:p>
        </w:tc>
        <w:tc>
          <w:tcPr>
            <w:tcW w:type="dxa" w:w="2537"/>
            <w:shd w:fill="F7F8F9"/>
            <w:vAlign w:val="top"/>
          </w:tcPr>
          <w:p>
            <w:pPr>
              <w:spacing w:after="0"/>
            </w:pPr>
            <w:r>
              <w:rPr>
                <w:sz w:val="13"/>
              </w:rPr>
              <w:t>Industry domain product owner</w:t>
            </w:r>
          </w:p>
        </w:tc>
        <w:tc>
          <w:tcPr>
            <w:tcW w:type="dxa" w:w="2537"/>
            <w:shd w:fill="F7F8F9"/>
            <w:vAlign w:val="top"/>
          </w:tcPr>
          <w:p>
            <w:pPr>
              <w:spacing w:after="0"/>
            </w:pPr>
            <w:r>
              <w:rPr>
                <w:sz w:val="13"/>
              </w:rPr>
              <w:t>Analytics, operations, applications and approved AI</w:t>
            </w:r>
          </w:p>
        </w:tc>
        <w:tc>
          <w:tcPr>
            <w:tcW w:type="dxa" w:w="2537"/>
            <w:shd w:fill="F7F8F9"/>
            <w:vAlign w:val="top"/>
          </w:tcPr>
          <w:p>
            <w:pPr>
              <w:spacing w:after="0"/>
            </w:pPr>
            <w:r>
              <w:rPr>
                <w:sz w:val="13"/>
              </w:rPr>
              <w:t>Tier and freshness defined in product contract</w:t>
            </w:r>
          </w:p>
        </w:tc>
      </w:tr>
    </w:tbl>
    <w:p>
      <w:pPr>
        <w:spacing w:after="0"/>
      </w:pPr>
    </w:p>
    <w:p>
      <w:pPr>
        <w:pStyle w:val="Heading2"/>
      </w:pPr>
      <w:r>
        <w:t>7.6 Data Mesh and Governance</w:t>
      </w:r>
    </w:p>
    <w:p>
      <w:r>
        <w:t>The industry is decomposed into business domains rather than technology silos. Domain product owners own meaning, quality, SLO, access intent and economics. The central platform team owns project factory, network, IAM/KMS patterns, ingestion/runtime templates, catalog integrations, observability and release controls. The federated governance council approves cross-domain definitions, high-risk sharing, certification and deprecation.</w:t>
      </w:r>
    </w:p>
    <w:p>
      <w:pPr>
        <w:pStyle w:val="Heading2"/>
      </w:pPr>
      <w:r>
        <w:t>7.7 Analytics and Semantic Layer</w:t>
      </w:r>
    </w:p>
    <w:p>
      <w:pPr>
        <w:pStyle w:val="ListBullet"/>
      </w:pPr>
      <w:r>
        <w:t>Define certified measures with business owner, formula, grain, time basis, exclusions, currency/unit and reconciliation source.</w:t>
      </w:r>
    </w:p>
    <w:p>
      <w:pPr>
        <w:pStyle w:val="ListBullet"/>
      </w:pPr>
      <w:r>
        <w:t>Expose Restricted detail through authorized views, row/column policies and purpose-specific semantic models.</w:t>
      </w:r>
    </w:p>
    <w:p>
      <w:pPr>
        <w:pStyle w:val="ListBullet"/>
      </w:pPr>
      <w:r>
        <w:t>Separate operational, executive, regulatory and exploratory workloads through reservations/assignments and cost labels.</w:t>
      </w:r>
    </w:p>
    <w:p>
      <w:pPr>
        <w:pStyle w:val="ListBullet"/>
      </w:pPr>
      <w:r>
        <w:t>Attach freshness and quality status to dashboards; do not display stale regulated metrics without clear indication.</w:t>
      </w:r>
    </w:p>
    <w:p>
      <w:pPr>
        <w:pStyle w:val="Heading2"/>
      </w:pPr>
      <w:r>
        <w:t>7.8 AI and GenAI</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Use case</w:t>
            </w:r>
          </w:p>
        </w:tc>
        <w:tc>
          <w:tcPr>
            <w:tcW w:type="dxa" w:w="5074"/>
            <w:shd w:fill="174EA6"/>
          </w:tcPr>
          <w:p>
            <w:pPr>
              <w:spacing w:after="0"/>
            </w:pPr>
            <w:r>
              <w:rPr>
                <w:b/>
                <w:color w:val="FFFFFF"/>
                <w:sz w:val="13"/>
              </w:rPr>
              <w:t>Required control</w:t>
            </w:r>
          </w:p>
        </w:tc>
      </w:tr>
      <w:tr>
        <w:tc>
          <w:tcPr>
            <w:tcW w:type="dxa" w:w="5074"/>
            <w:vAlign w:val="top"/>
          </w:tcPr>
          <w:p>
            <w:pPr>
              <w:spacing w:after="0"/>
            </w:pPr>
            <w:r>
              <w:rPr>
                <w:sz w:val="13"/>
              </w:rPr>
              <w:t>Network anomaly and root-cause models</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Churn and customer-experience prediction</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Grounded network operations copilot using approved topology/runbooks</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Customer-care agent with CPNI-aware authorization</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Capacity forecasting and energy optimization</w:t>
            </w:r>
          </w:p>
        </w:tc>
        <w:tc>
          <w:tcPr>
            <w:tcW w:type="dxa" w:w="5074"/>
            <w:vAlign w:val="top"/>
          </w:tcPr>
          <w:p>
            <w:pPr>
              <w:spacing w:after="0"/>
            </w:pPr>
            <w:r>
              <w:rPr>
                <w:sz w:val="13"/>
              </w:rPr>
              <w:t>Risk tier, approved data/model, evaluation, human oversight, audit, rollback and prohibited-use statement</w:t>
            </w:r>
          </w:p>
        </w:tc>
      </w:tr>
      <w:tr>
        <w:tc>
          <w:tcPr>
            <w:tcW w:type="dxa" w:w="5074"/>
            <w:shd w:fill="F7F8F9"/>
            <w:vAlign w:val="top"/>
          </w:tcPr>
          <w:p>
            <w:pPr>
              <w:spacing w:after="0"/>
            </w:pPr>
            <w:r>
              <w:rPr>
                <w:sz w:val="13"/>
              </w:rPr>
              <w:t>Field-technician assistance with device and location controls</w:t>
            </w:r>
          </w:p>
        </w:tc>
        <w:tc>
          <w:tcPr>
            <w:tcW w:type="dxa" w:w="5074"/>
            <w:shd w:fill="F7F8F9"/>
            <w:vAlign w:val="top"/>
          </w:tcPr>
          <w:p>
            <w:pPr>
              <w:spacing w:after="0"/>
            </w:pPr>
            <w:r>
              <w:rPr>
                <w:sz w:val="13"/>
              </w:rPr>
              <w:t>Risk tier, approved data/model, evaluation, human oversight, audit, rollback and prohibited-use statement</w:t>
            </w:r>
          </w:p>
        </w:tc>
      </w:tr>
      <w:tr>
        <w:tc>
          <w:tcPr>
            <w:tcW w:type="dxa" w:w="5074"/>
            <w:vAlign w:val="top"/>
          </w:tcPr>
          <w:p>
            <w:pPr>
              <w:spacing w:after="0"/>
            </w:pPr>
            <w:r>
              <w:rPr>
                <w:sz w:val="13"/>
              </w:rPr>
              <w:t>Telecom Network Automation as conditional network-domain capability</w:t>
            </w:r>
          </w:p>
        </w:tc>
        <w:tc>
          <w:tcPr>
            <w:tcW w:type="dxa" w:w="5074"/>
            <w:vAlign w:val="top"/>
          </w:tcPr>
          <w:p>
            <w:pPr>
              <w:spacing w:after="0"/>
            </w:pPr>
            <w:r>
              <w:rPr>
                <w:sz w:val="13"/>
              </w:rPr>
              <w:t>Risk tier, approved data/model, evaluation, human oversight, audit, rollback and prohibited-use statement</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CE8E6"/>
          </w:tcPr>
          <w:p>
            <w:r>
              <w:rPr>
                <w:b/>
                <w:color w:val="17365D"/>
              </w:rPr>
              <w:t xml:space="preserve">Industry AI rule - </w:t>
            </w:r>
            <w:r>
              <w:t>Models and agents cannot expand user authorization. Retrieval and tool access are enforced server-side using caller identity, product policy, purpose and action risk.</w:t>
            </w:r>
          </w:p>
        </w:tc>
        <w:trPr>
          <w:tblHeader/>
        </w:trPr>
      </w:tr>
    </w:tbl>
    <w:p>
      <w:pPr>
        <w:spacing w:after="0"/>
      </w:pPr>
    </w:p>
    <w:p>
      <w:pPr>
        <w:pStyle w:val="Heading2"/>
      </w:pPr>
      <w:r>
        <w:t>7.9 Security and Privacy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Control</w:t>
            </w:r>
          </w:p>
        </w:tc>
        <w:tc>
          <w:tcPr>
            <w:tcW w:type="dxa" w:w="5074"/>
            <w:shd w:fill="174EA6"/>
          </w:tcPr>
          <w:p>
            <w:pPr>
              <w:spacing w:after="0"/>
            </w:pPr>
            <w:r>
              <w:rPr>
                <w:b/>
                <w:color w:val="FFFFFF"/>
                <w:sz w:val="14"/>
              </w:rPr>
              <w:t>Industry requirement</w:t>
            </w:r>
          </w:p>
        </w:tc>
      </w:tr>
      <w:tr>
        <w:tc>
          <w:tcPr>
            <w:tcW w:type="dxa" w:w="5074"/>
            <w:vAlign w:val="top"/>
          </w:tcPr>
          <w:p>
            <w:pPr>
              <w:spacing w:after="0"/>
            </w:pPr>
            <w:r>
              <w:rPr>
                <w:sz w:val="14"/>
              </w:rPr>
              <w:t>CPNI classification and purpose-based access</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NIS2-aligned risk, incident and supply-chain controls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Regional perimeters for subscriber and network data</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CMEK and strict access to CDR/location data</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Network-management tool actions require policy gateway and approval</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Separate IT, BSS and network/OT trust zones</w:t>
            </w:r>
          </w:p>
        </w:tc>
        <w:tc>
          <w:tcPr>
            <w:tcW w:type="dxa" w:w="5074"/>
            <w:shd w:fill="F7F8F9"/>
            <w:vAlign w:val="top"/>
          </w:tcPr>
          <w:p>
            <w:pPr>
              <w:spacing w:after="0"/>
            </w:pPr>
            <w:r>
              <w:rPr>
                <w:sz w:val="14"/>
              </w:rPr>
              <w:t>Mandatory or risk-based implementation evidence before production</w:t>
            </w:r>
          </w:p>
        </w:tc>
      </w:tr>
      <w:tr>
        <w:tc>
          <w:tcPr>
            <w:tcW w:type="dxa" w:w="5074"/>
            <w:vAlign w:val="top"/>
          </w:tcPr>
          <w:p>
            <w:pPr>
              <w:spacing w:after="0"/>
            </w:pPr>
            <w:r>
              <w:rPr>
                <w:sz w:val="14"/>
              </w:rPr>
              <w:t>Minimize precise location in analytics and AI contexts</w:t>
            </w:r>
          </w:p>
        </w:tc>
        <w:tc>
          <w:tcPr>
            <w:tcW w:type="dxa" w:w="5074"/>
            <w:vAlign w:val="top"/>
          </w:tcPr>
          <w:p>
            <w:pPr>
              <w:spacing w:after="0"/>
            </w:pPr>
            <w:r>
              <w:rPr>
                <w:sz w:val="14"/>
              </w:rPr>
              <w:t>Mandatory or risk-based implementation evidence before production</w:t>
            </w:r>
          </w:p>
        </w:tc>
      </w:tr>
      <w:tr>
        <w:tc>
          <w:tcPr>
            <w:tcW w:type="dxa" w:w="5074"/>
            <w:shd w:fill="F7F8F9"/>
            <w:vAlign w:val="top"/>
          </w:tcPr>
          <w:p>
            <w:pPr>
              <w:spacing w:after="0"/>
            </w:pPr>
            <w:r>
              <w:rPr>
                <w:sz w:val="14"/>
              </w:rPr>
              <w:t>High-fidelity audit for network and customer-data access</w:t>
            </w:r>
          </w:p>
        </w:tc>
        <w:tc>
          <w:tcPr>
            <w:tcW w:type="dxa" w:w="5074"/>
            <w:shd w:fill="F7F8F9"/>
            <w:vAlign w:val="top"/>
          </w:tcPr>
          <w:p>
            <w:pPr>
              <w:spacing w:after="0"/>
            </w:pPr>
            <w:r>
              <w:rPr>
                <w:sz w:val="14"/>
              </w:rPr>
              <w:t>Mandatory or risk-based implementation evidence before production</w:t>
            </w:r>
          </w:p>
        </w:tc>
      </w:tr>
    </w:tbl>
    <w:p>
      <w:pPr>
        <w:spacing w:after="0"/>
      </w:pPr>
    </w:p>
    <w:p>
      <w:pPr>
        <w:pStyle w:val="Heading2"/>
      </w:pPr>
      <w:r>
        <w:t>7.10 DevSecOps and Infrastructure as Code</w:t>
      </w:r>
    </w:p>
    <w:p>
      <w:pPr>
        <w:pStyle w:val="ListBullet"/>
      </w:pPr>
      <w:r>
        <w:t>Store Terraform, pipelines, SQL, semantic models, prompts, evaluation sets, policies and runbooks in protected repositories.</w:t>
      </w:r>
    </w:p>
    <w:p>
      <w:pPr>
        <w:pStyle w:val="ListBullet"/>
      </w:pPr>
      <w:r>
        <w:t>Build once and promote immutable artifact digests; do not rebuild per environment.</w:t>
      </w:r>
    </w:p>
    <w:p>
      <w:pPr>
        <w:pStyle w:val="ListBullet"/>
      </w:pPr>
      <w:r>
        <w:t>Run unit, contract, integration, data-quality, security, privacy, performance, resilience and rollback tests.</w:t>
      </w:r>
    </w:p>
    <w:p>
      <w:pPr>
        <w:pStyle w:val="ListBullet"/>
      </w:pPr>
      <w:r>
        <w:t>Require independent approvals for production and high-risk model/prompt/tool releases.</w:t>
      </w:r>
    </w:p>
    <w:p>
      <w:pPr>
        <w:pStyle w:val="ListBullet"/>
      </w:pPr>
      <w:r>
        <w:t>Volume 9 and Volume 13 provide the full CI/CD and Terraform operating implementation; this volume supplies industry-specific inputs and examples.</w:t>
      </w:r>
    </w:p>
    <w:p>
      <w:pPr>
        <w:pStyle w:val="Heading2"/>
      </w:pPr>
      <w:r>
        <w:t>7.11 SRE and Operational Model</w:t>
      </w:r>
    </w:p>
    <w:p>
      <w:r>
        <w:t>Tier 0 streaming telemetry, alarm and service-impact productsHigh-cardinality metric governance and samplingService-impact SLOs linked to subscriber and network domainsJoint NOC/SRE incident model and dependency maps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Operational requirement</w:t>
            </w:r>
          </w:p>
        </w:tc>
        <w:tc>
          <w:tcPr>
            <w:tcW w:type="dxa" w:w="5074"/>
            <w:shd w:fill="174EA6"/>
          </w:tcPr>
          <w:p>
            <w:pPr>
              <w:spacing w:after="0"/>
            </w:pPr>
            <w:r>
              <w:rPr>
                <w:b/>
                <w:color w:val="FFFFFF"/>
                <w:sz w:val="14"/>
              </w:rPr>
              <w:t>Standard</w:t>
            </w:r>
          </w:p>
        </w:tc>
      </w:tr>
      <w:tr>
        <w:tc>
          <w:tcPr>
            <w:tcW w:type="dxa" w:w="5074"/>
            <w:vAlign w:val="top"/>
          </w:tcPr>
          <w:p>
            <w:pPr>
              <w:spacing w:after="0"/>
            </w:pPr>
            <w:r>
              <w:rPr>
                <w:sz w:val="14"/>
              </w:rPr>
              <w:t>Ownership</w:t>
            </w:r>
          </w:p>
        </w:tc>
        <w:tc>
          <w:tcPr>
            <w:tcW w:type="dxa" w:w="5074"/>
            <w:vAlign w:val="top"/>
          </w:tcPr>
          <w:p>
            <w:pPr>
              <w:spacing w:after="0"/>
            </w:pPr>
            <w:r>
              <w:rPr>
                <w:sz w:val="14"/>
              </w:rPr>
              <w:t>Business service owner, product owner, technical owner and on-call recorded.</w:t>
            </w:r>
          </w:p>
        </w:tc>
      </w:tr>
      <w:tr>
        <w:tc>
          <w:tcPr>
            <w:tcW w:type="dxa" w:w="5074"/>
            <w:shd w:fill="F7F8F9"/>
            <w:vAlign w:val="top"/>
          </w:tcPr>
          <w:p>
            <w:pPr>
              <w:spacing w:after="0"/>
            </w:pPr>
            <w:r>
              <w:rPr>
                <w:sz w:val="14"/>
              </w:rPr>
              <w:t>SLIs/SLOs</w:t>
            </w:r>
          </w:p>
        </w:tc>
        <w:tc>
          <w:tcPr>
            <w:tcW w:type="dxa" w:w="5074"/>
            <w:shd w:fill="F7F8F9"/>
            <w:vAlign w:val="top"/>
          </w:tcPr>
          <w:p>
            <w:pPr>
              <w:spacing w:after="0"/>
            </w:pPr>
            <w:r>
              <w:rPr>
                <w:sz w:val="14"/>
              </w:rPr>
              <w:t>User journey, freshness, quality, availability, latency, backlog and recovery measured.</w:t>
            </w:r>
          </w:p>
        </w:tc>
      </w:tr>
      <w:tr>
        <w:tc>
          <w:tcPr>
            <w:tcW w:type="dxa" w:w="5074"/>
            <w:vAlign w:val="top"/>
          </w:tcPr>
          <w:p>
            <w:pPr>
              <w:spacing w:after="0"/>
            </w:pPr>
            <w:r>
              <w:rPr>
                <w:sz w:val="14"/>
              </w:rPr>
              <w:t>Alerting</w:t>
            </w:r>
          </w:p>
        </w:tc>
        <w:tc>
          <w:tcPr>
            <w:tcW w:type="dxa" w:w="5074"/>
            <w:vAlign w:val="top"/>
          </w:tcPr>
          <w:p>
            <w:pPr>
              <w:spacing w:after="0"/>
            </w:pPr>
            <w:r>
              <w:rPr>
                <w:sz w:val="14"/>
              </w:rPr>
              <w:t>Burn-rate/symptom pages; dependency and lifecycle tickets; every page has a runbook.</w:t>
            </w:r>
          </w:p>
        </w:tc>
      </w:tr>
      <w:tr>
        <w:tc>
          <w:tcPr>
            <w:tcW w:type="dxa" w:w="5074"/>
            <w:shd w:fill="F7F8F9"/>
            <w:vAlign w:val="top"/>
          </w:tcPr>
          <w:p>
            <w:pPr>
              <w:spacing w:after="0"/>
            </w:pPr>
            <w:r>
              <w:rPr>
                <w:sz w:val="14"/>
              </w:rPr>
              <w:t>Incident</w:t>
            </w:r>
          </w:p>
        </w:tc>
        <w:tc>
          <w:tcPr>
            <w:tcW w:type="dxa" w:w="5074"/>
            <w:shd w:fill="F7F8F9"/>
            <w:vAlign w:val="top"/>
          </w:tcPr>
          <w:p>
            <w:pPr>
              <w:spacing w:after="0"/>
            </w:pPr>
            <w:r>
              <w:rPr>
                <w:sz w:val="14"/>
              </w:rPr>
              <w:t>Industry/business control owner joins security/SRE according to impact.</w:t>
            </w:r>
          </w:p>
        </w:tc>
      </w:tr>
      <w:tr>
        <w:tc>
          <w:tcPr>
            <w:tcW w:type="dxa" w:w="5074"/>
            <w:vAlign w:val="top"/>
          </w:tcPr>
          <w:p>
            <w:pPr>
              <w:spacing w:after="0"/>
            </w:pPr>
            <w:r>
              <w:rPr>
                <w:sz w:val="14"/>
              </w:rPr>
              <w:t>Capacity</w:t>
            </w:r>
          </w:p>
        </w:tc>
        <w:tc>
          <w:tcPr>
            <w:tcW w:type="dxa" w:w="5074"/>
            <w:vAlign w:val="top"/>
          </w:tcPr>
          <w:p>
            <w:pPr>
              <w:spacing w:after="0"/>
            </w:pPr>
            <w:r>
              <w:rPr>
                <w:sz w:val="14"/>
              </w:rPr>
              <w:t>Forecast growth, seasonality, model/vector/token use and backfill capacity.</w:t>
            </w:r>
          </w:p>
        </w:tc>
      </w:tr>
      <w:tr>
        <w:tc>
          <w:tcPr>
            <w:tcW w:type="dxa" w:w="5074"/>
            <w:shd w:fill="F7F8F9"/>
            <w:vAlign w:val="top"/>
          </w:tcPr>
          <w:p>
            <w:pPr>
              <w:spacing w:after="0"/>
            </w:pPr>
            <w:r>
              <w:rPr>
                <w:sz w:val="14"/>
              </w:rPr>
              <w:t>Review</w:t>
            </w:r>
          </w:p>
        </w:tc>
        <w:tc>
          <w:tcPr>
            <w:tcW w:type="dxa" w:w="5074"/>
            <w:shd w:fill="F7F8F9"/>
            <w:vAlign w:val="top"/>
          </w:tcPr>
          <w:p>
            <w:pPr>
              <w:spacing w:after="0"/>
            </w:pPr>
            <w:r>
              <w:rPr>
                <w:sz w:val="14"/>
              </w:rPr>
              <w:t>Monthly service review and quarterly risk/cost/resilience review.</w:t>
            </w:r>
          </w:p>
        </w:tc>
      </w:tr>
    </w:tbl>
    <w:p>
      <w:pPr>
        <w:spacing w:after="0"/>
      </w:pPr>
    </w:p>
    <w:p>
      <w:pPr>
        <w:pStyle w:val="Heading2"/>
      </w:pPr>
      <w:r>
        <w:t>7.12 Disaster Recovery and Business Continuity</w:t>
      </w:r>
    </w:p>
    <w:p>
      <w:r>
        <w:t>Multi-region recovery for subscriber/service and assurance productsDurable CDR/telemetry replay and sequence handlingNOC continuity during cloud or connectivity failuresNIS2 and critical-service cyber-recovery exercises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Tier</w:t>
            </w:r>
          </w:p>
        </w:tc>
        <w:tc>
          <w:tcPr>
            <w:tcW w:type="dxa" w:w="3383"/>
            <w:shd w:fill="174EA6"/>
          </w:tcPr>
          <w:p>
            <w:pPr>
              <w:spacing w:after="0"/>
            </w:pPr>
            <w:r>
              <w:rPr>
                <w:b/>
                <w:color w:val="FFFFFF"/>
                <w:sz w:val="14"/>
              </w:rPr>
              <w:t>Target</w:t>
            </w:r>
          </w:p>
        </w:tc>
        <w:tc>
          <w:tcPr>
            <w:tcW w:type="dxa" w:w="3383"/>
            <w:shd w:fill="174EA6"/>
          </w:tcPr>
          <w:p>
            <w:pPr>
              <w:spacing w:after="0"/>
            </w:pPr>
            <w:r>
              <w:rPr>
                <w:b/>
                <w:color w:val="FFFFFF"/>
                <w:sz w:val="14"/>
              </w:rPr>
              <w:t>Industry application</w:t>
            </w:r>
          </w:p>
        </w:tc>
      </w:tr>
      <w:tr>
        <w:tc>
          <w:tcPr>
            <w:tcW w:type="dxa" w:w="3383"/>
            <w:vAlign w:val="top"/>
          </w:tcPr>
          <w:p>
            <w:pPr>
              <w:spacing w:after="0"/>
            </w:pPr>
            <w:r>
              <w:rPr>
                <w:sz w:val="14"/>
              </w:rPr>
              <w:t>0</w:t>
            </w:r>
          </w:p>
        </w:tc>
        <w:tc>
          <w:tcPr>
            <w:tcW w:type="dxa" w:w="3383"/>
            <w:vAlign w:val="top"/>
          </w:tcPr>
          <w:p>
            <w:pPr>
              <w:spacing w:after="0"/>
            </w:pPr>
            <w:r>
              <w:rPr>
                <w:sz w:val="14"/>
              </w:rPr>
              <w:t>RTO &lt;1h; RPO &lt;5m</w:t>
            </w:r>
          </w:p>
        </w:tc>
        <w:tc>
          <w:tcPr>
            <w:tcW w:type="dxa" w:w="3383"/>
            <w:vAlign w:val="top"/>
          </w:tcPr>
          <w:p>
            <w:pPr>
              <w:spacing w:after="0"/>
            </w:pPr>
            <w:r>
              <w:rPr>
                <w:sz w:val="14"/>
              </w:rPr>
              <w:t>Critical real-time/operational products and decision support</w:t>
            </w:r>
          </w:p>
        </w:tc>
      </w:tr>
      <w:tr>
        <w:tc>
          <w:tcPr>
            <w:tcW w:type="dxa" w:w="3383"/>
            <w:shd w:fill="F7F8F9"/>
            <w:vAlign w:val="top"/>
          </w:tcPr>
          <w:p>
            <w:pPr>
              <w:spacing w:after="0"/>
            </w:pPr>
            <w:r>
              <w:rPr>
                <w:sz w:val="14"/>
              </w:rPr>
              <w:t>1</w:t>
            </w:r>
          </w:p>
        </w:tc>
        <w:tc>
          <w:tcPr>
            <w:tcW w:type="dxa" w:w="3383"/>
            <w:shd w:fill="F7F8F9"/>
            <w:vAlign w:val="top"/>
          </w:tcPr>
          <w:p>
            <w:pPr>
              <w:spacing w:after="0"/>
            </w:pPr>
            <w:r>
              <w:rPr>
                <w:sz w:val="14"/>
              </w:rPr>
              <w:t>RTO &lt;4h; RPO &lt;15m</w:t>
            </w:r>
          </w:p>
        </w:tc>
        <w:tc>
          <w:tcPr>
            <w:tcW w:type="dxa" w:w="3383"/>
            <w:shd w:fill="F7F8F9"/>
            <w:vAlign w:val="top"/>
          </w:tcPr>
          <w:p>
            <w:pPr>
              <w:spacing w:after="0"/>
            </w:pPr>
            <w:r>
              <w:rPr>
                <w:sz w:val="14"/>
              </w:rPr>
              <w:t>High-value analytical, risk, inventory, assurance and AI services</w:t>
            </w:r>
          </w:p>
        </w:tc>
      </w:tr>
      <w:tr>
        <w:tc>
          <w:tcPr>
            <w:tcW w:type="dxa" w:w="3383"/>
            <w:vAlign w:val="top"/>
          </w:tcPr>
          <w:p>
            <w:pPr>
              <w:spacing w:after="0"/>
            </w:pPr>
            <w:r>
              <w:rPr>
                <w:sz w:val="14"/>
              </w:rPr>
              <w:t>2</w:t>
            </w:r>
          </w:p>
        </w:tc>
        <w:tc>
          <w:tcPr>
            <w:tcW w:type="dxa" w:w="3383"/>
            <w:vAlign w:val="top"/>
          </w:tcPr>
          <w:p>
            <w:pPr>
              <w:spacing w:after="0"/>
            </w:pPr>
            <w:r>
              <w:rPr>
                <w:sz w:val="14"/>
              </w:rPr>
              <w:t>RTO &lt;24h; RPO &lt;24h</w:t>
            </w:r>
          </w:p>
        </w:tc>
        <w:tc>
          <w:tcPr>
            <w:tcW w:type="dxa" w:w="3383"/>
            <w:vAlign w:val="top"/>
          </w:tcPr>
          <w:p>
            <w:pPr>
              <w:spacing w:after="0"/>
            </w:pPr>
            <w:r>
              <w:rPr>
                <w:sz w:val="14"/>
              </w:rPr>
              <w:t>Exploratory, historical and non-critical workloads</w:t>
            </w:r>
          </w:p>
        </w:tc>
      </w:tr>
    </w:tbl>
    <w:p>
      <w:pPr>
        <w:spacing w:after="0"/>
      </w:pPr>
    </w:p>
    <w:p>
      <w:pPr>
        <w:pStyle w:val="Heading2"/>
      </w:pPr>
      <w:r>
        <w:t>7.13 FinOps and Cost Governance</w:t>
      </w:r>
    </w:p>
    <w:p>
      <w:r>
        <w:t>Cost per CDR, network metric, subscriber and service-impact eventHot/warm/cold telemetry retention by operational valueBigtable/BigQuery workload split by latency and economicsControl high-cardinality logging/metrics and AI operations costs</w:t>
      </w:r>
    </w:p>
    <w:p>
      <w:pPr>
        <w:pStyle w:val="ListBullet"/>
      </w:pPr>
      <w:r>
        <w:t>Allocate cost to industry, domain, product, environment, region, owner and workload.</w:t>
      </w:r>
    </w:p>
    <w:p>
      <w:pPr>
        <w:pStyle w:val="ListBullet"/>
      </w:pPr>
      <w:r>
        <w:t>Forecast from measurable units; do not hard-code prices.</w:t>
      </w:r>
    </w:p>
    <w:p>
      <w:pPr>
        <w:pStyle w:val="ListBullet"/>
      </w:pPr>
      <w:r>
        <w:t>Review cost per successful business unit alongside quality and SLO.</w:t>
      </w:r>
    </w:p>
    <w:p>
      <w:pPr>
        <w:pStyle w:val="ListBullet"/>
      </w:pPr>
      <w:r>
        <w:t>Require approval for persistent clusters, high-cardinality telemetry, unbounded RAG context or autonomous tool loops.</w:t>
      </w:r>
    </w:p>
    <w:p>
      <w:pPr>
        <w:pStyle w:val="Heading2"/>
      </w:pPr>
      <w:r>
        <w:t>7.14 Implementation Roadmap</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Wave</w:t>
            </w:r>
          </w:p>
        </w:tc>
        <w:tc>
          <w:tcPr>
            <w:tcW w:type="dxa" w:w="5074"/>
            <w:shd w:fill="174EA6"/>
          </w:tcPr>
          <w:p>
            <w:pPr>
              <w:spacing w:after="0"/>
            </w:pPr>
            <w:r>
              <w:rPr>
                <w:b/>
                <w:color w:val="FFFFFF"/>
                <w:sz w:val="14"/>
              </w:rPr>
              <w:t>Outcome</w:t>
            </w:r>
          </w:p>
        </w:tc>
      </w:tr>
      <w:tr>
        <w:tc>
          <w:tcPr>
            <w:tcW w:type="dxa" w:w="5074"/>
            <w:vAlign w:val="top"/>
          </w:tcPr>
          <w:p>
            <w:pPr>
              <w:spacing w:after="0"/>
            </w:pPr>
            <w:r>
              <w:rPr>
                <w:sz w:val="14"/>
              </w:rPr>
              <w:t>1</w:t>
            </w:r>
          </w:p>
        </w:tc>
        <w:tc>
          <w:tcPr>
            <w:tcW w:type="dxa" w:w="5074"/>
            <w:vAlign w:val="top"/>
          </w:tcPr>
          <w:p>
            <w:pPr>
              <w:spacing w:after="0"/>
            </w:pPr>
            <w:r>
              <w:rPr>
                <w:sz w:val="14"/>
              </w:rPr>
              <w:t>High-volume telemetry and CDR ingestion</w:t>
            </w:r>
          </w:p>
        </w:tc>
      </w:tr>
      <w:tr>
        <w:tc>
          <w:tcPr>
            <w:tcW w:type="dxa" w:w="5074"/>
            <w:shd w:fill="F7F8F9"/>
            <w:vAlign w:val="top"/>
          </w:tcPr>
          <w:p>
            <w:pPr>
              <w:spacing w:after="0"/>
            </w:pPr>
            <w:r>
              <w:rPr>
                <w:sz w:val="14"/>
              </w:rPr>
              <w:t>2</w:t>
            </w:r>
          </w:p>
        </w:tc>
        <w:tc>
          <w:tcPr>
            <w:tcW w:type="dxa" w:w="5074"/>
            <w:shd w:fill="F7F8F9"/>
            <w:vAlign w:val="top"/>
          </w:tcPr>
          <w:p>
            <w:pPr>
              <w:spacing w:after="0"/>
            </w:pPr>
            <w:r>
              <w:rPr>
                <w:sz w:val="14"/>
              </w:rPr>
              <w:t>Subscriber/service/network data products</w:t>
            </w:r>
          </w:p>
        </w:tc>
      </w:tr>
      <w:tr>
        <w:tc>
          <w:tcPr>
            <w:tcW w:type="dxa" w:w="5074"/>
            <w:vAlign w:val="top"/>
          </w:tcPr>
          <w:p>
            <w:pPr>
              <w:spacing w:after="0"/>
            </w:pPr>
            <w:r>
              <w:rPr>
                <w:sz w:val="14"/>
              </w:rPr>
              <w:t>3</w:t>
            </w:r>
          </w:p>
        </w:tc>
        <w:tc>
          <w:tcPr>
            <w:tcW w:type="dxa" w:w="5074"/>
            <w:vAlign w:val="top"/>
          </w:tcPr>
          <w:p>
            <w:pPr>
              <w:spacing w:after="0"/>
            </w:pPr>
            <w:r>
              <w:rPr>
                <w:sz w:val="14"/>
              </w:rPr>
              <w:t>Service assurance and revenue analytics</w:t>
            </w:r>
          </w:p>
        </w:tc>
      </w:tr>
      <w:tr>
        <w:tc>
          <w:tcPr>
            <w:tcW w:type="dxa" w:w="5074"/>
            <w:shd w:fill="F7F8F9"/>
            <w:vAlign w:val="top"/>
          </w:tcPr>
          <w:p>
            <w:pPr>
              <w:spacing w:after="0"/>
            </w:pPr>
            <w:r>
              <w:rPr>
                <w:sz w:val="14"/>
              </w:rPr>
              <w:t>4</w:t>
            </w:r>
          </w:p>
        </w:tc>
        <w:tc>
          <w:tcPr>
            <w:tcW w:type="dxa" w:w="5074"/>
            <w:shd w:fill="F7F8F9"/>
            <w:vAlign w:val="top"/>
          </w:tcPr>
          <w:p>
            <w:pPr>
              <w:spacing w:after="0"/>
            </w:pPr>
            <w:r>
              <w:rPr>
                <w:sz w:val="14"/>
              </w:rPr>
              <w:t>Churn and network AI</w:t>
            </w:r>
          </w:p>
        </w:tc>
      </w:tr>
      <w:tr>
        <w:tc>
          <w:tcPr>
            <w:tcW w:type="dxa" w:w="5074"/>
            <w:vAlign w:val="top"/>
          </w:tcPr>
          <w:p>
            <w:pPr>
              <w:spacing w:after="0"/>
            </w:pPr>
            <w:r>
              <w:rPr>
                <w:sz w:val="14"/>
              </w:rPr>
              <w:t>5</w:t>
            </w:r>
          </w:p>
        </w:tc>
        <w:tc>
          <w:tcPr>
            <w:tcW w:type="dxa" w:w="5074"/>
            <w:vAlign w:val="top"/>
          </w:tcPr>
          <w:p>
            <w:pPr>
              <w:spacing w:after="0"/>
            </w:pPr>
            <w:r>
              <w:rPr>
                <w:sz w:val="14"/>
              </w:rPr>
              <w:t>NOC and care copilots</w:t>
            </w:r>
          </w:p>
        </w:tc>
      </w:tr>
      <w:tr>
        <w:tc>
          <w:tcPr>
            <w:tcW w:type="dxa" w:w="5074"/>
            <w:shd w:fill="F7F8F9"/>
            <w:vAlign w:val="top"/>
          </w:tcPr>
          <w:p>
            <w:pPr>
              <w:spacing w:after="0"/>
            </w:pPr>
            <w:r>
              <w:rPr>
                <w:sz w:val="14"/>
              </w:rPr>
              <w:t>6</w:t>
            </w:r>
          </w:p>
        </w:tc>
        <w:tc>
          <w:tcPr>
            <w:tcW w:type="dxa" w:w="5074"/>
            <w:shd w:fill="F7F8F9"/>
            <w:vAlign w:val="top"/>
          </w:tcPr>
          <w:p>
            <w:pPr>
              <w:spacing w:after="0"/>
            </w:pPr>
            <w:r>
              <w:rPr>
                <w:sz w:val="14"/>
              </w:rPr>
              <w:t>Regional scale, automation and resilience</w:t>
            </w:r>
          </w:p>
        </w:tc>
      </w:tr>
    </w:tbl>
    <w:p>
      <w:pPr>
        <w:spacing w:after="0"/>
      </w:pPr>
    </w:p>
    <w:p>
      <w:pPr>
        <w:pStyle w:val="Heading2"/>
      </w:pPr>
      <w:r>
        <w:t>7.15 Architecture Decisions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ADR</w:t>
            </w:r>
          </w:p>
        </w:tc>
        <w:tc>
          <w:tcPr>
            <w:tcW w:type="dxa" w:w="5074"/>
            <w:shd w:fill="174EA6"/>
          </w:tcPr>
          <w:p>
            <w:pPr>
              <w:spacing w:after="0"/>
            </w:pPr>
            <w:r>
              <w:rPr>
                <w:b/>
                <w:color w:val="FFFFFF"/>
                <w:sz w:val="14"/>
              </w:rPr>
              <w:t>Decision title</w:t>
            </w:r>
          </w:p>
        </w:tc>
      </w:tr>
      <w:tr>
        <w:tc>
          <w:tcPr>
            <w:tcW w:type="dxa" w:w="5074"/>
            <w:vAlign w:val="top"/>
          </w:tcPr>
          <w:p>
            <w:pPr>
              <w:spacing w:after="0"/>
            </w:pPr>
            <w:r>
              <w:rPr>
                <w:sz w:val="14"/>
              </w:rPr>
              <w:t>T-ADR-01</w:t>
            </w:r>
          </w:p>
        </w:tc>
        <w:tc>
          <w:tcPr>
            <w:tcW w:type="dxa" w:w="5074"/>
            <w:vAlign w:val="top"/>
          </w:tcPr>
          <w:p>
            <w:pPr>
              <w:spacing w:after="0"/>
            </w:pPr>
            <w:r>
              <w:rPr>
                <w:sz w:val="14"/>
              </w:rPr>
              <w:t>Use separate network/OT and enterprise data trust zones</w:t>
            </w:r>
          </w:p>
        </w:tc>
      </w:tr>
      <w:tr>
        <w:tc>
          <w:tcPr>
            <w:tcW w:type="dxa" w:w="5074"/>
            <w:shd w:fill="F7F8F9"/>
            <w:vAlign w:val="top"/>
          </w:tcPr>
          <w:p>
            <w:pPr>
              <w:spacing w:after="0"/>
            </w:pPr>
            <w:r>
              <w:rPr>
                <w:sz w:val="14"/>
              </w:rPr>
              <w:t>T-ADR-02</w:t>
            </w:r>
          </w:p>
        </w:tc>
        <w:tc>
          <w:tcPr>
            <w:tcW w:type="dxa" w:w="5074"/>
            <w:shd w:fill="F7F8F9"/>
            <w:vAlign w:val="top"/>
          </w:tcPr>
          <w:p>
            <w:pPr>
              <w:spacing w:after="0"/>
            </w:pPr>
            <w:r>
              <w:rPr>
                <w:sz w:val="14"/>
              </w:rPr>
              <w:t>Use Bigtable plus BigQuery for qualified real-time analytics</w:t>
            </w:r>
          </w:p>
        </w:tc>
      </w:tr>
      <w:tr>
        <w:tc>
          <w:tcPr>
            <w:tcW w:type="dxa" w:w="5074"/>
            <w:vAlign w:val="top"/>
          </w:tcPr>
          <w:p>
            <w:pPr>
              <w:spacing w:after="0"/>
            </w:pPr>
            <w:r>
              <w:rPr>
                <w:sz w:val="14"/>
              </w:rPr>
              <w:t>T-ADR-03</w:t>
            </w:r>
          </w:p>
        </w:tc>
        <w:tc>
          <w:tcPr>
            <w:tcW w:type="dxa" w:w="5074"/>
            <w:vAlign w:val="top"/>
          </w:tcPr>
          <w:p>
            <w:pPr>
              <w:spacing w:after="0"/>
            </w:pPr>
            <w:r>
              <w:rPr>
                <w:sz w:val="14"/>
              </w:rPr>
              <w:t>Govern CPNI and location as Restricted data</w:t>
            </w:r>
          </w:p>
        </w:tc>
      </w:tr>
      <w:tr>
        <w:tc>
          <w:tcPr>
            <w:tcW w:type="dxa" w:w="5074"/>
            <w:shd w:fill="F7F8F9"/>
            <w:vAlign w:val="top"/>
          </w:tcPr>
          <w:p>
            <w:pPr>
              <w:spacing w:after="0"/>
            </w:pPr>
            <w:r>
              <w:rPr>
                <w:sz w:val="14"/>
              </w:rPr>
              <w:t>T-ADR-04</w:t>
            </w:r>
          </w:p>
        </w:tc>
        <w:tc>
          <w:tcPr>
            <w:tcW w:type="dxa" w:w="5074"/>
            <w:shd w:fill="F7F8F9"/>
            <w:vAlign w:val="top"/>
          </w:tcPr>
          <w:p>
            <w:pPr>
              <w:spacing w:after="0"/>
            </w:pPr>
            <w:r>
              <w:rPr>
                <w:sz w:val="14"/>
              </w:rPr>
              <w:t>Adopt network automation only with closed-loop safety controls</w:t>
            </w:r>
          </w:p>
        </w:tc>
      </w:tr>
    </w:tbl>
    <w:p>
      <w:pPr>
        <w:spacing w:after="0"/>
      </w:pPr>
    </w:p>
    <w:p>
      <w:pPr>
        <w:pStyle w:val="Heading2"/>
      </w:pPr>
      <w:r>
        <w:t>7.16 Risk Register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Risk</w:t>
            </w:r>
          </w:p>
        </w:tc>
        <w:tc>
          <w:tcPr>
            <w:tcW w:type="dxa" w:w="5074"/>
            <w:shd w:fill="174EA6"/>
          </w:tcPr>
          <w:p>
            <w:pPr>
              <w:spacing w:after="0"/>
            </w:pPr>
            <w:r>
              <w:rPr>
                <w:b/>
                <w:color w:val="FFFFFF"/>
                <w:sz w:val="14"/>
              </w:rPr>
              <w:t>Control response</w:t>
            </w:r>
          </w:p>
        </w:tc>
      </w:tr>
      <w:tr>
        <w:tc>
          <w:tcPr>
            <w:tcW w:type="dxa" w:w="5074"/>
            <w:vAlign w:val="top"/>
          </w:tcPr>
          <w:p>
            <w:pPr>
              <w:spacing w:after="0"/>
            </w:pPr>
            <w:r>
              <w:rPr>
                <w:sz w:val="14"/>
              </w:rPr>
              <w:t>CPNI or location-data exposure</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Telemetry storm and cost escalation</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Incorrect network automation action</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CDR loss or duplicate charging impact</w:t>
            </w:r>
          </w:p>
        </w:tc>
        <w:tc>
          <w:tcPr>
            <w:tcW w:type="dxa" w:w="5074"/>
            <w:shd w:fill="F7F8F9"/>
            <w:vAlign w:val="top"/>
          </w:tcPr>
          <w:p>
            <w:pPr>
              <w:spacing w:after="0"/>
            </w:pPr>
            <w:r>
              <w:rPr>
                <w:sz w:val="14"/>
              </w:rPr>
              <w:t>Named owner, preventive/detective controls, tested response and residual-risk review</w:t>
            </w:r>
          </w:p>
        </w:tc>
      </w:tr>
      <w:tr>
        <w:tc>
          <w:tcPr>
            <w:tcW w:type="dxa" w:w="5074"/>
            <w:vAlign w:val="top"/>
          </w:tcPr>
          <w:p>
            <w:pPr>
              <w:spacing w:after="0"/>
            </w:pPr>
            <w:r>
              <w:rPr>
                <w:sz w:val="14"/>
              </w:rPr>
              <w:t>Topology drift</w:t>
            </w:r>
          </w:p>
        </w:tc>
        <w:tc>
          <w:tcPr>
            <w:tcW w:type="dxa" w:w="5074"/>
            <w:vAlign w:val="top"/>
          </w:tcPr>
          <w:p>
            <w:pPr>
              <w:spacing w:after="0"/>
            </w:pPr>
            <w:r>
              <w:rPr>
                <w:sz w:val="14"/>
              </w:rPr>
              <w:t>Named owner, preventive/detective controls, tested response and residual-risk review</w:t>
            </w:r>
          </w:p>
        </w:tc>
      </w:tr>
      <w:tr>
        <w:tc>
          <w:tcPr>
            <w:tcW w:type="dxa" w:w="5074"/>
            <w:shd w:fill="F7F8F9"/>
            <w:vAlign w:val="top"/>
          </w:tcPr>
          <w:p>
            <w:pPr>
              <w:spacing w:after="0"/>
            </w:pPr>
            <w:r>
              <w:rPr>
                <w:sz w:val="14"/>
              </w:rPr>
              <w:t>Critical infrastructure outage or cyberattack</w:t>
            </w:r>
          </w:p>
        </w:tc>
        <w:tc>
          <w:tcPr>
            <w:tcW w:type="dxa" w:w="5074"/>
            <w:shd w:fill="F7F8F9"/>
            <w:vAlign w:val="top"/>
          </w:tcPr>
          <w:p>
            <w:pPr>
              <w:spacing w:after="0"/>
            </w:pPr>
            <w:r>
              <w:rPr>
                <w:sz w:val="14"/>
              </w:rPr>
              <w:t>Named owner, preventive/detective controls, tested response and residual-risk review</w:t>
            </w:r>
          </w:p>
        </w:tc>
      </w:tr>
    </w:tbl>
    <w:p>
      <w:pPr>
        <w:spacing w:after="0"/>
      </w:pPr>
    </w:p>
    <w:p>
      <w:pPr>
        <w:pStyle w:val="Heading2"/>
      </w:pPr>
      <w:r>
        <w:t>7.17 Implementation Examples</w:t>
      </w:r>
    </w:p>
    <w:p>
      <w:r>
        <w:t>The package folder examples/telecom contains a streaming pipeline, BigQuery industry interface, governed AI prompt and Terraform variables. The common folder contains the reusable regional landing and curated-data foundation.</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CREATE OR REPLACE VIEW `telecom_semantic.service_impact` AS</w:t>
            </w:r>
          </w:p>
          <w:p>
            <w:pPr>
              <w:pStyle w:val="CodeBlock"/>
            </w:pPr>
            <w:r>
              <w:t>SELECT service_id, window_start, MAX(severity) severity, COUNT(DISTINCT network_element_id) affected_elements,</w:t>
            </w:r>
          </w:p>
          <w:p>
            <w:pPr>
              <w:pStyle w:val="CodeBlock"/>
            </w:pPr>
            <w:r>
              <w:t xml:space="preserve">       APPROX_COUNT_DISTINCT(subscriber_token) affected_subscribers</w:t>
            </w:r>
          </w:p>
          <w:p>
            <w:pPr>
              <w:pStyle w:val="CodeBlock"/>
            </w:pPr>
            <w:r>
              <w:t>FROM `telecom_curated.service_events` GROUP BY service_id, window_start;</w:t>
            </w:r>
          </w:p>
        </w:tc>
        <w:trPr>
          <w:tblHeader/>
        </w:trPr>
      </w:tr>
    </w:tbl>
    <w:p>
      <w:pPr>
        <w:spacing w:after="0"/>
      </w:pP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prompt_id: telecom-industry-assistant-v1</w:t>
            </w:r>
          </w:p>
          <w:p>
            <w:pPr>
              <w:pStyle w:val="CodeBlock"/>
            </w:pPr>
            <w:r>
              <w:t>owner: telecom-data-ai-product</w:t>
            </w:r>
          </w:p>
          <w:p>
            <w:pPr>
              <w:pStyle w:val="CodeBlock"/>
            </w:pPr>
            <w:r>
              <w:t>risk_tier: tier-2</w:t>
            </w:r>
          </w:p>
          <w:p>
            <w:pPr>
              <w:pStyle w:val="CodeBlock"/>
            </w:pPr>
            <w:r>
              <w:t>system_instruction: |</w:t>
            </w:r>
          </w:p>
          <w:p>
            <w:pPr>
              <w:pStyle w:val="CodeBlock"/>
            </w:pPr>
            <w:r>
              <w:t xml:space="preserve">  You are a network operations assistant. Use approved topology, alarm, change and runbook evidence. Cite sources. Never execute a network change without policy validation and authorized approval. Treat subscriber identity and location as Restricted.</w:t>
            </w:r>
          </w:p>
          <w:p>
            <w:pPr>
              <w:pStyle w:val="CodeBlock"/>
            </w:pPr>
            <w:r>
              <w:t>output_schema:</w:t>
            </w:r>
          </w:p>
          <w:p>
            <w:pPr>
              <w:pStyle w:val="CodeBlock"/>
            </w:pPr>
            <w:r>
              <w:t xml:space="preserve">  required: [answer, citations, confidence]</w:t>
            </w:r>
          </w:p>
          <w:p>
            <w:pPr>
              <w:pStyle w:val="CodeBlock"/>
            </w:pPr>
            <w:r>
              <w:t>rollback_version: telecom-industry-assistant-v0</w:t>
            </w:r>
          </w:p>
        </w:tc>
        <w:trPr>
          <w:tblHeader/>
        </w:trPr>
      </w:tr>
    </w:tbl>
    <w:p>
      <w:pPr>
        <w:spacing w:after="0"/>
      </w:pPr>
    </w:p>
    <w:p>
      <w:pPr>
        <w:pStyle w:val="Heading2"/>
      </w:pPr>
      <w:r>
        <w:t>7.18 Industry Production Readiness</w:t>
      </w:r>
    </w:p>
    <w:p>
      <w:pPr>
        <w:pStyle w:val="ListBullet"/>
      </w:pPr>
      <w:r>
        <w:t>Regulatory scope and accountable industry control owners approved.</w:t>
      </w:r>
    </w:p>
    <w:p>
      <w:pPr>
        <w:pStyle w:val="ListBullet"/>
      </w:pPr>
      <w:r>
        <w:t>Source contracts, product interfaces, classification, quality and lineage complete.</w:t>
      </w:r>
    </w:p>
    <w:p>
      <w:pPr>
        <w:pStyle w:val="ListBullet"/>
      </w:pPr>
      <w:r>
        <w:t>Network, IAM, perimeter, KMS, tokenization/de-identification and audit paths tested.</w:t>
      </w:r>
    </w:p>
    <w:p>
      <w:pPr>
        <w:pStyle w:val="ListBullet"/>
      </w:pPr>
      <w:r>
        <w:t>Critical journeys meet SLO, load, quota, recovery and vendor-escalation criteria.</w:t>
      </w:r>
    </w:p>
    <w:p>
      <w:pPr>
        <w:pStyle w:val="ListBullet"/>
      </w:pPr>
      <w:r>
        <w:t>AI evaluation, prohibited uses, human oversight, monitoring and rollback approved.</w:t>
      </w:r>
    </w:p>
    <w:p>
      <w:pPr>
        <w:pStyle w:val="ListBullet"/>
      </w:pPr>
      <w:r>
        <w:t>Cost allocation, forecast and unit economics accepted by product and finance owners.</w:t>
      </w:r>
    </w:p>
    <w:p>
      <w:r>
        <w:br w:type="page"/>
      </w:r>
    </w:p>
    <w:p>
      <w:pPr>
        <w:pStyle w:val="Heading2"/>
      </w:pPr>
      <w:r>
        <w:t>7.19 Project and Dataset Topology</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Project / dataset</w:t>
            </w:r>
          </w:p>
        </w:tc>
        <w:tc>
          <w:tcPr>
            <w:tcW w:type="dxa" w:w="3383"/>
            <w:shd w:fill="174EA6"/>
          </w:tcPr>
          <w:p>
            <w:pPr>
              <w:spacing w:after="0"/>
            </w:pPr>
            <w:r>
              <w:rPr>
                <w:b/>
                <w:color w:val="FFFFFF"/>
                <w:sz w:val="14"/>
              </w:rPr>
              <w:t>Purpose</w:t>
            </w:r>
          </w:p>
        </w:tc>
        <w:tc>
          <w:tcPr>
            <w:tcW w:type="dxa" w:w="3383"/>
            <w:shd w:fill="174EA6"/>
          </w:tcPr>
          <w:p>
            <w:pPr>
              <w:spacing w:after="0"/>
            </w:pPr>
            <w:r>
              <w:rPr>
                <w:b/>
                <w:color w:val="FFFFFF"/>
                <w:sz w:val="14"/>
              </w:rPr>
              <w:t>Control boundary</w:t>
            </w:r>
          </w:p>
        </w:tc>
      </w:tr>
      <w:tr>
        <w:tc>
          <w:tcPr>
            <w:tcW w:type="dxa" w:w="3383"/>
            <w:vAlign w:val="top"/>
          </w:tcPr>
          <w:p>
            <w:pPr>
              <w:spacing w:after="0"/>
            </w:pPr>
            <w:r>
              <w:rPr>
                <w:sz w:val="14"/>
              </w:rPr>
              <w:t>prj-egcdp-&lt;region&gt;-telecom-ing-prd</w:t>
            </w:r>
          </w:p>
        </w:tc>
        <w:tc>
          <w:tcPr>
            <w:tcW w:type="dxa" w:w="3383"/>
            <w:vAlign w:val="top"/>
          </w:tcPr>
          <w:p>
            <w:pPr>
              <w:spacing w:after="0"/>
            </w:pPr>
            <w:r>
              <w:rPr>
                <w:sz w:val="14"/>
              </w:rPr>
              <w:t>Industry ingestion, quarantine and source connectivity</w:t>
            </w:r>
          </w:p>
        </w:tc>
        <w:tc>
          <w:tcPr>
            <w:tcW w:type="dxa" w:w="3383"/>
            <w:vAlign w:val="top"/>
          </w:tcPr>
          <w:p>
            <w:pPr>
              <w:spacing w:after="0"/>
            </w:pPr>
            <w:r>
              <w:rPr>
                <w:sz w:val="14"/>
              </w:rPr>
              <w:t>Dedicated runtime identities, private network, perimeter and KMS</w:t>
            </w:r>
          </w:p>
        </w:tc>
      </w:tr>
      <w:tr>
        <w:tc>
          <w:tcPr>
            <w:tcW w:type="dxa" w:w="3383"/>
            <w:shd w:fill="F7F8F9"/>
            <w:vAlign w:val="top"/>
          </w:tcPr>
          <w:p>
            <w:pPr>
              <w:spacing w:after="0"/>
            </w:pPr>
            <w:r>
              <w:rPr>
                <w:sz w:val="14"/>
              </w:rPr>
              <w:t>prj-egcdp-&lt;region&gt;-telecom-data-prd</w:t>
            </w:r>
          </w:p>
        </w:tc>
        <w:tc>
          <w:tcPr>
            <w:tcW w:type="dxa" w:w="3383"/>
            <w:shd w:fill="F7F8F9"/>
            <w:vAlign w:val="top"/>
          </w:tcPr>
          <w:p>
            <w:pPr>
              <w:spacing w:after="0"/>
            </w:pPr>
            <w:r>
              <w:rPr>
                <w:sz w:val="14"/>
              </w:rPr>
              <w:t>Standardized and curated domain products</w:t>
            </w:r>
          </w:p>
        </w:tc>
        <w:tc>
          <w:tcPr>
            <w:tcW w:type="dxa" w:w="3383"/>
            <w:shd w:fill="F7F8F9"/>
            <w:vAlign w:val="top"/>
          </w:tcPr>
          <w:p>
            <w:pPr>
              <w:spacing w:after="0"/>
            </w:pPr>
            <w:r>
              <w:rPr>
                <w:sz w:val="14"/>
              </w:rPr>
              <w:t>Domain owner, classification, contract, policy tags and cost labels</w:t>
            </w:r>
          </w:p>
        </w:tc>
      </w:tr>
      <w:tr>
        <w:tc>
          <w:tcPr>
            <w:tcW w:type="dxa" w:w="3383"/>
            <w:vAlign w:val="top"/>
          </w:tcPr>
          <w:p>
            <w:pPr>
              <w:spacing w:after="0"/>
            </w:pPr>
            <w:r>
              <w:rPr>
                <w:sz w:val="14"/>
              </w:rPr>
              <w:t>prj-egcdp-&lt;region&gt;-telecom-ai-prd</w:t>
            </w:r>
          </w:p>
        </w:tc>
        <w:tc>
          <w:tcPr>
            <w:tcW w:type="dxa" w:w="3383"/>
            <w:vAlign w:val="top"/>
          </w:tcPr>
          <w:p>
            <w:pPr>
              <w:spacing w:after="0"/>
            </w:pPr>
            <w:r>
              <w:rPr>
                <w:sz w:val="14"/>
              </w:rPr>
              <w:t>Approved models, prompts, corpora/indexes and agents</w:t>
            </w:r>
          </w:p>
        </w:tc>
        <w:tc>
          <w:tcPr>
            <w:tcW w:type="dxa" w:w="3383"/>
            <w:vAlign w:val="top"/>
          </w:tcPr>
          <w:p>
            <w:pPr>
              <w:spacing w:after="0"/>
            </w:pPr>
            <w:r>
              <w:rPr>
                <w:sz w:val="14"/>
              </w:rPr>
              <w:t>AI risk tier, evaluation, model/tool allowlist and rollback</w:t>
            </w:r>
          </w:p>
        </w:tc>
      </w:tr>
      <w:tr>
        <w:tc>
          <w:tcPr>
            <w:tcW w:type="dxa" w:w="3383"/>
            <w:shd w:fill="F7F8F9"/>
            <w:vAlign w:val="top"/>
          </w:tcPr>
          <w:p>
            <w:pPr>
              <w:spacing w:after="0"/>
            </w:pPr>
            <w:r>
              <w:rPr>
                <w:sz w:val="14"/>
              </w:rPr>
              <w:t>telecom_landing / quarantine</w:t>
            </w:r>
          </w:p>
        </w:tc>
        <w:tc>
          <w:tcPr>
            <w:tcW w:type="dxa" w:w="3383"/>
            <w:shd w:fill="F7F8F9"/>
            <w:vAlign w:val="top"/>
          </w:tcPr>
          <w:p>
            <w:pPr>
              <w:spacing w:after="0"/>
            </w:pPr>
            <w:r>
              <w:rPr>
                <w:sz w:val="14"/>
              </w:rPr>
              <w:t>Immutable source and rejected records</w:t>
            </w:r>
          </w:p>
        </w:tc>
        <w:tc>
          <w:tcPr>
            <w:tcW w:type="dxa" w:w="3383"/>
            <w:shd w:fill="F7F8F9"/>
            <w:vAlign w:val="top"/>
          </w:tcPr>
          <w:p>
            <w:pPr>
              <w:spacing w:after="0"/>
            </w:pPr>
            <w:r>
              <w:rPr>
                <w:sz w:val="14"/>
              </w:rPr>
              <w:t>Restricted operators, retention, legal hold and replay evidence</w:t>
            </w:r>
          </w:p>
        </w:tc>
      </w:tr>
      <w:tr>
        <w:tc>
          <w:tcPr>
            <w:tcW w:type="dxa" w:w="3383"/>
            <w:vAlign w:val="top"/>
          </w:tcPr>
          <w:p>
            <w:pPr>
              <w:spacing w:after="0"/>
            </w:pPr>
            <w:r>
              <w:rPr>
                <w:sz w:val="14"/>
              </w:rPr>
              <w:t>telecom_standardized</w:t>
            </w:r>
          </w:p>
        </w:tc>
        <w:tc>
          <w:tcPr>
            <w:tcW w:type="dxa" w:w="3383"/>
            <w:vAlign w:val="top"/>
          </w:tcPr>
          <w:p>
            <w:pPr>
              <w:spacing w:after="0"/>
            </w:pPr>
            <w:r>
              <w:rPr>
                <w:sz w:val="14"/>
              </w:rPr>
              <w:t>Canonical industry entities and source-aligned history</w:t>
            </w:r>
          </w:p>
        </w:tc>
        <w:tc>
          <w:tcPr>
            <w:tcW w:type="dxa" w:w="3383"/>
            <w:vAlign w:val="top"/>
          </w:tcPr>
          <w:p>
            <w:pPr>
              <w:spacing w:after="0"/>
            </w:pPr>
            <w:r>
              <w:rPr>
                <w:sz w:val="14"/>
              </w:rPr>
              <w:t>Schema/version, event/validity time and quality results</w:t>
            </w:r>
          </w:p>
        </w:tc>
      </w:tr>
      <w:tr>
        <w:tc>
          <w:tcPr>
            <w:tcW w:type="dxa" w:w="3383"/>
            <w:shd w:fill="F7F8F9"/>
            <w:vAlign w:val="top"/>
          </w:tcPr>
          <w:p>
            <w:pPr>
              <w:spacing w:after="0"/>
            </w:pPr>
            <w:r>
              <w:rPr>
                <w:sz w:val="14"/>
              </w:rPr>
              <w:t>telecom_curated / semantic</w:t>
            </w:r>
          </w:p>
        </w:tc>
        <w:tc>
          <w:tcPr>
            <w:tcW w:type="dxa" w:w="3383"/>
            <w:shd w:fill="F7F8F9"/>
            <w:vAlign w:val="top"/>
          </w:tcPr>
          <w:p>
            <w:pPr>
              <w:spacing w:after="0"/>
            </w:pPr>
            <w:r>
              <w:rPr>
                <w:sz w:val="14"/>
              </w:rPr>
              <w:t>Certified products and consumption interfaces</w:t>
            </w:r>
          </w:p>
        </w:tc>
        <w:tc>
          <w:tcPr>
            <w:tcW w:type="dxa" w:w="3383"/>
            <w:shd w:fill="F7F8F9"/>
            <w:vAlign w:val="top"/>
          </w:tcPr>
          <w:p>
            <w:pPr>
              <w:spacing w:after="0"/>
            </w:pPr>
            <w:r>
              <w:rPr>
                <w:sz w:val="14"/>
              </w:rPr>
              <w:t>Owner, SLO, authorized views and semantic governance</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Topology rule - </w:t>
            </w:r>
            <w:r>
              <w:t>Project and dataset boundaries follow region, environment, industry domain, classification, blast radius and ownership. One global project is prohibited for Restricted or Regulated production data.</w:t>
            </w:r>
          </w:p>
        </w:tc>
        <w:trPr>
          <w:tblHeader/>
        </w:trPr>
      </w:tr>
    </w:tbl>
    <w:p>
      <w:pPr>
        <w:spacing w:after="0"/>
      </w:pPr>
    </w:p>
    <w:p>
      <w:r>
        <w:br w:type="page"/>
      </w:r>
    </w:p>
    <w:p>
      <w:pPr>
        <w:pStyle w:val="Heading2"/>
      </w:pPr>
      <w:r>
        <w:t>7.20 Source-to-Product Mapping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Source</w:t>
            </w:r>
          </w:p>
        </w:tc>
        <w:tc>
          <w:tcPr>
            <w:tcW w:type="dxa" w:w="2030"/>
            <w:shd w:fill="174EA6"/>
          </w:tcPr>
          <w:p>
            <w:pPr>
              <w:spacing w:after="0"/>
            </w:pPr>
            <w:r>
              <w:rPr>
                <w:b/>
                <w:color w:val="FFFFFF"/>
                <w:sz w:val="13"/>
              </w:rPr>
              <w:t>Ingestion pattern</w:t>
            </w:r>
          </w:p>
        </w:tc>
        <w:tc>
          <w:tcPr>
            <w:tcW w:type="dxa" w:w="2030"/>
            <w:shd w:fill="174EA6"/>
          </w:tcPr>
          <w:p>
            <w:pPr>
              <w:spacing w:after="0"/>
            </w:pPr>
            <w:r>
              <w:rPr>
                <w:b/>
                <w:color w:val="FFFFFF"/>
                <w:sz w:val="13"/>
              </w:rPr>
              <w:t>Target product</w:t>
            </w:r>
          </w:p>
        </w:tc>
        <w:tc>
          <w:tcPr>
            <w:tcW w:type="dxa" w:w="2030"/>
            <w:shd w:fill="174EA6"/>
          </w:tcPr>
          <w:p>
            <w:pPr>
              <w:spacing w:after="0"/>
            </w:pPr>
            <w:r>
              <w:rPr>
                <w:b/>
                <w:color w:val="FFFFFF"/>
                <w:sz w:val="13"/>
              </w:rPr>
              <w:t>Validation</w:t>
            </w:r>
          </w:p>
        </w:tc>
        <w:tc>
          <w:tcPr>
            <w:tcW w:type="dxa" w:w="2030"/>
            <w:shd w:fill="174EA6"/>
          </w:tcPr>
          <w:p>
            <w:pPr>
              <w:spacing w:after="0"/>
            </w:pPr>
            <w:r>
              <w:rPr>
                <w:b/>
                <w:color w:val="FFFFFF"/>
                <w:sz w:val="13"/>
              </w:rPr>
              <w:t>Tier</w:t>
            </w:r>
          </w:p>
        </w:tc>
      </w:tr>
      <w:tr>
        <w:tc>
          <w:tcPr>
            <w:tcW w:type="dxa" w:w="2030"/>
            <w:vAlign w:val="top"/>
          </w:tcPr>
          <w:p>
            <w:pPr>
              <w:spacing w:after="0"/>
            </w:pPr>
            <w:r>
              <w:rPr>
                <w:sz w:val="13"/>
              </w:rPr>
              <w:t>BSS billing, CRM and product catalog</w:t>
            </w:r>
          </w:p>
        </w:tc>
        <w:tc>
          <w:tcPr>
            <w:tcW w:type="dxa" w:w="2030"/>
            <w:vAlign w:val="top"/>
          </w:tcPr>
          <w:p>
            <w:pPr>
              <w:spacing w:after="0"/>
            </w:pPr>
            <w:r>
              <w:rPr>
                <w:sz w:val="13"/>
              </w:rPr>
              <w:t>Pub/Sub/Dataflow streaming</w:t>
            </w:r>
          </w:p>
        </w:tc>
        <w:tc>
          <w:tcPr>
            <w:tcW w:type="dxa" w:w="2030"/>
            <w:vAlign w:val="top"/>
          </w:tcPr>
          <w:p>
            <w:pPr>
              <w:spacing w:after="0"/>
            </w:pPr>
            <w:r>
              <w:rPr>
                <w:sz w:val="13"/>
              </w:rPr>
              <w:t>Subscriber and account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OSS inventory, topology, alarms and performance</w:t>
            </w:r>
          </w:p>
        </w:tc>
        <w:tc>
          <w:tcPr>
            <w:tcW w:type="dxa" w:w="2030"/>
            <w:shd w:fill="F7F8F9"/>
            <w:vAlign w:val="top"/>
          </w:tcPr>
          <w:p>
            <w:pPr>
              <w:spacing w:after="0"/>
            </w:pPr>
            <w:r>
              <w:rPr>
                <w:sz w:val="13"/>
              </w:rPr>
              <w:t>Datastream CDC</w:t>
            </w:r>
          </w:p>
        </w:tc>
        <w:tc>
          <w:tcPr>
            <w:tcW w:type="dxa" w:w="2030"/>
            <w:shd w:fill="F7F8F9"/>
            <w:vAlign w:val="top"/>
          </w:tcPr>
          <w:p>
            <w:pPr>
              <w:spacing w:after="0"/>
            </w:pPr>
            <w:r>
              <w:rPr>
                <w:sz w:val="13"/>
              </w:rPr>
              <w:t>Subscription and service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Call detail and usage records</w:t>
            </w:r>
          </w:p>
        </w:tc>
        <w:tc>
          <w:tcPr>
            <w:tcW w:type="dxa" w:w="2030"/>
            <w:vAlign w:val="top"/>
          </w:tcPr>
          <w:p>
            <w:pPr>
              <w:spacing w:after="0"/>
            </w:pPr>
            <w:r>
              <w:rPr>
                <w:sz w:val="13"/>
              </w:rPr>
              <w:t>Cloud Storage/API batch</w:t>
            </w:r>
          </w:p>
        </w:tc>
        <w:tc>
          <w:tcPr>
            <w:tcW w:type="dxa" w:w="2030"/>
            <w:vAlign w:val="top"/>
          </w:tcPr>
          <w:p>
            <w:pPr>
              <w:spacing w:after="0"/>
            </w:pPr>
            <w:r>
              <w:rPr>
                <w:sz w:val="13"/>
              </w:rPr>
              <w:t>Network resource and topology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0/1</w:t>
            </w:r>
          </w:p>
        </w:tc>
      </w:tr>
      <w:tr>
        <w:tc>
          <w:tcPr>
            <w:tcW w:type="dxa" w:w="2030"/>
            <w:shd w:fill="F7F8F9"/>
            <w:vAlign w:val="top"/>
          </w:tcPr>
          <w:p>
            <w:pPr>
              <w:spacing w:after="0"/>
            </w:pPr>
            <w:r>
              <w:rPr>
                <w:sz w:val="13"/>
              </w:rPr>
              <w:t>Network probes and telemetry streams</w:t>
            </w:r>
          </w:p>
        </w:tc>
        <w:tc>
          <w:tcPr>
            <w:tcW w:type="dxa" w:w="2030"/>
            <w:shd w:fill="F7F8F9"/>
            <w:vAlign w:val="top"/>
          </w:tcPr>
          <w:p>
            <w:pPr>
              <w:spacing w:after="0"/>
            </w:pPr>
            <w:r>
              <w:rPr>
                <w:sz w:val="13"/>
              </w:rPr>
              <w:t>Pub/Sub/Dataflow streaming</w:t>
            </w:r>
          </w:p>
        </w:tc>
        <w:tc>
          <w:tcPr>
            <w:tcW w:type="dxa" w:w="2030"/>
            <w:shd w:fill="F7F8F9"/>
            <w:vAlign w:val="top"/>
          </w:tcPr>
          <w:p>
            <w:pPr>
              <w:spacing w:after="0"/>
            </w:pPr>
            <w:r>
              <w:rPr>
                <w:sz w:val="13"/>
              </w:rPr>
              <w:t>Alarm and incident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0/1</w:t>
            </w:r>
          </w:p>
        </w:tc>
      </w:tr>
      <w:tr>
        <w:tc>
          <w:tcPr>
            <w:tcW w:type="dxa" w:w="2030"/>
            <w:vAlign w:val="top"/>
          </w:tcPr>
          <w:p>
            <w:pPr>
              <w:spacing w:after="0"/>
            </w:pPr>
            <w:r>
              <w:rPr>
                <w:sz w:val="13"/>
              </w:rPr>
              <w:t>RAN, core, transport and fixed-network elements</w:t>
            </w:r>
          </w:p>
        </w:tc>
        <w:tc>
          <w:tcPr>
            <w:tcW w:type="dxa" w:w="2030"/>
            <w:vAlign w:val="top"/>
          </w:tcPr>
          <w:p>
            <w:pPr>
              <w:spacing w:after="0"/>
            </w:pPr>
            <w:r>
              <w:rPr>
                <w:sz w:val="13"/>
              </w:rPr>
              <w:t>Datastream CDC</w:t>
            </w:r>
          </w:p>
        </w:tc>
        <w:tc>
          <w:tcPr>
            <w:tcW w:type="dxa" w:w="2030"/>
            <w:vAlign w:val="top"/>
          </w:tcPr>
          <w:p>
            <w:pPr>
              <w:spacing w:after="0"/>
            </w:pPr>
            <w:r>
              <w:rPr>
                <w:sz w:val="13"/>
              </w:rPr>
              <w:t>Performance measurement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Customer care and ticketing</w:t>
            </w:r>
          </w:p>
        </w:tc>
        <w:tc>
          <w:tcPr>
            <w:tcW w:type="dxa" w:w="2030"/>
            <w:shd w:fill="F7F8F9"/>
            <w:vAlign w:val="top"/>
          </w:tcPr>
          <w:p>
            <w:pPr>
              <w:spacing w:after="0"/>
            </w:pPr>
            <w:r>
              <w:rPr>
                <w:sz w:val="13"/>
              </w:rPr>
              <w:t>Cloud Storage/API batch</w:t>
            </w:r>
          </w:p>
        </w:tc>
        <w:tc>
          <w:tcPr>
            <w:tcW w:type="dxa" w:w="2030"/>
            <w:shd w:fill="F7F8F9"/>
            <w:vAlign w:val="top"/>
          </w:tcPr>
          <w:p>
            <w:pPr>
              <w:spacing w:after="0"/>
            </w:pPr>
            <w:r>
              <w:rPr>
                <w:sz w:val="13"/>
              </w:rPr>
              <w:t>Usage and CDR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Field-service and workforce systems</w:t>
            </w:r>
          </w:p>
        </w:tc>
        <w:tc>
          <w:tcPr>
            <w:tcW w:type="dxa" w:w="2030"/>
            <w:vAlign w:val="top"/>
          </w:tcPr>
          <w:p>
            <w:pPr>
              <w:spacing w:after="0"/>
            </w:pPr>
            <w:r>
              <w:rPr>
                <w:sz w:val="13"/>
              </w:rPr>
              <w:t>Pub/Sub/Dataflow streaming</w:t>
            </w:r>
          </w:p>
        </w:tc>
        <w:tc>
          <w:tcPr>
            <w:tcW w:type="dxa" w:w="2030"/>
            <w:vAlign w:val="top"/>
          </w:tcPr>
          <w:p>
            <w:pPr>
              <w:spacing w:after="0"/>
            </w:pPr>
            <w:r>
              <w:rPr>
                <w:sz w:val="13"/>
              </w:rPr>
              <w:t>Charging and revenue-assurance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Mediation and charging platforms</w:t>
            </w:r>
          </w:p>
        </w:tc>
        <w:tc>
          <w:tcPr>
            <w:tcW w:type="dxa" w:w="2030"/>
            <w:shd w:fill="F7F8F9"/>
            <w:vAlign w:val="top"/>
          </w:tcPr>
          <w:p>
            <w:pPr>
              <w:spacing w:after="0"/>
            </w:pPr>
            <w:r>
              <w:rPr>
                <w:sz w:val="13"/>
              </w:rPr>
              <w:t>Datastream CDC</w:t>
            </w:r>
          </w:p>
        </w:tc>
        <w:tc>
          <w:tcPr>
            <w:tcW w:type="dxa" w:w="2030"/>
            <w:shd w:fill="F7F8F9"/>
            <w:vAlign w:val="top"/>
          </w:tcPr>
          <w:p>
            <w:pPr>
              <w:spacing w:after="0"/>
            </w:pPr>
            <w:r>
              <w:rPr>
                <w:sz w:val="13"/>
              </w:rPr>
              <w:t>Customer experience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r>
        <w:tc>
          <w:tcPr>
            <w:tcW w:type="dxa" w:w="2030"/>
            <w:vAlign w:val="top"/>
          </w:tcPr>
          <w:p>
            <w:pPr>
              <w:spacing w:after="0"/>
            </w:pPr>
            <w:r>
              <w:rPr>
                <w:sz w:val="13"/>
              </w:rPr>
              <w:t>Partner/roaming and wholesale feeds</w:t>
            </w:r>
          </w:p>
        </w:tc>
        <w:tc>
          <w:tcPr>
            <w:tcW w:type="dxa" w:w="2030"/>
            <w:vAlign w:val="top"/>
          </w:tcPr>
          <w:p>
            <w:pPr>
              <w:spacing w:after="0"/>
            </w:pPr>
            <w:r>
              <w:rPr>
                <w:sz w:val="13"/>
              </w:rPr>
              <w:t>Cloud Storage/API batch</w:t>
            </w:r>
          </w:p>
        </w:tc>
        <w:tc>
          <w:tcPr>
            <w:tcW w:type="dxa" w:w="2030"/>
            <w:vAlign w:val="top"/>
          </w:tcPr>
          <w:p>
            <w:pPr>
              <w:spacing w:after="0"/>
            </w:pPr>
            <w:r>
              <w:rPr>
                <w:sz w:val="13"/>
              </w:rPr>
              <w:t>Field operation product</w:t>
            </w:r>
          </w:p>
        </w:tc>
        <w:tc>
          <w:tcPr>
            <w:tcW w:type="dxa" w:w="2030"/>
            <w:vAlign w:val="top"/>
          </w:tcPr>
          <w:p>
            <w:pPr>
              <w:spacing w:after="0"/>
            </w:pPr>
            <w:r>
              <w:rPr>
                <w:sz w:val="13"/>
              </w:rPr>
              <w:t>Schema + control totals + quality + lineage</w:t>
            </w:r>
          </w:p>
        </w:tc>
        <w:tc>
          <w:tcPr>
            <w:tcW w:type="dxa" w:w="2030"/>
            <w:vAlign w:val="top"/>
          </w:tcPr>
          <w:p>
            <w:pPr>
              <w:spacing w:after="0"/>
            </w:pPr>
            <w:r>
              <w:rPr>
                <w:sz w:val="13"/>
              </w:rPr>
              <w:t>Tier 1/2</w:t>
            </w:r>
          </w:p>
        </w:tc>
      </w:tr>
      <w:tr>
        <w:tc>
          <w:tcPr>
            <w:tcW w:type="dxa" w:w="2030"/>
            <w:shd w:fill="F7F8F9"/>
            <w:vAlign w:val="top"/>
          </w:tcPr>
          <w:p>
            <w:pPr>
              <w:spacing w:after="0"/>
            </w:pPr>
            <w:r>
              <w:rPr>
                <w:sz w:val="13"/>
              </w:rPr>
              <w:t>Digital channel and experience telemetry</w:t>
            </w:r>
          </w:p>
        </w:tc>
        <w:tc>
          <w:tcPr>
            <w:tcW w:type="dxa" w:w="2030"/>
            <w:shd w:fill="F7F8F9"/>
            <w:vAlign w:val="top"/>
          </w:tcPr>
          <w:p>
            <w:pPr>
              <w:spacing w:after="0"/>
            </w:pPr>
            <w:r>
              <w:rPr>
                <w:sz w:val="13"/>
              </w:rPr>
              <w:t>Pub/Sub/Dataflow streaming</w:t>
            </w:r>
          </w:p>
        </w:tc>
        <w:tc>
          <w:tcPr>
            <w:tcW w:type="dxa" w:w="2030"/>
            <w:shd w:fill="F7F8F9"/>
            <w:vAlign w:val="top"/>
          </w:tcPr>
          <w:p>
            <w:pPr>
              <w:spacing w:after="0"/>
            </w:pPr>
            <w:r>
              <w:rPr>
                <w:sz w:val="13"/>
              </w:rPr>
              <w:t>Capacity and investment product</w:t>
            </w:r>
          </w:p>
        </w:tc>
        <w:tc>
          <w:tcPr>
            <w:tcW w:type="dxa" w:w="2030"/>
            <w:shd w:fill="F7F8F9"/>
            <w:vAlign w:val="top"/>
          </w:tcPr>
          <w:p>
            <w:pPr>
              <w:spacing w:after="0"/>
            </w:pPr>
            <w:r>
              <w:rPr>
                <w:sz w:val="13"/>
              </w:rPr>
              <w:t>Schema + control totals + quality + lineage</w:t>
            </w:r>
          </w:p>
        </w:tc>
        <w:tc>
          <w:tcPr>
            <w:tcW w:type="dxa" w:w="2030"/>
            <w:shd w:fill="F7F8F9"/>
            <w:vAlign w:val="top"/>
          </w:tcPr>
          <w:p>
            <w:pPr>
              <w:spacing w:after="0"/>
            </w:pPr>
            <w:r>
              <w:rPr>
                <w:sz w:val="13"/>
              </w:rPr>
              <w:t>Tier 1/2</w:t>
            </w:r>
          </w:p>
        </w:tc>
      </w:tr>
    </w:tbl>
    <w:p>
      <w:pPr>
        <w:spacing w:after="0"/>
      </w:pPr>
    </w:p>
    <w:p>
      <w:r>
        <w:br w:type="page"/>
      </w:r>
    </w:p>
    <w:p>
      <w:pPr>
        <w:pStyle w:val="Heading2"/>
      </w:pPr>
      <w:r>
        <w:t>7.21 Detailed Data-Product Contract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Contract section</w:t>
            </w:r>
          </w:p>
        </w:tc>
        <w:tc>
          <w:tcPr>
            <w:tcW w:type="dxa" w:w="5074"/>
            <w:shd w:fill="174EA6"/>
          </w:tcPr>
          <w:p>
            <w:pPr>
              <w:spacing w:after="0"/>
            </w:pPr>
            <w:r>
              <w:rPr>
                <w:b/>
                <w:color w:val="FFFFFF"/>
                <w:sz w:val="14"/>
              </w:rPr>
              <w:t>Industry specification</w:t>
            </w:r>
          </w:p>
        </w:tc>
      </w:tr>
      <w:tr>
        <w:tc>
          <w:tcPr>
            <w:tcW w:type="dxa" w:w="5074"/>
            <w:vAlign w:val="top"/>
          </w:tcPr>
          <w:p>
            <w:pPr>
              <w:spacing w:after="0"/>
            </w:pPr>
            <w:r>
              <w:rPr>
                <w:sz w:val="14"/>
              </w:rPr>
              <w:t>Product identity</w:t>
            </w:r>
          </w:p>
        </w:tc>
        <w:tc>
          <w:tcPr>
            <w:tcW w:type="dxa" w:w="5074"/>
            <w:vAlign w:val="top"/>
          </w:tcPr>
          <w:p>
            <w:pPr>
              <w:spacing w:after="0"/>
            </w:pPr>
            <w:r>
              <w:rPr>
                <w:sz w:val="14"/>
              </w:rPr>
              <w:t>telecom.subscriber-and-account-product.v1; accountable domain product owner and steward</w:t>
            </w:r>
          </w:p>
        </w:tc>
      </w:tr>
      <w:tr>
        <w:tc>
          <w:tcPr>
            <w:tcW w:type="dxa" w:w="5074"/>
            <w:shd w:fill="F7F8F9"/>
            <w:vAlign w:val="top"/>
          </w:tcPr>
          <w:p>
            <w:pPr>
              <w:spacing w:after="0"/>
            </w:pPr>
            <w:r>
              <w:rPr>
                <w:sz w:val="14"/>
              </w:rPr>
              <w:t>Entities and grain</w:t>
            </w:r>
          </w:p>
        </w:tc>
        <w:tc>
          <w:tcPr>
            <w:tcW w:type="dxa" w:w="5074"/>
            <w:shd w:fill="F7F8F9"/>
            <w:vAlign w:val="top"/>
          </w:tcPr>
          <w:p>
            <w:pPr>
              <w:spacing w:after="0"/>
            </w:pPr>
            <w:r>
              <w:rPr>
                <w:sz w:val="14"/>
              </w:rPr>
              <w:t>Business entity, stable key, event/validity timestamps, source identifier and record version</w:t>
            </w:r>
          </w:p>
        </w:tc>
      </w:tr>
      <w:tr>
        <w:tc>
          <w:tcPr>
            <w:tcW w:type="dxa" w:w="5074"/>
            <w:vAlign w:val="top"/>
          </w:tcPr>
          <w:p>
            <w:pPr>
              <w:spacing w:after="0"/>
            </w:pPr>
            <w:r>
              <w:rPr>
                <w:sz w:val="14"/>
              </w:rPr>
              <w:t>Classification</w:t>
            </w:r>
          </w:p>
        </w:tc>
        <w:tc>
          <w:tcPr>
            <w:tcW w:type="dxa" w:w="5074"/>
            <w:vAlign w:val="top"/>
          </w:tcPr>
          <w:p>
            <w:pPr>
              <w:spacing w:after="0"/>
            </w:pPr>
            <w:r>
              <w:rPr>
                <w:sz w:val="14"/>
              </w:rPr>
              <w:t>Highest applicable industry class; Restricted/Regulated detail separated from broader analytical views</w:t>
            </w:r>
          </w:p>
        </w:tc>
      </w:tr>
      <w:tr>
        <w:tc>
          <w:tcPr>
            <w:tcW w:type="dxa" w:w="5074"/>
            <w:shd w:fill="F7F8F9"/>
            <w:vAlign w:val="top"/>
          </w:tcPr>
          <w:p>
            <w:pPr>
              <w:spacing w:after="0"/>
            </w:pPr>
            <w:r>
              <w:rPr>
                <w:sz w:val="14"/>
              </w:rPr>
              <w:t>Quality</w:t>
            </w:r>
          </w:p>
        </w:tc>
        <w:tc>
          <w:tcPr>
            <w:tcW w:type="dxa" w:w="5074"/>
            <w:shd w:fill="F7F8F9"/>
            <w:vAlign w:val="top"/>
          </w:tcPr>
          <w:p>
            <w:pPr>
              <w:spacing w:after="0"/>
            </w:pPr>
            <w:r>
              <w:rPr>
                <w:sz w:val="14"/>
              </w:rPr>
              <w:t>Critical keys non-null, uniqueness, referential integrity, validity, freshness and business reconciliation</w:t>
            </w:r>
          </w:p>
        </w:tc>
      </w:tr>
      <w:tr>
        <w:tc>
          <w:tcPr>
            <w:tcW w:type="dxa" w:w="5074"/>
            <w:vAlign w:val="top"/>
          </w:tcPr>
          <w:p>
            <w:pPr>
              <w:spacing w:after="0"/>
            </w:pPr>
            <w:r>
              <w:rPr>
                <w:sz w:val="14"/>
              </w:rPr>
              <w:t>Reliability</w:t>
            </w:r>
          </w:p>
        </w:tc>
        <w:tc>
          <w:tcPr>
            <w:tcW w:type="dxa" w:w="5074"/>
            <w:vAlign w:val="top"/>
          </w:tcPr>
          <w:p>
            <w:pPr>
              <w:spacing w:after="0"/>
            </w:pPr>
            <w:r>
              <w:rPr>
                <w:sz w:val="14"/>
              </w:rPr>
              <w:t>Tier-defined availability/freshness, RTO/RPO, replay interval and degraded mode</w:t>
            </w:r>
          </w:p>
        </w:tc>
      </w:tr>
      <w:tr>
        <w:tc>
          <w:tcPr>
            <w:tcW w:type="dxa" w:w="5074"/>
            <w:shd w:fill="F7F8F9"/>
            <w:vAlign w:val="top"/>
          </w:tcPr>
          <w:p>
            <w:pPr>
              <w:spacing w:after="0"/>
            </w:pPr>
            <w:r>
              <w:rPr>
                <w:sz w:val="14"/>
              </w:rPr>
              <w:t>Access</w:t>
            </w:r>
          </w:p>
        </w:tc>
        <w:tc>
          <w:tcPr>
            <w:tcW w:type="dxa" w:w="5074"/>
            <w:shd w:fill="F7F8F9"/>
            <w:vAlign w:val="top"/>
          </w:tcPr>
          <w:p>
            <w:pPr>
              <w:spacing w:after="0"/>
            </w:pPr>
            <w:r>
              <w:rPr>
                <w:sz w:val="14"/>
              </w:rPr>
              <w:t>Purpose-specific groups, service identities, authorized views/policies and approval workflow</w:t>
            </w:r>
          </w:p>
        </w:tc>
      </w:tr>
      <w:tr>
        <w:tc>
          <w:tcPr>
            <w:tcW w:type="dxa" w:w="5074"/>
            <w:vAlign w:val="top"/>
          </w:tcPr>
          <w:p>
            <w:pPr>
              <w:spacing w:after="0"/>
            </w:pPr>
            <w:r>
              <w:rPr>
                <w:sz w:val="14"/>
              </w:rPr>
              <w:t>Lifecycle</w:t>
            </w:r>
          </w:p>
        </w:tc>
        <w:tc>
          <w:tcPr>
            <w:tcW w:type="dxa" w:w="5074"/>
            <w:vAlign w:val="top"/>
          </w:tcPr>
          <w:p>
            <w:pPr>
              <w:spacing w:after="0"/>
            </w:pPr>
            <w:r>
              <w:rPr>
                <w:sz w:val="14"/>
              </w:rPr>
              <w:t>Retention, legal hold, deletion, deprecation and derived-artifact propagation</w:t>
            </w:r>
          </w:p>
        </w:tc>
      </w:tr>
      <w:tr>
        <w:tc>
          <w:tcPr>
            <w:tcW w:type="dxa" w:w="5074"/>
            <w:shd w:fill="F7F8F9"/>
            <w:vAlign w:val="top"/>
          </w:tcPr>
          <w:p>
            <w:pPr>
              <w:spacing w:after="0"/>
            </w:pPr>
            <w:r>
              <w:rPr>
                <w:sz w:val="14"/>
              </w:rPr>
              <w:t>Economics</w:t>
            </w:r>
          </w:p>
        </w:tc>
        <w:tc>
          <w:tcPr>
            <w:tcW w:type="dxa" w:w="5074"/>
            <w:shd w:fill="F7F8F9"/>
            <w:vAlign w:val="top"/>
          </w:tcPr>
          <w:p>
            <w:pPr>
              <w:spacing w:after="0"/>
            </w:pPr>
            <w:r>
              <w:rPr>
                <w:sz w:val="14"/>
              </w:rPr>
              <w:t>Product budget, forecast, cost center and unit-cost denominator</w:t>
            </w:r>
          </w:p>
        </w:tc>
      </w:tr>
      <w:tr>
        <w:tc>
          <w:tcPr>
            <w:tcW w:type="dxa" w:w="5074"/>
            <w:vAlign w:val="top"/>
          </w:tcPr>
          <w:p>
            <w:pPr>
              <w:spacing w:after="0"/>
            </w:pPr>
            <w:r>
              <w:rPr>
                <w:sz w:val="14"/>
              </w:rPr>
              <w:t>Evidence</w:t>
            </w:r>
          </w:p>
        </w:tc>
        <w:tc>
          <w:tcPr>
            <w:tcW w:type="dxa" w:w="5074"/>
            <w:vAlign w:val="top"/>
          </w:tcPr>
          <w:p>
            <w:pPr>
              <w:spacing w:after="0"/>
            </w:pPr>
            <w:r>
              <w:rPr>
                <w:sz w:val="14"/>
              </w:rPr>
              <w:t>Source-to-product lineage, run/model/prompt/index versions, quality and approval records</w:t>
            </w:r>
          </w:p>
        </w:tc>
      </w:tr>
    </w:tbl>
    <w:p>
      <w:pPr>
        <w:spacing w:after="0"/>
      </w:pPr>
    </w:p>
    <w:p>
      <w:r>
        <w:br w:type="page"/>
      </w:r>
    </w:p>
    <w:p>
      <w:pPr>
        <w:pStyle w:val="Heading2"/>
      </w:pPr>
      <w:r>
        <w:t>7.22 Ingestion, Reconciliation and Exception Controls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Control stage</w:t>
            </w:r>
          </w:p>
        </w:tc>
        <w:tc>
          <w:tcPr>
            <w:tcW w:type="dxa" w:w="3383"/>
            <w:shd w:fill="174EA6"/>
          </w:tcPr>
          <w:p>
            <w:pPr>
              <w:spacing w:after="0"/>
            </w:pPr>
            <w:r>
              <w:rPr>
                <w:b/>
                <w:color w:val="FFFFFF"/>
                <w:sz w:val="14"/>
              </w:rPr>
              <w:t>Required tests</w:t>
            </w:r>
          </w:p>
        </w:tc>
        <w:tc>
          <w:tcPr>
            <w:tcW w:type="dxa" w:w="3383"/>
            <w:shd w:fill="174EA6"/>
          </w:tcPr>
          <w:p>
            <w:pPr>
              <w:spacing w:after="0"/>
            </w:pPr>
            <w:r>
              <w:rPr>
                <w:b/>
                <w:color w:val="FFFFFF"/>
                <w:sz w:val="14"/>
              </w:rPr>
              <w:t>Failure action</w:t>
            </w:r>
          </w:p>
        </w:tc>
      </w:tr>
      <w:tr>
        <w:tc>
          <w:tcPr>
            <w:tcW w:type="dxa" w:w="3383"/>
            <w:vAlign w:val="top"/>
          </w:tcPr>
          <w:p>
            <w:pPr>
              <w:spacing w:after="0"/>
            </w:pPr>
            <w:r>
              <w:rPr>
                <w:sz w:val="14"/>
              </w:rPr>
              <w:t>Source authorization</w:t>
            </w:r>
          </w:p>
        </w:tc>
        <w:tc>
          <w:tcPr>
            <w:tcW w:type="dxa" w:w="3383"/>
            <w:vAlign w:val="top"/>
          </w:tcPr>
          <w:p>
            <w:pPr>
              <w:spacing w:after="0"/>
            </w:pPr>
            <w:r>
              <w:rPr>
                <w:sz w:val="14"/>
              </w:rPr>
              <w:t>Identity, private path, certificate/secret and approved source scope</w:t>
            </w:r>
          </w:p>
        </w:tc>
        <w:tc>
          <w:tcPr>
            <w:tcW w:type="dxa" w:w="3383"/>
            <w:vAlign w:val="top"/>
          </w:tcPr>
          <w:p>
            <w:pPr>
              <w:spacing w:after="0"/>
            </w:pPr>
            <w:r>
              <w:rPr>
                <w:sz w:val="14"/>
              </w:rPr>
              <w:t>Reject and open security/connection incident</w:t>
            </w:r>
          </w:p>
        </w:tc>
      </w:tr>
      <w:tr>
        <w:tc>
          <w:tcPr>
            <w:tcW w:type="dxa" w:w="3383"/>
            <w:shd w:fill="F7F8F9"/>
            <w:vAlign w:val="top"/>
          </w:tcPr>
          <w:p>
            <w:pPr>
              <w:spacing w:after="0"/>
            </w:pPr>
            <w:r>
              <w:rPr>
                <w:sz w:val="14"/>
              </w:rPr>
              <w:t>Arrival / event contract</w:t>
            </w:r>
          </w:p>
        </w:tc>
        <w:tc>
          <w:tcPr>
            <w:tcW w:type="dxa" w:w="3383"/>
            <w:shd w:fill="F7F8F9"/>
            <w:vAlign w:val="top"/>
          </w:tcPr>
          <w:p>
            <w:pPr>
              <w:spacing w:after="0"/>
            </w:pPr>
            <w:r>
              <w:rPr>
                <w:sz w:val="14"/>
              </w:rPr>
              <w:t>Manifest/checksum or message schema, event ID and timestamp</w:t>
            </w:r>
          </w:p>
        </w:tc>
        <w:tc>
          <w:tcPr>
            <w:tcW w:type="dxa" w:w="3383"/>
            <w:shd w:fill="F7F8F9"/>
            <w:vAlign w:val="top"/>
          </w:tcPr>
          <w:p>
            <w:pPr>
              <w:spacing w:after="0"/>
            </w:pPr>
            <w:r>
              <w:rPr>
                <w:sz w:val="14"/>
              </w:rPr>
              <w:t>Quarantine or dead-letter; no silent drop</w:t>
            </w:r>
          </w:p>
        </w:tc>
      </w:tr>
      <w:tr>
        <w:tc>
          <w:tcPr>
            <w:tcW w:type="dxa" w:w="3383"/>
            <w:vAlign w:val="top"/>
          </w:tcPr>
          <w:p>
            <w:pPr>
              <w:spacing w:after="0"/>
            </w:pPr>
            <w:r>
              <w:rPr>
                <w:sz w:val="14"/>
              </w:rPr>
              <w:t>Standardization</w:t>
            </w:r>
          </w:p>
        </w:tc>
        <w:tc>
          <w:tcPr>
            <w:tcW w:type="dxa" w:w="3383"/>
            <w:vAlign w:val="top"/>
          </w:tcPr>
          <w:p>
            <w:pPr>
              <w:spacing w:after="0"/>
            </w:pPr>
            <w:r>
              <w:rPr>
                <w:sz w:val="14"/>
              </w:rPr>
              <w:t>Type, code set, canonical entity, duplicate and late-data behavior</w:t>
            </w:r>
          </w:p>
        </w:tc>
        <w:tc>
          <w:tcPr>
            <w:tcW w:type="dxa" w:w="3383"/>
            <w:vAlign w:val="top"/>
          </w:tcPr>
          <w:p>
            <w:pPr>
              <w:spacing w:after="0"/>
            </w:pPr>
            <w:r>
              <w:rPr>
                <w:sz w:val="14"/>
              </w:rPr>
              <w:t>Side output or fail interval by severity</w:t>
            </w:r>
          </w:p>
        </w:tc>
      </w:tr>
      <w:tr>
        <w:tc>
          <w:tcPr>
            <w:tcW w:type="dxa" w:w="3383"/>
            <w:shd w:fill="F7F8F9"/>
            <w:vAlign w:val="top"/>
          </w:tcPr>
          <w:p>
            <w:pPr>
              <w:spacing w:after="0"/>
            </w:pPr>
            <w:r>
              <w:rPr>
                <w:sz w:val="14"/>
              </w:rPr>
              <w:t>Reconciliation</w:t>
            </w:r>
          </w:p>
        </w:tc>
        <w:tc>
          <w:tcPr>
            <w:tcW w:type="dxa" w:w="3383"/>
            <w:shd w:fill="F7F8F9"/>
            <w:vAlign w:val="top"/>
          </w:tcPr>
          <w:p>
            <w:pPr>
              <w:spacing w:after="0"/>
            </w:pPr>
            <w:r>
              <w:rPr>
                <w:sz w:val="14"/>
              </w:rPr>
              <w:t>Counts, amounts/quantities, hashes, coverage and source-to-target balance</w:t>
            </w:r>
          </w:p>
        </w:tc>
        <w:tc>
          <w:tcPr>
            <w:tcW w:type="dxa" w:w="3383"/>
            <w:shd w:fill="F7F8F9"/>
            <w:vAlign w:val="top"/>
          </w:tcPr>
          <w:p>
            <w:pPr>
              <w:spacing w:after="0"/>
            </w:pPr>
            <w:r>
              <w:rPr>
                <w:sz w:val="14"/>
              </w:rPr>
              <w:t>Block certification and consumer publication</w:t>
            </w:r>
          </w:p>
        </w:tc>
      </w:tr>
      <w:tr>
        <w:tc>
          <w:tcPr>
            <w:tcW w:type="dxa" w:w="3383"/>
            <w:vAlign w:val="top"/>
          </w:tcPr>
          <w:p>
            <w:pPr>
              <w:spacing w:after="0"/>
            </w:pPr>
            <w:r>
              <w:rPr>
                <w:sz w:val="14"/>
              </w:rPr>
              <w:t>Replay/backfill</w:t>
            </w:r>
          </w:p>
        </w:tc>
        <w:tc>
          <w:tcPr>
            <w:tcW w:type="dxa" w:w="3383"/>
            <w:vAlign w:val="top"/>
          </w:tcPr>
          <w:p>
            <w:pPr>
              <w:spacing w:after="0"/>
            </w:pPr>
            <w:r>
              <w:rPr>
                <w:sz w:val="14"/>
              </w:rPr>
              <w:t>Bounded range, original IDs, isolated capacity and privacy/retention policy</w:t>
            </w:r>
          </w:p>
        </w:tc>
        <w:tc>
          <w:tcPr>
            <w:tcW w:type="dxa" w:w="3383"/>
            <w:vAlign w:val="top"/>
          </w:tcPr>
          <w:p>
            <w:pPr>
              <w:spacing w:after="0"/>
            </w:pPr>
            <w:r>
              <w:rPr>
                <w:sz w:val="14"/>
              </w:rPr>
              <w:t>Stop if idempotency or reconciliation fails</w:t>
            </w:r>
          </w:p>
        </w:tc>
      </w:tr>
      <w:tr>
        <w:tc>
          <w:tcPr>
            <w:tcW w:type="dxa" w:w="3383"/>
            <w:shd w:fill="F7F8F9"/>
            <w:vAlign w:val="top"/>
          </w:tcPr>
          <w:p>
            <w:pPr>
              <w:spacing w:after="0"/>
            </w:pPr>
            <w:r>
              <w:rPr>
                <w:sz w:val="14"/>
              </w:rPr>
              <w:t>Closure</w:t>
            </w:r>
          </w:p>
        </w:tc>
        <w:tc>
          <w:tcPr>
            <w:tcW w:type="dxa" w:w="3383"/>
            <w:shd w:fill="F7F8F9"/>
            <w:vAlign w:val="top"/>
          </w:tcPr>
          <w:p>
            <w:pPr>
              <w:spacing w:after="0"/>
            </w:pPr>
            <w:r>
              <w:rPr>
                <w:sz w:val="14"/>
              </w:rPr>
              <w:t>Evidence, owner, corrective action, downstream communication and rule update</w:t>
            </w:r>
          </w:p>
        </w:tc>
        <w:tc>
          <w:tcPr>
            <w:tcW w:type="dxa" w:w="3383"/>
            <w:shd w:fill="F7F8F9"/>
            <w:vAlign w:val="top"/>
          </w:tcPr>
          <w:p>
            <w:pPr>
              <w:spacing w:after="0"/>
            </w:pPr>
            <w:r>
              <w:rPr>
                <w:sz w:val="14"/>
              </w:rPr>
              <w:t>Incident/problem record remains open until verified</w:t>
            </w:r>
          </w:p>
        </w:tc>
      </w:tr>
    </w:tbl>
    <w:p>
      <w:pPr>
        <w:spacing w:after="0"/>
      </w:pPr>
    </w:p>
    <w:p>
      <w:r>
        <w:br w:type="page"/>
      </w:r>
    </w:p>
    <w:p>
      <w:pPr>
        <w:pStyle w:val="Heading2"/>
      </w:pPr>
      <w:r>
        <w:t>7.23 Analytics KPI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Business capability</w:t>
            </w:r>
          </w:p>
        </w:tc>
        <w:tc>
          <w:tcPr>
            <w:tcW w:type="dxa" w:w="2030"/>
            <w:shd w:fill="174EA6"/>
          </w:tcPr>
          <w:p>
            <w:pPr>
              <w:spacing w:after="0"/>
            </w:pPr>
            <w:r>
              <w:rPr>
                <w:b/>
                <w:color w:val="FFFFFF"/>
                <w:sz w:val="13"/>
              </w:rPr>
              <w:t>KPI ID</w:t>
            </w:r>
          </w:p>
        </w:tc>
        <w:tc>
          <w:tcPr>
            <w:tcW w:type="dxa" w:w="2030"/>
            <w:shd w:fill="174EA6"/>
          </w:tcPr>
          <w:p>
            <w:pPr>
              <w:spacing w:after="0"/>
            </w:pPr>
            <w:r>
              <w:rPr>
                <w:b/>
                <w:color w:val="FFFFFF"/>
                <w:sz w:val="13"/>
              </w:rPr>
              <w:t>Definition standard</w:t>
            </w:r>
          </w:p>
        </w:tc>
        <w:tc>
          <w:tcPr>
            <w:tcW w:type="dxa" w:w="2030"/>
            <w:shd w:fill="174EA6"/>
          </w:tcPr>
          <w:p>
            <w:pPr>
              <w:spacing w:after="0"/>
            </w:pPr>
            <w:r>
              <w:rPr>
                <w:b/>
                <w:color w:val="FFFFFF"/>
                <w:sz w:val="13"/>
              </w:rPr>
              <w:t>Owner</w:t>
            </w:r>
          </w:p>
        </w:tc>
        <w:tc>
          <w:tcPr>
            <w:tcW w:type="dxa" w:w="2030"/>
            <w:shd w:fill="174EA6"/>
          </w:tcPr>
          <w:p>
            <w:pPr>
              <w:spacing w:after="0"/>
            </w:pPr>
            <w:r>
              <w:rPr>
                <w:b/>
                <w:color w:val="FFFFFF"/>
                <w:sz w:val="13"/>
              </w:rPr>
              <w:t>Dashboard control</w:t>
            </w:r>
          </w:p>
        </w:tc>
      </w:tr>
      <w:tr>
        <w:tc>
          <w:tcPr>
            <w:tcW w:type="dxa" w:w="2030"/>
            <w:vAlign w:val="top"/>
          </w:tcPr>
          <w:p>
            <w:pPr>
              <w:spacing w:after="0"/>
            </w:pPr>
            <w:r>
              <w:rPr>
                <w:sz w:val="13"/>
              </w:rPr>
              <w:t>Subscriber and service 360</w:t>
            </w:r>
          </w:p>
        </w:tc>
        <w:tc>
          <w:tcPr>
            <w:tcW w:type="dxa" w:w="2030"/>
            <w:vAlign w:val="top"/>
          </w:tcPr>
          <w:p>
            <w:pPr>
              <w:spacing w:after="0"/>
            </w:pPr>
            <w:r>
              <w:rPr>
                <w:sz w:val="13"/>
              </w:rPr>
              <w:t>telecom_kpi_01</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Network performance and topology analytics</w:t>
            </w:r>
          </w:p>
        </w:tc>
        <w:tc>
          <w:tcPr>
            <w:tcW w:type="dxa" w:w="2030"/>
            <w:shd w:fill="F7F8F9"/>
            <w:vAlign w:val="top"/>
          </w:tcPr>
          <w:p>
            <w:pPr>
              <w:spacing w:after="0"/>
            </w:pPr>
            <w:r>
              <w:rPr>
                <w:sz w:val="13"/>
              </w:rPr>
              <w:t>telecom_kpi_02</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Service assurance and fault correlation</w:t>
            </w:r>
          </w:p>
        </w:tc>
        <w:tc>
          <w:tcPr>
            <w:tcW w:type="dxa" w:w="2030"/>
            <w:vAlign w:val="top"/>
          </w:tcPr>
          <w:p>
            <w:pPr>
              <w:spacing w:after="0"/>
            </w:pPr>
            <w:r>
              <w:rPr>
                <w:sz w:val="13"/>
              </w:rPr>
              <w:t>telecom_kpi_03</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Usage, charging and revenue assurance</w:t>
            </w:r>
          </w:p>
        </w:tc>
        <w:tc>
          <w:tcPr>
            <w:tcW w:type="dxa" w:w="2030"/>
            <w:shd w:fill="F7F8F9"/>
            <w:vAlign w:val="top"/>
          </w:tcPr>
          <w:p>
            <w:pPr>
              <w:spacing w:after="0"/>
            </w:pPr>
            <w:r>
              <w:rPr>
                <w:sz w:val="13"/>
              </w:rPr>
              <w:t>telecom_kpi_04</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Churn and next-best-action analytics</w:t>
            </w:r>
          </w:p>
        </w:tc>
        <w:tc>
          <w:tcPr>
            <w:tcW w:type="dxa" w:w="2030"/>
            <w:vAlign w:val="top"/>
          </w:tcPr>
          <w:p>
            <w:pPr>
              <w:spacing w:after="0"/>
            </w:pPr>
            <w:r>
              <w:rPr>
                <w:sz w:val="13"/>
              </w:rPr>
              <w:t>telecom_kpi_05</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Capacity and investment planning</w:t>
            </w:r>
          </w:p>
        </w:tc>
        <w:tc>
          <w:tcPr>
            <w:tcW w:type="dxa" w:w="2030"/>
            <w:shd w:fill="F7F8F9"/>
            <w:vAlign w:val="top"/>
          </w:tcPr>
          <w:p>
            <w:pPr>
              <w:spacing w:after="0"/>
            </w:pPr>
            <w:r>
              <w:rPr>
                <w:sz w:val="13"/>
              </w:rPr>
              <w:t>telecom_kpi_06</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r>
        <w:tc>
          <w:tcPr>
            <w:tcW w:type="dxa" w:w="2030"/>
            <w:vAlign w:val="top"/>
          </w:tcPr>
          <w:p>
            <w:pPr>
              <w:spacing w:after="0"/>
            </w:pPr>
            <w:r>
              <w:rPr>
                <w:sz w:val="13"/>
              </w:rPr>
              <w:t>Field operations and trouble-ticket optimization</w:t>
            </w:r>
          </w:p>
        </w:tc>
        <w:tc>
          <w:tcPr>
            <w:tcW w:type="dxa" w:w="2030"/>
            <w:vAlign w:val="top"/>
          </w:tcPr>
          <w:p>
            <w:pPr>
              <w:spacing w:after="0"/>
            </w:pPr>
            <w:r>
              <w:rPr>
                <w:sz w:val="13"/>
              </w:rPr>
              <w:t>telecom_kpi_07</w:t>
            </w:r>
          </w:p>
        </w:tc>
        <w:tc>
          <w:tcPr>
            <w:tcW w:type="dxa" w:w="2030"/>
            <w:vAlign w:val="top"/>
          </w:tcPr>
          <w:p>
            <w:pPr>
              <w:spacing w:after="0"/>
            </w:pPr>
            <w:r>
              <w:rPr>
                <w:sz w:val="13"/>
              </w:rPr>
              <w:t>Certified domain formula and grain</w:t>
            </w:r>
          </w:p>
        </w:tc>
        <w:tc>
          <w:tcPr>
            <w:tcW w:type="dxa" w:w="2030"/>
            <w:vAlign w:val="top"/>
          </w:tcPr>
          <w:p>
            <w:pPr>
              <w:spacing w:after="0"/>
            </w:pPr>
            <w:r>
              <w:rPr>
                <w:sz w:val="13"/>
              </w:rPr>
              <w:t>Business owner + data steward</w:t>
            </w:r>
          </w:p>
        </w:tc>
        <w:tc>
          <w:tcPr>
            <w:tcW w:type="dxa" w:w="2030"/>
            <w:vAlign w:val="top"/>
          </w:tcPr>
          <w:p>
            <w:pPr>
              <w:spacing w:after="0"/>
            </w:pPr>
            <w:r>
              <w:rPr>
                <w:sz w:val="13"/>
              </w:rPr>
              <w:t>Freshness and reconciliation status displayed</w:t>
            </w:r>
          </w:p>
        </w:tc>
      </w:tr>
      <w:tr>
        <w:tc>
          <w:tcPr>
            <w:tcW w:type="dxa" w:w="2030"/>
            <w:shd w:fill="F7F8F9"/>
            <w:vAlign w:val="top"/>
          </w:tcPr>
          <w:p>
            <w:pPr>
              <w:spacing w:after="0"/>
            </w:pPr>
            <w:r>
              <w:rPr>
                <w:sz w:val="13"/>
              </w:rPr>
              <w:t>Network and customer-care copilots</w:t>
            </w:r>
          </w:p>
        </w:tc>
        <w:tc>
          <w:tcPr>
            <w:tcW w:type="dxa" w:w="2030"/>
            <w:shd w:fill="F7F8F9"/>
            <w:vAlign w:val="top"/>
          </w:tcPr>
          <w:p>
            <w:pPr>
              <w:spacing w:after="0"/>
            </w:pPr>
            <w:r>
              <w:rPr>
                <w:sz w:val="13"/>
              </w:rPr>
              <w:t>telecom_kpi_08</w:t>
            </w:r>
          </w:p>
        </w:tc>
        <w:tc>
          <w:tcPr>
            <w:tcW w:type="dxa" w:w="2030"/>
            <w:shd w:fill="F7F8F9"/>
            <w:vAlign w:val="top"/>
          </w:tcPr>
          <w:p>
            <w:pPr>
              <w:spacing w:after="0"/>
            </w:pPr>
            <w:r>
              <w:rPr>
                <w:sz w:val="13"/>
              </w:rPr>
              <w:t>Certified domain formula and grain</w:t>
            </w:r>
          </w:p>
        </w:tc>
        <w:tc>
          <w:tcPr>
            <w:tcW w:type="dxa" w:w="2030"/>
            <w:shd w:fill="F7F8F9"/>
            <w:vAlign w:val="top"/>
          </w:tcPr>
          <w:p>
            <w:pPr>
              <w:spacing w:after="0"/>
            </w:pPr>
            <w:r>
              <w:rPr>
                <w:sz w:val="13"/>
              </w:rPr>
              <w:t>Business owner + data steward</w:t>
            </w:r>
          </w:p>
        </w:tc>
        <w:tc>
          <w:tcPr>
            <w:tcW w:type="dxa" w:w="2030"/>
            <w:shd w:fill="F7F8F9"/>
            <w:vAlign w:val="top"/>
          </w:tcPr>
          <w:p>
            <w:pPr>
              <w:spacing w:after="0"/>
            </w:pPr>
            <w:r>
              <w:rPr>
                <w:sz w:val="13"/>
              </w:rPr>
              <w:t>Freshness and reconciliation status displayed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E6F4EA"/>
          </w:tcPr>
          <w:p>
            <w:r>
              <w:rPr>
                <w:b/>
                <w:color w:val="17365D"/>
              </w:rPr>
              <w:t xml:space="preserve">KPI governance - </w:t>
            </w:r>
            <w:r>
              <w:t>Regulatory and executive measures require a named business owner, formula, grain, time basis, exclusions, unit/currency, source reconciliation and change approval.</w:t>
            </w:r>
          </w:p>
        </w:tc>
        <w:trPr>
          <w:tblHeader/>
        </w:trPr>
      </w:tr>
    </w:tbl>
    <w:p>
      <w:pPr>
        <w:spacing w:after="0"/>
      </w:pPr>
    </w:p>
    <w:p>
      <w:r>
        <w:br w:type="page"/>
      </w:r>
    </w:p>
    <w:p>
      <w:pPr>
        <w:pStyle w:val="Heading2"/>
      </w:pPr>
      <w:r>
        <w:t>7.24 AI Evaluation and Model-System Card</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AI use case</w:t>
            </w:r>
          </w:p>
        </w:tc>
        <w:tc>
          <w:tcPr>
            <w:tcW w:type="dxa" w:w="2537"/>
            <w:shd w:fill="174EA6"/>
          </w:tcPr>
          <w:p>
            <w:pPr>
              <w:spacing w:after="0"/>
            </w:pPr>
            <w:r>
              <w:rPr>
                <w:b/>
                <w:color w:val="FFFFFF"/>
                <w:sz w:val="13"/>
              </w:rPr>
              <w:t>Evaluation suite</w:t>
            </w:r>
          </w:p>
        </w:tc>
        <w:tc>
          <w:tcPr>
            <w:tcW w:type="dxa" w:w="2537"/>
            <w:shd w:fill="174EA6"/>
          </w:tcPr>
          <w:p>
            <w:pPr>
              <w:spacing w:after="0"/>
            </w:pPr>
            <w:r>
              <w:rPr>
                <w:b/>
                <w:color w:val="FFFFFF"/>
                <w:sz w:val="13"/>
              </w:rPr>
              <w:t>Human control</w:t>
            </w:r>
          </w:p>
        </w:tc>
        <w:tc>
          <w:tcPr>
            <w:tcW w:type="dxa" w:w="2537"/>
            <w:shd w:fill="174EA6"/>
          </w:tcPr>
          <w:p>
            <w:pPr>
              <w:spacing w:after="0"/>
            </w:pPr>
            <w:r>
              <w:rPr>
                <w:b/>
                <w:color w:val="FFFFFF"/>
                <w:sz w:val="13"/>
              </w:rPr>
              <w:t>Rollback</w:t>
            </w:r>
          </w:p>
        </w:tc>
      </w:tr>
      <w:tr>
        <w:tc>
          <w:tcPr>
            <w:tcW w:type="dxa" w:w="2537"/>
            <w:vAlign w:val="top"/>
          </w:tcPr>
          <w:p>
            <w:pPr>
              <w:spacing w:after="0"/>
            </w:pPr>
            <w:r>
              <w:rPr>
                <w:sz w:val="13"/>
              </w:rPr>
              <w:t>Network anomaly and root-cause models</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Churn and customer-experience prediction</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Grounded network operations copilot using approved topology/runbooks</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Customer-care agent with CPNI-aware authorization</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Capacity forecasting and energy optimization</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r>
        <w:tc>
          <w:tcPr>
            <w:tcW w:type="dxa" w:w="2537"/>
            <w:shd w:fill="F7F8F9"/>
            <w:vAlign w:val="top"/>
          </w:tcPr>
          <w:p>
            <w:pPr>
              <w:spacing w:after="0"/>
            </w:pPr>
            <w:r>
              <w:rPr>
                <w:sz w:val="13"/>
              </w:rPr>
              <w:t>Field-technician assistance with device and location controls</w:t>
            </w:r>
          </w:p>
        </w:tc>
        <w:tc>
          <w:tcPr>
            <w:tcW w:type="dxa" w:w="2537"/>
            <w:shd w:fill="F7F8F9"/>
            <w:vAlign w:val="top"/>
          </w:tcPr>
          <w:p>
            <w:pPr>
              <w:spacing w:after="0"/>
            </w:pPr>
            <w:r>
              <w:rPr>
                <w:sz w:val="13"/>
              </w:rPr>
              <w:t>Task quality + safety + bias/segment + security + cost</w:t>
            </w:r>
          </w:p>
        </w:tc>
        <w:tc>
          <w:tcPr>
            <w:tcW w:type="dxa" w:w="2537"/>
            <w:shd w:fill="F7F8F9"/>
            <w:vAlign w:val="top"/>
          </w:tcPr>
          <w:p>
            <w:pPr>
              <w:spacing w:after="0"/>
            </w:pPr>
            <w:r>
              <w:rPr>
                <w:sz w:val="13"/>
              </w:rPr>
              <w:t>Human approval/escalation proportional to impact</w:t>
            </w:r>
          </w:p>
        </w:tc>
        <w:tc>
          <w:tcPr>
            <w:tcW w:type="dxa" w:w="2537"/>
            <w:shd w:fill="F7F8F9"/>
            <w:vAlign w:val="top"/>
          </w:tcPr>
          <w:p>
            <w:pPr>
              <w:spacing w:after="0"/>
            </w:pPr>
            <w:r>
              <w:rPr>
                <w:sz w:val="13"/>
              </w:rPr>
              <w:t>Prior model/prompt/index/tool bundle</w:t>
            </w:r>
          </w:p>
        </w:tc>
      </w:tr>
      <w:tr>
        <w:tc>
          <w:tcPr>
            <w:tcW w:type="dxa" w:w="2537"/>
            <w:vAlign w:val="top"/>
          </w:tcPr>
          <w:p>
            <w:pPr>
              <w:spacing w:after="0"/>
            </w:pPr>
            <w:r>
              <w:rPr>
                <w:sz w:val="13"/>
              </w:rPr>
              <w:t>Telecom Network Automation as conditional network-domain capability</w:t>
            </w:r>
          </w:p>
        </w:tc>
        <w:tc>
          <w:tcPr>
            <w:tcW w:type="dxa" w:w="2537"/>
            <w:vAlign w:val="top"/>
          </w:tcPr>
          <w:p>
            <w:pPr>
              <w:spacing w:after="0"/>
            </w:pPr>
            <w:r>
              <w:rPr>
                <w:sz w:val="13"/>
              </w:rPr>
              <w:t>Task quality + safety + bias/segment + security + cost</w:t>
            </w:r>
          </w:p>
        </w:tc>
        <w:tc>
          <w:tcPr>
            <w:tcW w:type="dxa" w:w="2537"/>
            <w:vAlign w:val="top"/>
          </w:tcPr>
          <w:p>
            <w:pPr>
              <w:spacing w:after="0"/>
            </w:pPr>
            <w:r>
              <w:rPr>
                <w:sz w:val="13"/>
              </w:rPr>
              <w:t>Human approval/escalation proportional to impact</w:t>
            </w:r>
          </w:p>
        </w:tc>
        <w:tc>
          <w:tcPr>
            <w:tcW w:type="dxa" w:w="2537"/>
            <w:vAlign w:val="top"/>
          </w:tcPr>
          <w:p>
            <w:pPr>
              <w:spacing w:after="0"/>
            </w:pPr>
            <w:r>
              <w:rPr>
                <w:sz w:val="13"/>
              </w:rPr>
              <w:t>Prior model/prompt/index/tool bundle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System-card field</w:t>
            </w:r>
          </w:p>
        </w:tc>
        <w:tc>
          <w:tcPr>
            <w:tcW w:type="dxa" w:w="5074"/>
            <w:shd w:fill="174EA6"/>
          </w:tcPr>
          <w:p>
            <w:pPr>
              <w:spacing w:after="0"/>
            </w:pPr>
            <w:r>
              <w:rPr>
                <w:b/>
                <w:color w:val="FFFFFF"/>
                <w:sz w:val="14"/>
              </w:rPr>
              <w:t>Required record</w:t>
            </w:r>
          </w:p>
        </w:tc>
      </w:tr>
      <w:tr>
        <w:tc>
          <w:tcPr>
            <w:tcW w:type="dxa" w:w="5074"/>
            <w:vAlign w:val="top"/>
          </w:tcPr>
          <w:p>
            <w:pPr>
              <w:spacing w:after="0"/>
            </w:pPr>
            <w:r>
              <w:rPr>
                <w:sz w:val="14"/>
              </w:rPr>
              <w:t>Intended/prohibited use</w:t>
            </w:r>
          </w:p>
        </w:tc>
        <w:tc>
          <w:tcPr>
            <w:tcW w:type="dxa" w:w="5074"/>
            <w:vAlign w:val="top"/>
          </w:tcPr>
          <w:p>
            <w:pPr>
              <w:spacing w:after="0"/>
            </w:pPr>
            <w:r>
              <w:rPr>
                <w:sz w:val="14"/>
              </w:rPr>
              <w:t>Authorized users, workflow, jurisdictions, decision role and explicit prohibited actions</w:t>
            </w:r>
          </w:p>
        </w:tc>
      </w:tr>
      <w:tr>
        <w:tc>
          <w:tcPr>
            <w:tcW w:type="dxa" w:w="5074"/>
            <w:shd w:fill="F7F8F9"/>
            <w:vAlign w:val="top"/>
          </w:tcPr>
          <w:p>
            <w:pPr>
              <w:spacing w:after="0"/>
            </w:pPr>
            <w:r>
              <w:rPr>
                <w:sz w:val="14"/>
              </w:rPr>
              <w:t>Data and model</w:t>
            </w:r>
          </w:p>
        </w:tc>
        <w:tc>
          <w:tcPr>
            <w:tcW w:type="dxa" w:w="5074"/>
            <w:shd w:fill="F7F8F9"/>
            <w:vAlign w:val="top"/>
          </w:tcPr>
          <w:p>
            <w:pPr>
              <w:spacing w:after="0"/>
            </w:pPr>
            <w:r>
              <w:rPr>
                <w:sz w:val="14"/>
              </w:rPr>
              <w:t>Approved product versions, model/version/region, prompt, retrieval/index and tool catalog</w:t>
            </w:r>
          </w:p>
        </w:tc>
      </w:tr>
      <w:tr>
        <w:tc>
          <w:tcPr>
            <w:tcW w:type="dxa" w:w="5074"/>
            <w:vAlign w:val="top"/>
          </w:tcPr>
          <w:p>
            <w:pPr>
              <w:spacing w:after="0"/>
            </w:pPr>
            <w:r>
              <w:rPr>
                <w:sz w:val="14"/>
              </w:rPr>
              <w:t>Performance and safety</w:t>
            </w:r>
          </w:p>
        </w:tc>
        <w:tc>
          <w:tcPr>
            <w:tcW w:type="dxa" w:w="5074"/>
            <w:vAlign w:val="top"/>
          </w:tcPr>
          <w:p>
            <w:pPr>
              <w:spacing w:after="0"/>
            </w:pPr>
            <w:r>
              <w:rPr>
                <w:sz w:val="14"/>
              </w:rPr>
              <w:t>Primary and segment metrics, groundedness/citations, robustness, privacy and red-team evidence</w:t>
            </w:r>
          </w:p>
        </w:tc>
      </w:tr>
      <w:tr>
        <w:tc>
          <w:tcPr>
            <w:tcW w:type="dxa" w:w="5074"/>
            <w:shd w:fill="F7F8F9"/>
            <w:vAlign w:val="top"/>
          </w:tcPr>
          <w:p>
            <w:pPr>
              <w:spacing w:after="0"/>
            </w:pPr>
            <w:r>
              <w:rPr>
                <w:sz w:val="14"/>
              </w:rPr>
              <w:t>Operations</w:t>
            </w:r>
          </w:p>
        </w:tc>
        <w:tc>
          <w:tcPr>
            <w:tcW w:type="dxa" w:w="5074"/>
            <w:shd w:fill="F7F8F9"/>
            <w:vAlign w:val="top"/>
          </w:tcPr>
          <w:p>
            <w:pPr>
              <w:spacing w:after="0"/>
            </w:pPr>
            <w:r>
              <w:rPr>
                <w:sz w:val="14"/>
              </w:rPr>
              <w:t>SLO, quotas, monitoring, feedback, incident, rollback, DR and periodic review</w:t>
            </w:r>
          </w:p>
        </w:tc>
      </w:tr>
      <w:tr>
        <w:tc>
          <w:tcPr>
            <w:tcW w:type="dxa" w:w="5074"/>
            <w:vAlign w:val="top"/>
          </w:tcPr>
          <w:p>
            <w:pPr>
              <w:spacing w:after="0"/>
            </w:pPr>
            <w:r>
              <w:rPr>
                <w:sz w:val="14"/>
              </w:rPr>
              <w:t>Accountability</w:t>
            </w:r>
          </w:p>
        </w:tc>
        <w:tc>
          <w:tcPr>
            <w:tcW w:type="dxa" w:w="5074"/>
            <w:vAlign w:val="top"/>
          </w:tcPr>
          <w:p>
            <w:pPr>
              <w:spacing w:after="0"/>
            </w:pPr>
            <w:r>
              <w:rPr>
                <w:sz w:val="14"/>
              </w:rPr>
              <w:t>Business owner, AI product owner, validators, security/privacy/legal and human decision authority</w:t>
            </w:r>
          </w:p>
        </w:tc>
      </w:tr>
    </w:tbl>
    <w:p>
      <w:pPr>
        <w:spacing w:after="0"/>
      </w:pPr>
    </w:p>
    <w:p>
      <w:r>
        <w:br w:type="page"/>
      </w:r>
    </w:p>
    <w:p>
      <w:pPr>
        <w:pStyle w:val="Heading2"/>
      </w:pPr>
      <w:r>
        <w:t>7.25 Security and Regulatory Control Mapping</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Industry control</w:t>
            </w:r>
          </w:p>
        </w:tc>
        <w:tc>
          <w:tcPr>
            <w:tcW w:type="dxa" w:w="2537"/>
            <w:shd w:fill="174EA6"/>
          </w:tcPr>
          <w:p>
            <w:pPr>
              <w:spacing w:after="0"/>
            </w:pPr>
            <w:r>
              <w:rPr>
                <w:b/>
                <w:color w:val="FFFFFF"/>
                <w:sz w:val="13"/>
              </w:rPr>
              <w:t>Implementation type</w:t>
            </w:r>
          </w:p>
        </w:tc>
        <w:tc>
          <w:tcPr>
            <w:tcW w:type="dxa" w:w="2537"/>
            <w:shd w:fill="174EA6"/>
          </w:tcPr>
          <w:p>
            <w:pPr>
              <w:spacing w:after="0"/>
            </w:pPr>
            <w:r>
              <w:rPr>
                <w:b/>
                <w:color w:val="FFFFFF"/>
                <w:sz w:val="13"/>
              </w:rPr>
              <w:t>Evidence</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CPNI classification and purpose-based access</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NIS2-aligned risk, incident and supply-chain controls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Regional perimeters for subscriber and network data</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CMEK and strict access to CDR/location data</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Network-management tool actions require policy gateway and approval</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Separate IT, BSS and network/OT trust zones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r>
        <w:tc>
          <w:tcPr>
            <w:tcW w:type="dxa" w:w="2537"/>
            <w:vAlign w:val="top"/>
          </w:tcPr>
          <w:p>
            <w:pPr>
              <w:spacing w:after="0"/>
            </w:pPr>
            <w:r>
              <w:rPr>
                <w:sz w:val="13"/>
              </w:rPr>
              <w:t>Minimize precise location in analytics and AI contexts</w:t>
            </w:r>
          </w:p>
        </w:tc>
        <w:tc>
          <w:tcPr>
            <w:tcW w:type="dxa" w:w="2537"/>
            <w:vAlign w:val="top"/>
          </w:tcPr>
          <w:p>
            <w:pPr>
              <w:spacing w:after="0"/>
            </w:pPr>
            <w:r>
              <w:rPr>
                <w:sz w:val="13"/>
              </w:rPr>
              <w:t>Preventive + detective + recovery control</w:t>
            </w:r>
          </w:p>
        </w:tc>
        <w:tc>
          <w:tcPr>
            <w:tcW w:type="dxa" w:w="2537"/>
            <w:vAlign w:val="top"/>
          </w:tcPr>
          <w:p>
            <w:pPr>
              <w:spacing w:after="0"/>
            </w:pPr>
            <w:r>
              <w:rPr>
                <w:sz w:val="13"/>
              </w:rPr>
              <w:t>Architecture/security/privacy evidence</w:t>
            </w:r>
          </w:p>
        </w:tc>
        <w:tc>
          <w:tcPr>
            <w:tcW w:type="dxa" w:w="2537"/>
            <w:vAlign w:val="top"/>
          </w:tcPr>
          <w:p>
            <w:pPr>
              <w:spacing w:after="0"/>
            </w:pPr>
            <w:r>
              <w:rPr>
                <w:sz w:val="13"/>
              </w:rPr>
              <w:t>Quarterly or event-triggered</w:t>
            </w:r>
          </w:p>
        </w:tc>
      </w:tr>
      <w:tr>
        <w:tc>
          <w:tcPr>
            <w:tcW w:type="dxa" w:w="2537"/>
            <w:shd w:fill="F7F8F9"/>
            <w:vAlign w:val="top"/>
          </w:tcPr>
          <w:p>
            <w:pPr>
              <w:spacing w:after="0"/>
            </w:pPr>
            <w:r>
              <w:rPr>
                <w:sz w:val="13"/>
              </w:rPr>
              <w:t>High-fidelity audit for network and customer-data access</w:t>
            </w:r>
          </w:p>
        </w:tc>
        <w:tc>
          <w:tcPr>
            <w:tcW w:type="dxa" w:w="2537"/>
            <w:shd w:fill="F7F8F9"/>
            <w:vAlign w:val="top"/>
          </w:tcPr>
          <w:p>
            <w:pPr>
              <w:spacing w:after="0"/>
            </w:pPr>
            <w:r>
              <w:rPr>
                <w:sz w:val="13"/>
              </w:rPr>
              <w:t>Preventive + detective + recovery control</w:t>
            </w:r>
          </w:p>
        </w:tc>
        <w:tc>
          <w:tcPr>
            <w:tcW w:type="dxa" w:w="2537"/>
            <w:shd w:fill="F7F8F9"/>
            <w:vAlign w:val="top"/>
          </w:tcPr>
          <w:p>
            <w:pPr>
              <w:spacing w:after="0"/>
            </w:pPr>
            <w:r>
              <w:rPr>
                <w:sz w:val="13"/>
              </w:rPr>
              <w:t>Architecture/security/privacy evidence</w:t>
            </w:r>
          </w:p>
        </w:tc>
        <w:tc>
          <w:tcPr>
            <w:tcW w:type="dxa" w:w="2537"/>
            <w:shd w:fill="F7F8F9"/>
            <w:vAlign w:val="top"/>
          </w:tcPr>
          <w:p>
            <w:pPr>
              <w:spacing w:after="0"/>
            </w:pPr>
            <w:r>
              <w:rPr>
                <w:sz w:val="13"/>
              </w:rPr>
              <w:t>Quarterly or event-triggered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Compliance boundary - </w:t>
            </w:r>
            <w:r>
              <w:t>This mapping supports control design and evidence collection; legal counsel and qualified assessors determine applicability and compliance conclusions.</w:t>
            </w:r>
          </w:p>
        </w:tc>
        <w:trPr>
          <w:tblHeader/>
        </w:trPr>
      </w:tr>
    </w:tbl>
    <w:p>
      <w:pPr>
        <w:spacing w:after="0"/>
      </w:pPr>
    </w:p>
    <w:p>
      <w:r>
        <w:br w:type="page"/>
      </w:r>
    </w:p>
    <w:p>
      <w:pPr>
        <w:pStyle w:val="Heading2"/>
      </w:pPr>
      <w:r>
        <w:t>7.26 Network Flows and Trust Boundaries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Flow</w:t>
            </w:r>
          </w:p>
        </w:tc>
        <w:tc>
          <w:tcPr>
            <w:tcW w:type="dxa" w:w="2537"/>
            <w:shd w:fill="174EA6"/>
          </w:tcPr>
          <w:p>
            <w:pPr>
              <w:spacing w:after="0"/>
            </w:pPr>
            <w:r>
              <w:rPr>
                <w:b/>
                <w:color w:val="FFFFFF"/>
                <w:sz w:val="13"/>
              </w:rPr>
              <w:t>Source -&gt; destination</w:t>
            </w:r>
          </w:p>
        </w:tc>
        <w:tc>
          <w:tcPr>
            <w:tcW w:type="dxa" w:w="2537"/>
            <w:shd w:fill="174EA6"/>
          </w:tcPr>
          <w:p>
            <w:pPr>
              <w:spacing w:after="0"/>
            </w:pPr>
            <w:r>
              <w:rPr>
                <w:b/>
                <w:color w:val="FFFFFF"/>
                <w:sz w:val="13"/>
              </w:rPr>
              <w:t>Protocol / path</w:t>
            </w:r>
          </w:p>
        </w:tc>
        <w:tc>
          <w:tcPr>
            <w:tcW w:type="dxa" w:w="2537"/>
            <w:shd w:fill="174EA6"/>
          </w:tcPr>
          <w:p>
            <w:pPr>
              <w:spacing w:after="0"/>
            </w:pPr>
            <w:r>
              <w:rPr>
                <w:b/>
                <w:color w:val="FFFFFF"/>
                <w:sz w:val="13"/>
              </w:rPr>
              <w:t>Authorization and control</w:t>
            </w:r>
          </w:p>
        </w:tc>
      </w:tr>
      <w:tr>
        <w:tc>
          <w:tcPr>
            <w:tcW w:type="dxa" w:w="2537"/>
            <w:vAlign w:val="top"/>
          </w:tcPr>
          <w:p>
            <w:pPr>
              <w:spacing w:after="0"/>
            </w:pPr>
            <w:r>
              <w:rPr>
                <w:sz w:val="13"/>
              </w:rPr>
              <w:t>Hybrid ingestion</w:t>
            </w:r>
          </w:p>
        </w:tc>
        <w:tc>
          <w:tcPr>
            <w:tcW w:type="dxa" w:w="2537"/>
            <w:vAlign w:val="top"/>
          </w:tcPr>
          <w:p>
            <w:pPr>
              <w:spacing w:after="0"/>
            </w:pPr>
            <w:r>
              <w:rPr>
                <w:sz w:val="13"/>
              </w:rPr>
              <w:t>Industry source -&gt; regional ingestion project</w:t>
            </w:r>
          </w:p>
        </w:tc>
        <w:tc>
          <w:tcPr>
            <w:tcW w:type="dxa" w:w="2537"/>
            <w:vAlign w:val="top"/>
          </w:tcPr>
          <w:p>
            <w:pPr>
              <w:spacing w:after="0"/>
            </w:pPr>
            <w:r>
              <w:rPr>
                <w:sz w:val="13"/>
              </w:rPr>
              <w:t>Interconnect/VPN/private endpoint/API</w:t>
            </w:r>
          </w:p>
        </w:tc>
        <w:tc>
          <w:tcPr>
            <w:tcW w:type="dxa" w:w="2537"/>
            <w:vAlign w:val="top"/>
          </w:tcPr>
          <w:p>
            <w:pPr>
              <w:spacing w:after="0"/>
            </w:pPr>
            <w:r>
              <w:rPr>
                <w:sz w:val="13"/>
              </w:rPr>
              <w:t>Workload identity, source allowlist, encryption and schema contract</w:t>
            </w:r>
          </w:p>
        </w:tc>
      </w:tr>
      <w:tr>
        <w:tc>
          <w:tcPr>
            <w:tcW w:type="dxa" w:w="2537"/>
            <w:shd w:fill="F7F8F9"/>
            <w:vAlign w:val="top"/>
          </w:tcPr>
          <w:p>
            <w:pPr>
              <w:spacing w:after="0"/>
            </w:pPr>
            <w:r>
              <w:rPr>
                <w:sz w:val="13"/>
              </w:rPr>
              <w:t>Managed data processing</w:t>
            </w:r>
          </w:p>
        </w:tc>
        <w:tc>
          <w:tcPr>
            <w:tcW w:type="dxa" w:w="2537"/>
            <w:shd w:fill="F7F8F9"/>
            <w:vAlign w:val="top"/>
          </w:tcPr>
          <w:p>
            <w:pPr>
              <w:spacing w:after="0"/>
            </w:pPr>
            <w:r>
              <w:rPr>
                <w:sz w:val="13"/>
              </w:rPr>
              <w:t>Ingestion runtime -&gt; Cloud Storage/BigQuery/Pub/Sub</w:t>
            </w:r>
          </w:p>
        </w:tc>
        <w:tc>
          <w:tcPr>
            <w:tcW w:type="dxa" w:w="2537"/>
            <w:shd w:fill="F7F8F9"/>
            <w:vAlign w:val="top"/>
          </w:tcPr>
          <w:p>
            <w:pPr>
              <w:spacing w:after="0"/>
            </w:pPr>
            <w:r>
              <w:rPr>
                <w:sz w:val="13"/>
              </w:rPr>
              <w:t>Private Google API path/PSC where supported</w:t>
            </w:r>
          </w:p>
        </w:tc>
        <w:tc>
          <w:tcPr>
            <w:tcW w:type="dxa" w:w="2537"/>
            <w:shd w:fill="F7F8F9"/>
            <w:vAlign w:val="top"/>
          </w:tcPr>
          <w:p>
            <w:pPr>
              <w:spacing w:after="0"/>
            </w:pPr>
            <w:r>
              <w:rPr>
                <w:sz w:val="13"/>
              </w:rPr>
              <w:t>Dedicated SA, VPC SC, CMEK and egress policy</w:t>
            </w:r>
          </w:p>
        </w:tc>
      </w:tr>
      <w:tr>
        <w:tc>
          <w:tcPr>
            <w:tcW w:type="dxa" w:w="2537"/>
            <w:vAlign w:val="top"/>
          </w:tcPr>
          <w:p>
            <w:pPr>
              <w:spacing w:after="0"/>
            </w:pPr>
            <w:r>
              <w:rPr>
                <w:sz w:val="13"/>
              </w:rPr>
              <w:t>Analytics</w:t>
            </w:r>
          </w:p>
        </w:tc>
        <w:tc>
          <w:tcPr>
            <w:tcW w:type="dxa" w:w="2537"/>
            <w:vAlign w:val="top"/>
          </w:tcPr>
          <w:p>
            <w:pPr>
              <w:spacing w:after="0"/>
            </w:pPr>
            <w:r>
              <w:rPr>
                <w:sz w:val="13"/>
              </w:rPr>
              <w:t>Looker/authorized consumer -&gt; curated/semantic product</w:t>
            </w:r>
          </w:p>
        </w:tc>
        <w:tc>
          <w:tcPr>
            <w:tcW w:type="dxa" w:w="2537"/>
            <w:vAlign w:val="top"/>
          </w:tcPr>
          <w:p>
            <w:pPr>
              <w:spacing w:after="0"/>
            </w:pPr>
            <w:r>
              <w:rPr>
                <w:sz w:val="13"/>
              </w:rPr>
              <w:t>Approved Google API/application path</w:t>
            </w:r>
          </w:p>
        </w:tc>
        <w:tc>
          <w:tcPr>
            <w:tcW w:type="dxa" w:w="2537"/>
            <w:vAlign w:val="top"/>
          </w:tcPr>
          <w:p>
            <w:pPr>
              <w:spacing w:after="0"/>
            </w:pPr>
            <w:r>
              <w:rPr>
                <w:sz w:val="13"/>
              </w:rPr>
              <w:t>Group/attribute access, row/column policy and audit</w:t>
            </w:r>
          </w:p>
        </w:tc>
      </w:tr>
      <w:tr>
        <w:tc>
          <w:tcPr>
            <w:tcW w:type="dxa" w:w="2537"/>
            <w:shd w:fill="F7F8F9"/>
            <w:vAlign w:val="top"/>
          </w:tcPr>
          <w:p>
            <w:pPr>
              <w:spacing w:after="0"/>
            </w:pPr>
            <w:r>
              <w:rPr>
                <w:sz w:val="13"/>
              </w:rPr>
              <w:t>AI retrieval</w:t>
            </w:r>
          </w:p>
        </w:tc>
        <w:tc>
          <w:tcPr>
            <w:tcW w:type="dxa" w:w="2537"/>
            <w:shd w:fill="F7F8F9"/>
            <w:vAlign w:val="top"/>
          </w:tcPr>
          <w:p>
            <w:pPr>
              <w:spacing w:after="0"/>
            </w:pPr>
            <w:r>
              <w:rPr>
                <w:sz w:val="13"/>
              </w:rPr>
              <w:t>Agent/application -&gt; approved data product/corpus/index</w:t>
            </w:r>
          </w:p>
        </w:tc>
        <w:tc>
          <w:tcPr>
            <w:tcW w:type="dxa" w:w="2537"/>
            <w:shd w:fill="F7F8F9"/>
            <w:vAlign w:val="top"/>
          </w:tcPr>
          <w:p>
            <w:pPr>
              <w:spacing w:after="0"/>
            </w:pPr>
            <w:r>
              <w:rPr>
                <w:sz w:val="13"/>
              </w:rPr>
              <w:t>Private managed-service path where supported</w:t>
            </w:r>
          </w:p>
        </w:tc>
        <w:tc>
          <w:tcPr>
            <w:tcW w:type="dxa" w:w="2537"/>
            <w:shd w:fill="F7F8F9"/>
            <w:vAlign w:val="top"/>
          </w:tcPr>
          <w:p>
            <w:pPr>
              <w:spacing w:after="0"/>
            </w:pPr>
            <w:r>
              <w:rPr>
                <w:sz w:val="13"/>
              </w:rPr>
              <w:t>Caller identity, purpose/ACL filter, safety and citation controls</w:t>
            </w:r>
          </w:p>
        </w:tc>
      </w:tr>
      <w:tr>
        <w:tc>
          <w:tcPr>
            <w:tcW w:type="dxa" w:w="2537"/>
            <w:vAlign w:val="top"/>
          </w:tcPr>
          <w:p>
            <w:pPr>
              <w:spacing w:after="0"/>
            </w:pPr>
            <w:r>
              <w:rPr>
                <w:sz w:val="13"/>
              </w:rPr>
              <w:t>Operations</w:t>
            </w:r>
          </w:p>
        </w:tc>
        <w:tc>
          <w:tcPr>
            <w:tcW w:type="dxa" w:w="2537"/>
            <w:vAlign w:val="top"/>
          </w:tcPr>
          <w:p>
            <w:pPr>
              <w:spacing w:after="0"/>
            </w:pPr>
            <w:r>
              <w:rPr>
                <w:sz w:val="13"/>
              </w:rPr>
              <w:t>Runtime -&gt; logging/monitoring/SCC</w:t>
            </w:r>
          </w:p>
        </w:tc>
        <w:tc>
          <w:tcPr>
            <w:tcW w:type="dxa" w:w="2537"/>
            <w:vAlign w:val="top"/>
          </w:tcPr>
          <w:p>
            <w:pPr>
              <w:spacing w:after="0"/>
            </w:pPr>
            <w:r>
              <w:rPr>
                <w:sz w:val="13"/>
              </w:rPr>
              <w:t>Central regional control projects</w:t>
            </w:r>
          </w:p>
        </w:tc>
        <w:tc>
          <w:tcPr>
            <w:tcW w:type="dxa" w:w="2537"/>
            <w:vAlign w:val="top"/>
          </w:tcPr>
          <w:p>
            <w:pPr>
              <w:spacing w:after="0"/>
            </w:pPr>
            <w:r>
              <w:rPr>
                <w:sz w:val="13"/>
              </w:rPr>
              <w:t>Redaction, retention, immutable sinks and least privilege</w:t>
            </w:r>
          </w:p>
        </w:tc>
      </w:tr>
      <w:tr>
        <w:tc>
          <w:tcPr>
            <w:tcW w:type="dxa" w:w="2537"/>
            <w:shd w:fill="F7F8F9"/>
            <w:vAlign w:val="top"/>
          </w:tcPr>
          <w:p>
            <w:pPr>
              <w:spacing w:after="0"/>
            </w:pPr>
            <w:r>
              <w:rPr>
                <w:sz w:val="13"/>
              </w:rPr>
              <w:t>Cross-region</w:t>
            </w:r>
          </w:p>
        </w:tc>
        <w:tc>
          <w:tcPr>
            <w:tcW w:type="dxa" w:w="2537"/>
            <w:shd w:fill="F7F8F9"/>
            <w:vAlign w:val="top"/>
          </w:tcPr>
          <w:p>
            <w:pPr>
              <w:spacing w:after="0"/>
            </w:pPr>
            <w:r>
              <w:rPr>
                <w:sz w:val="13"/>
              </w:rPr>
              <w:t>Regional product -&gt; approved recovery/sharing destination</w:t>
            </w:r>
          </w:p>
        </w:tc>
        <w:tc>
          <w:tcPr>
            <w:tcW w:type="dxa" w:w="2537"/>
            <w:shd w:fill="F7F8F9"/>
            <w:vAlign w:val="top"/>
          </w:tcPr>
          <w:p>
            <w:pPr>
              <w:spacing w:after="0"/>
            </w:pPr>
            <w:r>
              <w:rPr>
                <w:sz w:val="13"/>
              </w:rPr>
              <w:t>Explicit replication/export path</w:t>
            </w:r>
          </w:p>
        </w:tc>
        <w:tc>
          <w:tcPr>
            <w:tcW w:type="dxa" w:w="2537"/>
            <w:shd w:fill="F7F8F9"/>
            <w:vAlign w:val="top"/>
          </w:tcPr>
          <w:p>
            <w:pPr>
              <w:spacing w:after="0"/>
            </w:pPr>
            <w:r>
              <w:rPr>
                <w:sz w:val="13"/>
              </w:rPr>
              <w:t>Residency approval, encryption, manifest and reconciliation</w:t>
            </w:r>
          </w:p>
        </w:tc>
      </w:tr>
    </w:tbl>
    <w:p>
      <w:pPr>
        <w:spacing w:after="0"/>
      </w:pPr>
    </w:p>
    <w:p>
      <w:r>
        <w:br w:type="page"/>
      </w:r>
    </w:p>
    <w:p>
      <w:pPr>
        <w:pStyle w:val="Heading2"/>
      </w:pPr>
      <w:r>
        <w:t>7.27 SLI, SLO and Support Catalog</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shd w:fill="174EA6"/>
          </w:tcPr>
          <w:p>
            <w:pPr>
              <w:spacing w:after="0"/>
            </w:pPr>
            <w:r>
              <w:rPr>
                <w:b/>
                <w:color w:val="FFFFFF"/>
                <w:sz w:val="13"/>
              </w:rPr>
              <w:t>SLO ID</w:t>
            </w:r>
          </w:p>
        </w:tc>
        <w:tc>
          <w:tcPr>
            <w:tcW w:type="dxa" w:w="2030"/>
            <w:shd w:fill="174EA6"/>
          </w:tcPr>
          <w:p>
            <w:pPr>
              <w:spacing w:after="0"/>
            </w:pPr>
            <w:r>
              <w:rPr>
                <w:b/>
                <w:color w:val="FFFFFF"/>
                <w:sz w:val="13"/>
              </w:rPr>
              <w:t>Critical service/journey</w:t>
            </w:r>
          </w:p>
        </w:tc>
        <w:tc>
          <w:tcPr>
            <w:tcW w:type="dxa" w:w="2030"/>
            <w:shd w:fill="174EA6"/>
          </w:tcPr>
          <w:p>
            <w:pPr>
              <w:spacing w:after="0"/>
            </w:pPr>
            <w:r>
              <w:rPr>
                <w:b/>
                <w:color w:val="FFFFFF"/>
                <w:sz w:val="13"/>
              </w:rPr>
              <w:t>Target</w:t>
            </w:r>
          </w:p>
        </w:tc>
        <w:tc>
          <w:tcPr>
            <w:tcW w:type="dxa" w:w="2030"/>
            <w:shd w:fill="174EA6"/>
          </w:tcPr>
          <w:p>
            <w:pPr>
              <w:spacing w:after="0"/>
            </w:pPr>
            <w:r>
              <w:rPr>
                <w:b/>
                <w:color w:val="FFFFFF"/>
                <w:sz w:val="13"/>
              </w:rPr>
              <w:t>Window</w:t>
            </w:r>
          </w:p>
        </w:tc>
        <w:tc>
          <w:tcPr>
            <w:tcW w:type="dxa" w:w="2030"/>
            <w:shd w:fill="174EA6"/>
          </w:tcPr>
          <w:p>
            <w:pPr>
              <w:spacing w:after="0"/>
            </w:pPr>
            <w:r>
              <w:rPr>
                <w:b/>
                <w:color w:val="FFFFFF"/>
                <w:sz w:val="13"/>
              </w:rPr>
              <w:t>Owner</w:t>
            </w:r>
          </w:p>
        </w:tc>
      </w:tr>
      <w:tr>
        <w:tc>
          <w:tcPr>
            <w:tcW w:type="dxa" w:w="2030"/>
            <w:vAlign w:val="top"/>
          </w:tcPr>
          <w:p>
            <w:pPr>
              <w:spacing w:after="0"/>
            </w:pPr>
            <w:r>
              <w:rPr>
                <w:sz w:val="13"/>
              </w:rPr>
              <w:t>telecom-SLO-01</w:t>
            </w:r>
          </w:p>
        </w:tc>
        <w:tc>
          <w:tcPr>
            <w:tcW w:type="dxa" w:w="2030"/>
            <w:vAlign w:val="top"/>
          </w:tcPr>
          <w:p>
            <w:pPr>
              <w:spacing w:after="0"/>
            </w:pPr>
            <w:r>
              <w:rPr>
                <w:sz w:val="13"/>
              </w:rPr>
              <w:t>Tier 0 streaming telemetry, alarm and service-impact products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telecom-SLO-02</w:t>
            </w:r>
          </w:p>
        </w:tc>
        <w:tc>
          <w:tcPr>
            <w:tcW w:type="dxa" w:w="2030"/>
            <w:shd w:fill="F7F8F9"/>
            <w:vAlign w:val="top"/>
          </w:tcPr>
          <w:p>
            <w:pPr>
              <w:spacing w:after="0"/>
            </w:pPr>
            <w:r>
              <w:rPr>
                <w:sz w:val="13"/>
              </w:rPr>
              <w:t>High-cardinality metric governance and sampling</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r>
        <w:tc>
          <w:tcPr>
            <w:tcW w:type="dxa" w:w="2030"/>
            <w:vAlign w:val="top"/>
          </w:tcPr>
          <w:p>
            <w:pPr>
              <w:spacing w:after="0"/>
            </w:pPr>
            <w:r>
              <w:rPr>
                <w:sz w:val="13"/>
              </w:rPr>
              <w:t>telecom-SLO-03</w:t>
            </w:r>
          </w:p>
        </w:tc>
        <w:tc>
          <w:tcPr>
            <w:tcW w:type="dxa" w:w="2030"/>
            <w:vAlign w:val="top"/>
          </w:tcPr>
          <w:p>
            <w:pPr>
              <w:spacing w:after="0"/>
            </w:pPr>
            <w:r>
              <w:rPr>
                <w:sz w:val="13"/>
              </w:rPr>
              <w:t>Service-impact SLOs linked to subscriber and network domains</w:t>
            </w:r>
          </w:p>
        </w:tc>
        <w:tc>
          <w:tcPr>
            <w:tcW w:type="dxa" w:w="2030"/>
            <w:vAlign w:val="top"/>
          </w:tcPr>
          <w:p>
            <w:pPr>
              <w:spacing w:after="0"/>
            </w:pPr>
            <w:r>
              <w:rPr>
                <w:sz w:val="13"/>
              </w:rPr>
              <w:t>99.9%-99.99% or workload freshness target</w:t>
            </w:r>
          </w:p>
        </w:tc>
        <w:tc>
          <w:tcPr>
            <w:tcW w:type="dxa" w:w="2030"/>
            <w:vAlign w:val="top"/>
          </w:tcPr>
          <w:p>
            <w:pPr>
              <w:spacing w:after="0"/>
            </w:pPr>
            <w:r>
              <w:rPr>
                <w:sz w:val="13"/>
              </w:rPr>
              <w:t>30-day rolling / per run</w:t>
            </w:r>
          </w:p>
        </w:tc>
        <w:tc>
          <w:tcPr>
            <w:tcW w:type="dxa" w:w="2030"/>
            <w:vAlign w:val="top"/>
          </w:tcPr>
          <w:p>
            <w:pPr>
              <w:spacing w:after="0"/>
            </w:pPr>
            <w:r>
              <w:rPr>
                <w:sz w:val="13"/>
              </w:rPr>
              <w:t>Industry product owner + SRE</w:t>
            </w:r>
          </w:p>
        </w:tc>
      </w:tr>
      <w:tr>
        <w:tc>
          <w:tcPr>
            <w:tcW w:type="dxa" w:w="2030"/>
            <w:shd w:fill="F7F8F9"/>
            <w:vAlign w:val="top"/>
          </w:tcPr>
          <w:p>
            <w:pPr>
              <w:spacing w:after="0"/>
            </w:pPr>
            <w:r>
              <w:rPr>
                <w:sz w:val="13"/>
              </w:rPr>
              <w:t>telecom-SLO-04</w:t>
            </w:r>
          </w:p>
        </w:tc>
        <w:tc>
          <w:tcPr>
            <w:tcW w:type="dxa" w:w="2030"/>
            <w:shd w:fill="F7F8F9"/>
            <w:vAlign w:val="top"/>
          </w:tcPr>
          <w:p>
            <w:pPr>
              <w:spacing w:after="0"/>
            </w:pPr>
            <w:r>
              <w:rPr>
                <w:sz w:val="13"/>
              </w:rPr>
              <w:t>Joint NOC/SRE incident model and dependency maps</w:t>
            </w:r>
          </w:p>
        </w:tc>
        <w:tc>
          <w:tcPr>
            <w:tcW w:type="dxa" w:w="2030"/>
            <w:shd w:fill="F7F8F9"/>
            <w:vAlign w:val="top"/>
          </w:tcPr>
          <w:p>
            <w:pPr>
              <w:spacing w:after="0"/>
            </w:pPr>
            <w:r>
              <w:rPr>
                <w:sz w:val="13"/>
              </w:rPr>
              <w:t>99.9%-99.99% or workload freshness target</w:t>
            </w:r>
          </w:p>
        </w:tc>
        <w:tc>
          <w:tcPr>
            <w:tcW w:type="dxa" w:w="2030"/>
            <w:shd w:fill="F7F8F9"/>
            <w:vAlign w:val="top"/>
          </w:tcPr>
          <w:p>
            <w:pPr>
              <w:spacing w:after="0"/>
            </w:pPr>
            <w:r>
              <w:rPr>
                <w:sz w:val="13"/>
              </w:rPr>
              <w:t>30-day rolling / per run</w:t>
            </w:r>
          </w:p>
        </w:tc>
        <w:tc>
          <w:tcPr>
            <w:tcW w:type="dxa" w:w="2030"/>
            <w:shd w:fill="F7F8F9"/>
            <w:vAlign w:val="top"/>
          </w:tcPr>
          <w:p>
            <w:pPr>
              <w:spacing w:after="0"/>
            </w:pPr>
            <w:r>
              <w:rPr>
                <w:sz w:val="13"/>
              </w:rPr>
              <w:t>Industry product owner + SRE</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Alert severity</w:t>
            </w:r>
          </w:p>
        </w:tc>
        <w:tc>
          <w:tcPr>
            <w:tcW w:type="dxa" w:w="3383"/>
            <w:shd w:fill="174EA6"/>
          </w:tcPr>
          <w:p>
            <w:pPr>
              <w:spacing w:after="0"/>
            </w:pPr>
            <w:r>
              <w:rPr>
                <w:b/>
                <w:color w:val="FFFFFF"/>
                <w:sz w:val="14"/>
              </w:rPr>
              <w:t>Trigger</w:t>
            </w:r>
          </w:p>
        </w:tc>
        <w:tc>
          <w:tcPr>
            <w:tcW w:type="dxa" w:w="3383"/>
            <w:shd w:fill="174EA6"/>
          </w:tcPr>
          <w:p>
            <w:pPr>
              <w:spacing w:after="0"/>
            </w:pPr>
            <w:r>
              <w:rPr>
                <w:b/>
                <w:color w:val="FFFFFF"/>
                <w:sz w:val="14"/>
              </w:rPr>
              <w:t>Response</w:t>
            </w:r>
          </w:p>
        </w:tc>
      </w:tr>
      <w:tr>
        <w:tc>
          <w:tcPr>
            <w:tcW w:type="dxa" w:w="3383"/>
            <w:vAlign w:val="top"/>
          </w:tcPr>
          <w:p>
            <w:pPr>
              <w:spacing w:after="0"/>
            </w:pPr>
            <w:r>
              <w:rPr>
                <w:sz w:val="14"/>
              </w:rPr>
              <w:t>SEV-1</w:t>
            </w:r>
          </w:p>
        </w:tc>
        <w:tc>
          <w:tcPr>
            <w:tcW w:type="dxa" w:w="3383"/>
            <w:vAlign w:val="top"/>
          </w:tcPr>
          <w:p>
            <w:pPr>
              <w:spacing w:after="0"/>
            </w:pPr>
            <w:r>
              <w:rPr>
                <w:sz w:val="14"/>
              </w:rPr>
              <w:t>Tier 0 outage, data loss/exposure, unsafe high-impact action or critical regulated error</w:t>
            </w:r>
          </w:p>
        </w:tc>
        <w:tc>
          <w:tcPr>
            <w:tcW w:type="dxa" w:w="3383"/>
            <w:vAlign w:val="top"/>
          </w:tcPr>
          <w:p>
            <w:pPr>
              <w:spacing w:after="0"/>
            </w:pPr>
            <w:r>
              <w:rPr>
                <w:sz w:val="14"/>
              </w:rPr>
              <w:t>Immediate incident command, business/security/control owners and vendor escalation</w:t>
            </w:r>
          </w:p>
        </w:tc>
      </w:tr>
      <w:tr>
        <w:tc>
          <w:tcPr>
            <w:tcW w:type="dxa" w:w="3383"/>
            <w:shd w:fill="F7F8F9"/>
            <w:vAlign w:val="top"/>
          </w:tcPr>
          <w:p>
            <w:pPr>
              <w:spacing w:after="0"/>
            </w:pPr>
            <w:r>
              <w:rPr>
                <w:sz w:val="14"/>
              </w:rPr>
              <w:t>SEV-2</w:t>
            </w:r>
          </w:p>
        </w:tc>
        <w:tc>
          <w:tcPr>
            <w:tcW w:type="dxa" w:w="3383"/>
            <w:shd w:fill="F7F8F9"/>
            <w:vAlign w:val="top"/>
          </w:tcPr>
          <w:p>
            <w:pPr>
              <w:spacing w:after="0"/>
            </w:pPr>
            <w:r>
              <w:rPr>
                <w:sz w:val="14"/>
              </w:rPr>
              <w:t>Tier 1 SLO breach, rapidly growing backlog or material quality failure</w:t>
            </w:r>
          </w:p>
        </w:tc>
        <w:tc>
          <w:tcPr>
            <w:tcW w:type="dxa" w:w="3383"/>
            <w:shd w:fill="F7F8F9"/>
            <w:vAlign w:val="top"/>
          </w:tcPr>
          <w:p>
            <w:pPr>
              <w:spacing w:after="0"/>
            </w:pPr>
            <w:r>
              <w:rPr>
                <w:sz w:val="14"/>
              </w:rPr>
              <w:t>Page product and platform on-call; protect capacity and users</w:t>
            </w:r>
          </w:p>
        </w:tc>
      </w:tr>
      <w:tr>
        <w:tc>
          <w:tcPr>
            <w:tcW w:type="dxa" w:w="3383"/>
            <w:vAlign w:val="top"/>
          </w:tcPr>
          <w:p>
            <w:pPr>
              <w:spacing w:after="0"/>
            </w:pPr>
            <w:r>
              <w:rPr>
                <w:sz w:val="14"/>
              </w:rPr>
              <w:t>SEV-3</w:t>
            </w:r>
          </w:p>
        </w:tc>
        <w:tc>
          <w:tcPr>
            <w:tcW w:type="dxa" w:w="3383"/>
            <w:vAlign w:val="top"/>
          </w:tcPr>
          <w:p>
            <w:pPr>
              <w:spacing w:after="0"/>
            </w:pPr>
            <w:r>
              <w:rPr>
                <w:sz w:val="14"/>
              </w:rPr>
              <w:t>Degradation with workaround, aging DLQ or forecast risk</w:t>
            </w:r>
          </w:p>
        </w:tc>
        <w:tc>
          <w:tcPr>
            <w:tcW w:type="dxa" w:w="3383"/>
            <w:vAlign w:val="top"/>
          </w:tcPr>
          <w:p>
            <w:pPr>
              <w:spacing w:after="0"/>
            </w:pPr>
            <w:r>
              <w:rPr>
                <w:sz w:val="14"/>
              </w:rPr>
              <w:t>Ticket and bounded remediation</w:t>
            </w:r>
          </w:p>
        </w:tc>
      </w:tr>
      <w:tr>
        <w:tc>
          <w:tcPr>
            <w:tcW w:type="dxa" w:w="3383"/>
            <w:shd w:fill="F7F8F9"/>
            <w:vAlign w:val="top"/>
          </w:tcPr>
          <w:p>
            <w:pPr>
              <w:spacing w:after="0"/>
            </w:pPr>
            <w:r>
              <w:rPr>
                <w:sz w:val="14"/>
              </w:rPr>
              <w:t>SEV-4</w:t>
            </w:r>
          </w:p>
        </w:tc>
        <w:tc>
          <w:tcPr>
            <w:tcW w:type="dxa" w:w="3383"/>
            <w:shd w:fill="F7F8F9"/>
            <w:vAlign w:val="top"/>
          </w:tcPr>
          <w:p>
            <w:pPr>
              <w:spacing w:after="0"/>
            </w:pPr>
            <w:r>
              <w:rPr>
                <w:sz w:val="14"/>
              </w:rPr>
              <w:t>Optimization, lifecycle or documentation gap</w:t>
            </w:r>
          </w:p>
        </w:tc>
        <w:tc>
          <w:tcPr>
            <w:tcW w:type="dxa" w:w="3383"/>
            <w:shd w:fill="F7F8F9"/>
            <w:vAlign w:val="top"/>
          </w:tcPr>
          <w:p>
            <w:pPr>
              <w:spacing w:after="0"/>
            </w:pPr>
            <w:r>
              <w:rPr>
                <w:sz w:val="14"/>
              </w:rPr>
              <w:t>Backlog and service review</w:t>
            </w:r>
          </w:p>
        </w:tc>
      </w:tr>
    </w:tbl>
    <w:p>
      <w:pPr>
        <w:spacing w:after="0"/>
      </w:pPr>
    </w:p>
    <w:p>
      <w:r>
        <w:br w:type="page"/>
      </w:r>
    </w:p>
    <w:p>
      <w:pPr>
        <w:pStyle w:val="Heading2"/>
      </w:pPr>
      <w:r>
        <w:t>7.28 Disaster-Recovery Pattern</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Recovery requirement</w:t>
            </w:r>
          </w:p>
        </w:tc>
        <w:tc>
          <w:tcPr>
            <w:tcW w:type="dxa" w:w="2537"/>
            <w:shd w:fill="174EA6"/>
          </w:tcPr>
          <w:p>
            <w:pPr>
              <w:spacing w:after="0"/>
            </w:pPr>
            <w:r>
              <w:rPr>
                <w:b/>
                <w:color w:val="FFFFFF"/>
                <w:sz w:val="13"/>
              </w:rPr>
              <w:t>Primary</w:t>
            </w:r>
          </w:p>
        </w:tc>
        <w:tc>
          <w:tcPr>
            <w:tcW w:type="dxa" w:w="2537"/>
            <w:shd w:fill="174EA6"/>
          </w:tcPr>
          <w:p>
            <w:pPr>
              <w:spacing w:after="0"/>
            </w:pPr>
            <w:r>
              <w:rPr>
                <w:b/>
                <w:color w:val="FFFFFF"/>
                <w:sz w:val="13"/>
              </w:rPr>
              <w:t>Recovery pattern</w:t>
            </w:r>
          </w:p>
        </w:tc>
        <w:tc>
          <w:tcPr>
            <w:tcW w:type="dxa" w:w="2537"/>
            <w:shd w:fill="174EA6"/>
          </w:tcPr>
          <w:p>
            <w:pPr>
              <w:spacing w:after="0"/>
            </w:pPr>
            <w:r>
              <w:rPr>
                <w:b/>
                <w:color w:val="FFFFFF"/>
                <w:sz w:val="13"/>
              </w:rPr>
              <w:t>Evidence</w:t>
            </w:r>
          </w:p>
        </w:tc>
      </w:tr>
      <w:tr>
        <w:tc>
          <w:tcPr>
            <w:tcW w:type="dxa" w:w="2537"/>
            <w:vAlign w:val="top"/>
          </w:tcPr>
          <w:p>
            <w:pPr>
              <w:spacing w:after="0"/>
            </w:pPr>
            <w:r>
              <w:rPr>
                <w:sz w:val="13"/>
              </w:rPr>
              <w:t>Multi-region recovery for subscriber/service and assurance products</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Durable CDR/telemetry replay and sequence handling</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r>
        <w:tc>
          <w:tcPr>
            <w:tcW w:type="dxa" w:w="2537"/>
            <w:vAlign w:val="top"/>
          </w:tcPr>
          <w:p>
            <w:pPr>
              <w:spacing w:after="0"/>
            </w:pPr>
            <w:r>
              <w:rPr>
                <w:sz w:val="13"/>
              </w:rPr>
              <w:t>NOC continuity during cloud or connectivity failures</w:t>
            </w:r>
          </w:p>
        </w:tc>
        <w:tc>
          <w:tcPr>
            <w:tcW w:type="dxa" w:w="2537"/>
            <w:vAlign w:val="top"/>
          </w:tcPr>
          <w:p>
            <w:pPr>
              <w:spacing w:after="0"/>
            </w:pPr>
            <w:r>
              <w:rPr>
                <w:sz w:val="13"/>
              </w:rPr>
              <w:t>Primary regional service/product</w:t>
            </w:r>
          </w:p>
        </w:tc>
        <w:tc>
          <w:tcPr>
            <w:tcW w:type="dxa" w:w="2537"/>
            <w:vAlign w:val="top"/>
          </w:tcPr>
          <w:p>
            <w:pPr>
              <w:spacing w:after="0"/>
            </w:pPr>
            <w:r>
              <w:rPr>
                <w:sz w:val="13"/>
              </w:rPr>
              <w:t>Approved alternate/rebuild/replay path</w:t>
            </w:r>
          </w:p>
        </w:tc>
        <w:tc>
          <w:tcPr>
            <w:tcW w:type="dxa" w:w="2537"/>
            <w:vAlign w:val="top"/>
          </w:tcPr>
          <w:p>
            <w:pPr>
              <w:spacing w:after="0"/>
            </w:pPr>
            <w:r>
              <w:rPr>
                <w:sz w:val="13"/>
              </w:rPr>
              <w:t>Exercise and reconciliation evidence</w:t>
            </w:r>
          </w:p>
        </w:tc>
      </w:tr>
      <w:tr>
        <w:tc>
          <w:tcPr>
            <w:tcW w:type="dxa" w:w="2537"/>
            <w:shd w:fill="F7F8F9"/>
            <w:vAlign w:val="top"/>
          </w:tcPr>
          <w:p>
            <w:pPr>
              <w:spacing w:after="0"/>
            </w:pPr>
            <w:r>
              <w:rPr>
                <w:sz w:val="13"/>
              </w:rPr>
              <w:t>NIS2 and critical-service cyber-recovery exercises</w:t>
            </w:r>
          </w:p>
        </w:tc>
        <w:tc>
          <w:tcPr>
            <w:tcW w:type="dxa" w:w="2537"/>
            <w:shd w:fill="F7F8F9"/>
            <w:vAlign w:val="top"/>
          </w:tcPr>
          <w:p>
            <w:pPr>
              <w:spacing w:after="0"/>
            </w:pPr>
            <w:r>
              <w:rPr>
                <w:sz w:val="13"/>
              </w:rPr>
              <w:t>Primary regional service/product</w:t>
            </w:r>
          </w:p>
        </w:tc>
        <w:tc>
          <w:tcPr>
            <w:tcW w:type="dxa" w:w="2537"/>
            <w:shd w:fill="F7F8F9"/>
            <w:vAlign w:val="top"/>
          </w:tcPr>
          <w:p>
            <w:pPr>
              <w:spacing w:after="0"/>
            </w:pPr>
            <w:r>
              <w:rPr>
                <w:sz w:val="13"/>
              </w:rPr>
              <w:t>Approved alternate/rebuild/replay path</w:t>
            </w:r>
          </w:p>
        </w:tc>
        <w:tc>
          <w:tcPr>
            <w:tcW w:type="dxa" w:w="2537"/>
            <w:shd w:fill="F7F8F9"/>
            <w:vAlign w:val="top"/>
          </w:tcPr>
          <w:p>
            <w:pPr>
              <w:spacing w:after="0"/>
            </w:pPr>
            <w:r>
              <w:rPr>
                <w:sz w:val="13"/>
              </w:rPr>
              <w:t>Exercise and reconciliation evidence</w:t>
            </w:r>
          </w:p>
        </w:tc>
      </w:tr>
    </w:tbl>
    <w:p>
      <w:pPr>
        <w:spacing w:after="0"/>
      </w:pP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Component</w:t>
            </w:r>
          </w:p>
        </w:tc>
        <w:tc>
          <w:tcPr>
            <w:tcW w:type="dxa" w:w="5074"/>
            <w:shd w:fill="174EA6"/>
          </w:tcPr>
          <w:p>
            <w:pPr>
              <w:spacing w:after="0"/>
            </w:pPr>
            <w:r>
              <w:rPr>
                <w:b/>
                <w:color w:val="FFFFFF"/>
                <w:sz w:val="14"/>
              </w:rPr>
              <w:t>Recoverable artifacts</w:t>
            </w:r>
          </w:p>
        </w:tc>
      </w:tr>
      <w:tr>
        <w:tc>
          <w:tcPr>
            <w:tcW w:type="dxa" w:w="5074"/>
            <w:vAlign w:val="top"/>
          </w:tcPr>
          <w:p>
            <w:pPr>
              <w:spacing w:after="0"/>
            </w:pPr>
            <w:r>
              <w:rPr>
                <w:sz w:val="14"/>
              </w:rPr>
              <w:t>Data</w:t>
            </w:r>
          </w:p>
        </w:tc>
        <w:tc>
          <w:tcPr>
            <w:tcW w:type="dxa" w:w="5074"/>
            <w:vAlign w:val="top"/>
          </w:tcPr>
          <w:p>
            <w:pPr>
              <w:spacing w:after="0"/>
            </w:pPr>
            <w:r>
              <w:rPr>
                <w:sz w:val="14"/>
              </w:rPr>
              <w:t>Immutable source, table snapshots/replicas/exports, product manifest and quality evidence</w:t>
            </w:r>
          </w:p>
        </w:tc>
      </w:tr>
      <w:tr>
        <w:tc>
          <w:tcPr>
            <w:tcW w:type="dxa" w:w="5074"/>
            <w:shd w:fill="F7F8F9"/>
            <w:vAlign w:val="top"/>
          </w:tcPr>
          <w:p>
            <w:pPr>
              <w:spacing w:after="0"/>
            </w:pPr>
            <w:r>
              <w:rPr>
                <w:sz w:val="14"/>
              </w:rPr>
              <w:t>Pipelines</w:t>
            </w:r>
          </w:p>
        </w:tc>
        <w:tc>
          <w:tcPr>
            <w:tcW w:type="dxa" w:w="5074"/>
            <w:shd w:fill="F7F8F9"/>
            <w:vAlign w:val="top"/>
          </w:tcPr>
          <w:p>
            <w:pPr>
              <w:spacing w:after="0"/>
            </w:pPr>
            <w:r>
              <w:rPr>
                <w:sz w:val="14"/>
              </w:rPr>
              <w:t>Source code, compiled template/image digest, parameters, checkpoint/offset and runbook</w:t>
            </w:r>
          </w:p>
        </w:tc>
      </w:tr>
      <w:tr>
        <w:tc>
          <w:tcPr>
            <w:tcW w:type="dxa" w:w="5074"/>
            <w:vAlign w:val="top"/>
          </w:tcPr>
          <w:p>
            <w:pPr>
              <w:spacing w:after="0"/>
            </w:pPr>
            <w:r>
              <w:rPr>
                <w:sz w:val="14"/>
              </w:rPr>
              <w:t>Analytics</w:t>
            </w:r>
          </w:p>
        </w:tc>
        <w:tc>
          <w:tcPr>
            <w:tcW w:type="dxa" w:w="5074"/>
            <w:vAlign w:val="top"/>
          </w:tcPr>
          <w:p>
            <w:pPr>
              <w:spacing w:after="0"/>
            </w:pPr>
            <w:r>
              <w:rPr>
                <w:sz w:val="14"/>
              </w:rPr>
              <w:t>Semantic model, KPI definitions, dashboards and reservation assignments</w:t>
            </w:r>
          </w:p>
        </w:tc>
      </w:tr>
      <w:tr>
        <w:tc>
          <w:tcPr>
            <w:tcW w:type="dxa" w:w="5074"/>
            <w:shd w:fill="F7F8F9"/>
            <w:vAlign w:val="top"/>
          </w:tcPr>
          <w:p>
            <w:pPr>
              <w:spacing w:after="0"/>
            </w:pPr>
            <w:r>
              <w:rPr>
                <w:sz w:val="14"/>
              </w:rPr>
              <w:t>AI</w:t>
            </w:r>
          </w:p>
        </w:tc>
        <w:tc>
          <w:tcPr>
            <w:tcW w:type="dxa" w:w="5074"/>
            <w:shd w:fill="F7F8F9"/>
            <w:vAlign w:val="top"/>
          </w:tcPr>
          <w:p>
            <w:pPr>
              <w:spacing w:after="0"/>
            </w:pPr>
            <w:r>
              <w:rPr>
                <w:sz w:val="14"/>
              </w:rPr>
              <w:t>Model/prompt/evaluation/index/tool/policy bundle, approvals and prior champion</w:t>
            </w:r>
          </w:p>
        </w:tc>
      </w:tr>
      <w:tr>
        <w:tc>
          <w:tcPr>
            <w:tcW w:type="dxa" w:w="5074"/>
            <w:vAlign w:val="top"/>
          </w:tcPr>
          <w:p>
            <w:pPr>
              <w:spacing w:after="0"/>
            </w:pPr>
            <w:r>
              <w:rPr>
                <w:sz w:val="14"/>
              </w:rPr>
              <w:t>Security/operations</w:t>
            </w:r>
          </w:p>
        </w:tc>
        <w:tc>
          <w:tcPr>
            <w:tcW w:type="dxa" w:w="5074"/>
            <w:vAlign w:val="top"/>
          </w:tcPr>
          <w:p>
            <w:pPr>
              <w:spacing w:after="0"/>
            </w:pPr>
            <w:r>
              <w:rPr>
                <w:sz w:val="14"/>
              </w:rPr>
              <w:t>IAM/perimeter/KMS references, alert/runbook, incident and evidence-retention configuration</w:t>
            </w:r>
          </w:p>
        </w:tc>
      </w:tr>
    </w:tbl>
    <w:p>
      <w:pPr>
        <w:spacing w:after="0"/>
      </w:pPr>
    </w:p>
    <w:p>
      <w:r>
        <w:br w:type="page"/>
      </w:r>
    </w:p>
    <w:p>
      <w:pPr>
        <w:pStyle w:val="Heading2"/>
      </w:pPr>
      <w:r>
        <w:t>7.29 FinOps Unit-Economics Model</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Unit-economics focus</w:t>
            </w:r>
          </w:p>
        </w:tc>
        <w:tc>
          <w:tcPr>
            <w:tcW w:type="dxa" w:w="2537"/>
            <w:shd w:fill="174EA6"/>
          </w:tcPr>
          <w:p>
            <w:pPr>
              <w:spacing w:after="0"/>
            </w:pPr>
            <w:r>
              <w:rPr>
                <w:b/>
                <w:color w:val="FFFFFF"/>
                <w:sz w:val="13"/>
              </w:rPr>
              <w:t>Variable model</w:t>
            </w:r>
          </w:p>
        </w:tc>
        <w:tc>
          <w:tcPr>
            <w:tcW w:type="dxa" w:w="2537"/>
            <w:shd w:fill="174EA6"/>
          </w:tcPr>
          <w:p>
            <w:pPr>
              <w:spacing w:after="0"/>
            </w:pPr>
            <w:r>
              <w:rPr>
                <w:b/>
                <w:color w:val="FFFFFF"/>
                <w:sz w:val="13"/>
              </w:rPr>
              <w:t>Owner</w:t>
            </w:r>
          </w:p>
        </w:tc>
        <w:tc>
          <w:tcPr>
            <w:tcW w:type="dxa" w:w="2537"/>
            <w:shd w:fill="174EA6"/>
          </w:tcPr>
          <w:p>
            <w:pPr>
              <w:spacing w:after="0"/>
            </w:pPr>
            <w:r>
              <w:rPr>
                <w:b/>
                <w:color w:val="FFFFFF"/>
                <w:sz w:val="13"/>
              </w:rPr>
              <w:t>Review</w:t>
            </w:r>
          </w:p>
        </w:tc>
      </w:tr>
      <w:tr>
        <w:tc>
          <w:tcPr>
            <w:tcW w:type="dxa" w:w="2537"/>
            <w:vAlign w:val="top"/>
          </w:tcPr>
          <w:p>
            <w:pPr>
              <w:spacing w:after="0"/>
            </w:pPr>
            <w:r>
              <w:rPr>
                <w:sz w:val="13"/>
              </w:rPr>
              <w:t>Cost per CDR, network metric, subscriber and service-impact event</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Hot/warm/cold telemetry retention by operational value</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r>
        <w:tc>
          <w:tcPr>
            <w:tcW w:type="dxa" w:w="2537"/>
            <w:vAlign w:val="top"/>
          </w:tcPr>
          <w:p>
            <w:pPr>
              <w:spacing w:after="0"/>
            </w:pPr>
            <w:r>
              <w:rPr>
                <w:sz w:val="13"/>
              </w:rPr>
              <w:t>Bigtable/BigQuery workload split by latency and economics</w:t>
            </w:r>
          </w:p>
        </w:tc>
        <w:tc>
          <w:tcPr>
            <w:tcW w:type="dxa" w:w="2537"/>
            <w:vAlign w:val="top"/>
          </w:tcPr>
          <w:p>
            <w:pPr>
              <w:spacing w:after="0"/>
            </w:pPr>
            <w:r>
              <w:rPr>
                <w:sz w:val="13"/>
              </w:rPr>
              <w:t>Measured workload units x current calculator/contract rates</w:t>
            </w:r>
          </w:p>
        </w:tc>
        <w:tc>
          <w:tcPr>
            <w:tcW w:type="dxa" w:w="2537"/>
            <w:vAlign w:val="top"/>
          </w:tcPr>
          <w:p>
            <w:pPr>
              <w:spacing w:after="0"/>
            </w:pPr>
            <w:r>
              <w:rPr>
                <w:sz w:val="13"/>
              </w:rPr>
              <w:t>Product owner + FinOps</w:t>
            </w:r>
          </w:p>
        </w:tc>
        <w:tc>
          <w:tcPr>
            <w:tcW w:type="dxa" w:w="2537"/>
            <w:vAlign w:val="top"/>
          </w:tcPr>
          <w:p>
            <w:pPr>
              <w:spacing w:after="0"/>
            </w:pPr>
            <w:r>
              <w:rPr>
                <w:sz w:val="13"/>
              </w:rPr>
              <w:t>Monthly</w:t>
            </w:r>
          </w:p>
        </w:tc>
      </w:tr>
      <w:tr>
        <w:tc>
          <w:tcPr>
            <w:tcW w:type="dxa" w:w="2537"/>
            <w:shd w:fill="F7F8F9"/>
            <w:vAlign w:val="top"/>
          </w:tcPr>
          <w:p>
            <w:pPr>
              <w:spacing w:after="0"/>
            </w:pPr>
            <w:r>
              <w:rPr>
                <w:sz w:val="13"/>
              </w:rPr>
              <w:t>Control high-cardinality logging/metrics and AI operations costs</w:t>
            </w:r>
          </w:p>
        </w:tc>
        <w:tc>
          <w:tcPr>
            <w:tcW w:type="dxa" w:w="2537"/>
            <w:shd w:fill="F7F8F9"/>
            <w:vAlign w:val="top"/>
          </w:tcPr>
          <w:p>
            <w:pPr>
              <w:spacing w:after="0"/>
            </w:pPr>
            <w:r>
              <w:rPr>
                <w:sz w:val="13"/>
              </w:rPr>
              <w:t>Measured workload units x current calculator/contract rates</w:t>
            </w:r>
          </w:p>
        </w:tc>
        <w:tc>
          <w:tcPr>
            <w:tcW w:type="dxa" w:w="2537"/>
            <w:shd w:fill="F7F8F9"/>
            <w:vAlign w:val="top"/>
          </w:tcPr>
          <w:p>
            <w:pPr>
              <w:spacing w:after="0"/>
            </w:pPr>
            <w:r>
              <w:rPr>
                <w:sz w:val="13"/>
              </w:rPr>
              <w:t>Product owner + FinOps</w:t>
            </w:r>
          </w:p>
        </w:tc>
        <w:tc>
          <w:tcPr>
            <w:tcW w:type="dxa" w:w="2537"/>
            <w:shd w:fill="F7F8F9"/>
            <w:vAlign w:val="top"/>
          </w:tcPr>
          <w:p>
            <w:pPr>
              <w:spacing w:after="0"/>
            </w:pPr>
            <w:r>
              <w:rPr>
                <w:sz w:val="13"/>
              </w:rPr>
              <w:t>Monthly</w:t>
            </w:r>
          </w:p>
        </w:tc>
      </w:tr>
    </w:tbl>
    <w:p>
      <w:pPr>
        <w:spacing w:after="0"/>
      </w:pP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3"/>
              </w:rPr>
              <w:t>Cost domain</w:t>
            </w:r>
          </w:p>
        </w:tc>
        <w:tc>
          <w:tcPr>
            <w:tcW w:type="dxa" w:w="3383"/>
            <w:shd w:fill="174EA6"/>
          </w:tcPr>
          <w:p>
            <w:pPr>
              <w:spacing w:after="0"/>
            </w:pPr>
            <w:r>
              <w:rPr>
                <w:b/>
                <w:color w:val="FFFFFF"/>
                <w:sz w:val="13"/>
              </w:rPr>
              <w:t>Measured variables</w:t>
            </w:r>
          </w:p>
        </w:tc>
        <w:tc>
          <w:tcPr>
            <w:tcW w:type="dxa" w:w="3383"/>
            <w:shd w:fill="174EA6"/>
          </w:tcPr>
          <w:p>
            <w:pPr>
              <w:spacing w:after="0"/>
            </w:pPr>
            <w:r>
              <w:rPr>
                <w:b/>
                <w:color w:val="FFFFFF"/>
                <w:sz w:val="13"/>
              </w:rPr>
              <w:t>Optimization guardrail</w:t>
            </w:r>
          </w:p>
        </w:tc>
      </w:tr>
      <w:tr>
        <w:tc>
          <w:tcPr>
            <w:tcW w:type="dxa" w:w="3383"/>
            <w:vAlign w:val="top"/>
          </w:tcPr>
          <w:p>
            <w:pPr>
              <w:spacing w:after="0"/>
            </w:pPr>
            <w:r>
              <w:rPr>
                <w:sz w:val="13"/>
              </w:rPr>
              <w:t>Ingestion/processing</w:t>
            </w:r>
          </w:p>
        </w:tc>
        <w:tc>
          <w:tcPr>
            <w:tcW w:type="dxa" w:w="3383"/>
            <w:vAlign w:val="top"/>
          </w:tcPr>
          <w:p>
            <w:pPr>
              <w:spacing w:after="0"/>
            </w:pPr>
            <w:r>
              <w:rPr>
                <w:sz w:val="13"/>
              </w:rPr>
              <w:t>events, bytes, worker/compute duration, shuffle, connector usage</w:t>
            </w:r>
          </w:p>
        </w:tc>
        <w:tc>
          <w:tcPr>
            <w:tcW w:type="dxa" w:w="3383"/>
            <w:vAlign w:val="top"/>
          </w:tcPr>
          <w:p>
            <w:pPr>
              <w:spacing w:after="0"/>
            </w:pPr>
            <w:r>
              <w:rPr>
                <w:sz w:val="13"/>
              </w:rPr>
              <w:t>Freshness, correctness and recovery cannot be weakened</w:t>
            </w:r>
          </w:p>
        </w:tc>
      </w:tr>
      <w:tr>
        <w:tc>
          <w:tcPr>
            <w:tcW w:type="dxa" w:w="3383"/>
            <w:shd w:fill="F7F8F9"/>
            <w:vAlign w:val="top"/>
          </w:tcPr>
          <w:p>
            <w:pPr>
              <w:spacing w:after="0"/>
            </w:pPr>
            <w:r>
              <w:rPr>
                <w:sz w:val="13"/>
              </w:rPr>
              <w:t>Warehouse/storage</w:t>
            </w:r>
          </w:p>
        </w:tc>
        <w:tc>
          <w:tcPr>
            <w:tcW w:type="dxa" w:w="3383"/>
            <w:shd w:fill="F7F8F9"/>
            <w:vAlign w:val="top"/>
          </w:tcPr>
          <w:p>
            <w:pPr>
              <w:spacing w:after="0"/>
            </w:pPr>
            <w:r>
              <w:rPr>
                <w:sz w:val="13"/>
              </w:rPr>
              <w:t>bytes/slots, table/index/storage class, retention and replication</w:t>
            </w:r>
          </w:p>
        </w:tc>
        <w:tc>
          <w:tcPr>
            <w:tcW w:type="dxa" w:w="3383"/>
            <w:shd w:fill="F7F8F9"/>
            <w:vAlign w:val="top"/>
          </w:tcPr>
          <w:p>
            <w:pPr>
              <w:spacing w:after="0"/>
            </w:pPr>
            <w:r>
              <w:rPr>
                <w:sz w:val="13"/>
              </w:rPr>
              <w:t>Regulatory retention and query performance maintained</w:t>
            </w:r>
          </w:p>
        </w:tc>
      </w:tr>
      <w:tr>
        <w:tc>
          <w:tcPr>
            <w:tcW w:type="dxa" w:w="3383"/>
            <w:vAlign w:val="top"/>
          </w:tcPr>
          <w:p>
            <w:pPr>
              <w:spacing w:after="0"/>
            </w:pPr>
            <w:r>
              <w:rPr>
                <w:sz w:val="13"/>
              </w:rPr>
              <w:t>Analytics</w:t>
            </w:r>
          </w:p>
        </w:tc>
        <w:tc>
          <w:tcPr>
            <w:tcW w:type="dxa" w:w="3383"/>
            <w:vAlign w:val="top"/>
          </w:tcPr>
          <w:p>
            <w:pPr>
              <w:spacing w:after="0"/>
            </w:pPr>
            <w:r>
              <w:rPr>
                <w:sz w:val="13"/>
              </w:rPr>
              <w:t>queries, BI Engine/cache, concurrency and extracts</w:t>
            </w:r>
          </w:p>
        </w:tc>
        <w:tc>
          <w:tcPr>
            <w:tcW w:type="dxa" w:w="3383"/>
            <w:vAlign w:val="top"/>
          </w:tcPr>
          <w:p>
            <w:pPr>
              <w:spacing w:after="0"/>
            </w:pPr>
            <w:r>
              <w:rPr>
                <w:sz w:val="13"/>
              </w:rPr>
              <w:t>Certified KPI correctness and access controls preserved</w:t>
            </w:r>
          </w:p>
        </w:tc>
      </w:tr>
      <w:tr>
        <w:tc>
          <w:tcPr>
            <w:tcW w:type="dxa" w:w="3383"/>
            <w:shd w:fill="F7F8F9"/>
            <w:vAlign w:val="top"/>
          </w:tcPr>
          <w:p>
            <w:pPr>
              <w:spacing w:after="0"/>
            </w:pPr>
            <w:r>
              <w:rPr>
                <w:sz w:val="13"/>
              </w:rPr>
              <w:t>AI</w:t>
            </w:r>
          </w:p>
        </w:tc>
        <w:tc>
          <w:tcPr>
            <w:tcW w:type="dxa" w:w="3383"/>
            <w:shd w:fill="F7F8F9"/>
            <w:vAlign w:val="top"/>
          </w:tcPr>
          <w:p>
            <w:pPr>
              <w:spacing w:after="0"/>
            </w:pPr>
            <w:r>
              <w:rPr>
                <w:sz w:val="13"/>
              </w:rPr>
              <w:t>input/output/cached tokens, model calls, vector operations, tool calls and evaluation</w:t>
            </w:r>
          </w:p>
        </w:tc>
        <w:tc>
          <w:tcPr>
            <w:tcW w:type="dxa" w:w="3383"/>
            <w:shd w:fill="F7F8F9"/>
            <w:vAlign w:val="top"/>
          </w:tcPr>
          <w:p>
            <w:pPr>
              <w:spacing w:after="0"/>
            </w:pPr>
            <w:r>
              <w:rPr>
                <w:sz w:val="13"/>
              </w:rPr>
              <w:t>Quality, safety, privacy and human control thresholds maintained</w:t>
            </w:r>
          </w:p>
        </w:tc>
      </w:tr>
      <w:tr>
        <w:tc>
          <w:tcPr>
            <w:tcW w:type="dxa" w:w="3383"/>
            <w:vAlign w:val="top"/>
          </w:tcPr>
          <w:p>
            <w:pPr>
              <w:spacing w:after="0"/>
            </w:pPr>
            <w:r>
              <w:rPr>
                <w:sz w:val="13"/>
              </w:rPr>
              <w:t>Telemetry/security</w:t>
            </w:r>
          </w:p>
        </w:tc>
        <w:tc>
          <w:tcPr>
            <w:tcW w:type="dxa" w:w="3383"/>
            <w:vAlign w:val="top"/>
          </w:tcPr>
          <w:p>
            <w:pPr>
              <w:spacing w:after="0"/>
            </w:pPr>
            <w:r>
              <w:rPr>
                <w:sz w:val="13"/>
              </w:rPr>
              <w:t>log/metric volume, retention, findings and scanning</w:t>
            </w:r>
          </w:p>
        </w:tc>
        <w:tc>
          <w:tcPr>
            <w:tcW w:type="dxa" w:w="3383"/>
            <w:vAlign w:val="top"/>
          </w:tcPr>
          <w:p>
            <w:pPr>
              <w:spacing w:after="0"/>
            </w:pPr>
            <w:r>
              <w:rPr>
                <w:sz w:val="13"/>
              </w:rPr>
              <w:t>Audit and incident evidence remain sufficient</w:t>
            </w:r>
          </w:p>
        </w:tc>
      </w:tr>
    </w:tbl>
    <w:p>
      <w:pPr>
        <w:spacing w:after="0"/>
      </w:pPr>
    </w:p>
    <w:p>
      <w:r>
        <w:br w:type="page"/>
      </w:r>
    </w:p>
    <w:p>
      <w:pPr>
        <w:pStyle w:val="Heading2"/>
      </w:pPr>
      <w:r>
        <w:t>7.30 Delivery Work Packages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Work package</w:t>
            </w:r>
          </w:p>
        </w:tc>
        <w:tc>
          <w:tcPr>
            <w:tcW w:type="dxa" w:w="2537"/>
            <w:shd w:fill="174EA6"/>
          </w:tcPr>
          <w:p>
            <w:pPr>
              <w:spacing w:after="0"/>
            </w:pPr>
            <w:r>
              <w:rPr>
                <w:b/>
                <w:color w:val="FFFFFF"/>
                <w:sz w:val="13"/>
              </w:rPr>
              <w:t>Outcome</w:t>
            </w:r>
          </w:p>
        </w:tc>
        <w:tc>
          <w:tcPr>
            <w:tcW w:type="dxa" w:w="2537"/>
            <w:shd w:fill="174EA6"/>
          </w:tcPr>
          <w:p>
            <w:pPr>
              <w:spacing w:after="0"/>
            </w:pPr>
            <w:r>
              <w:rPr>
                <w:b/>
                <w:color w:val="FFFFFF"/>
                <w:sz w:val="13"/>
              </w:rPr>
              <w:t>Team composition</w:t>
            </w:r>
          </w:p>
        </w:tc>
        <w:tc>
          <w:tcPr>
            <w:tcW w:type="dxa" w:w="2537"/>
            <w:shd w:fill="174EA6"/>
          </w:tcPr>
          <w:p>
            <w:pPr>
              <w:spacing w:after="0"/>
            </w:pPr>
            <w:r>
              <w:rPr>
                <w:b/>
                <w:color w:val="FFFFFF"/>
                <w:sz w:val="13"/>
              </w:rPr>
              <w:t>Exit gate</w:t>
            </w:r>
          </w:p>
        </w:tc>
      </w:tr>
      <w:tr>
        <w:tc>
          <w:tcPr>
            <w:tcW w:type="dxa" w:w="2537"/>
            <w:vAlign w:val="top"/>
          </w:tcPr>
          <w:p>
            <w:pPr>
              <w:spacing w:after="0"/>
            </w:pPr>
            <w:r>
              <w:rPr>
                <w:sz w:val="13"/>
              </w:rPr>
              <w:t>WP-01</w:t>
            </w:r>
          </w:p>
        </w:tc>
        <w:tc>
          <w:tcPr>
            <w:tcW w:type="dxa" w:w="2537"/>
            <w:vAlign w:val="top"/>
          </w:tcPr>
          <w:p>
            <w:pPr>
              <w:spacing w:after="0"/>
            </w:pPr>
            <w:r>
              <w:rPr>
                <w:sz w:val="13"/>
              </w:rPr>
              <w:t>High-volume telemetry and CDR ingestion</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WP-02</w:t>
            </w:r>
          </w:p>
        </w:tc>
        <w:tc>
          <w:tcPr>
            <w:tcW w:type="dxa" w:w="2537"/>
            <w:shd w:fill="F7F8F9"/>
            <w:vAlign w:val="top"/>
          </w:tcPr>
          <w:p>
            <w:pPr>
              <w:spacing w:after="0"/>
            </w:pPr>
            <w:r>
              <w:rPr>
                <w:sz w:val="13"/>
              </w:rPr>
              <w:t>Subscriber/service/network data products</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WP-03</w:t>
            </w:r>
          </w:p>
        </w:tc>
        <w:tc>
          <w:tcPr>
            <w:tcW w:type="dxa" w:w="2537"/>
            <w:vAlign w:val="top"/>
          </w:tcPr>
          <w:p>
            <w:pPr>
              <w:spacing w:after="0"/>
            </w:pPr>
            <w:r>
              <w:rPr>
                <w:sz w:val="13"/>
              </w:rPr>
              <w:t>Service assurance and revenue analytics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WP-04</w:t>
            </w:r>
          </w:p>
        </w:tc>
        <w:tc>
          <w:tcPr>
            <w:tcW w:type="dxa" w:w="2537"/>
            <w:shd w:fill="F7F8F9"/>
            <w:vAlign w:val="top"/>
          </w:tcPr>
          <w:p>
            <w:pPr>
              <w:spacing w:after="0"/>
            </w:pPr>
            <w:r>
              <w:rPr>
                <w:sz w:val="13"/>
              </w:rPr>
              <w:t>Churn and network AI</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r>
        <w:tc>
          <w:tcPr>
            <w:tcW w:type="dxa" w:w="2537"/>
            <w:vAlign w:val="top"/>
          </w:tcPr>
          <w:p>
            <w:pPr>
              <w:spacing w:after="0"/>
            </w:pPr>
            <w:r>
              <w:rPr>
                <w:sz w:val="13"/>
              </w:rPr>
              <w:t>WP-05</w:t>
            </w:r>
          </w:p>
        </w:tc>
        <w:tc>
          <w:tcPr>
            <w:tcW w:type="dxa" w:w="2537"/>
            <w:vAlign w:val="top"/>
          </w:tcPr>
          <w:p>
            <w:pPr>
              <w:spacing w:after="0"/>
            </w:pPr>
            <w:r>
              <w:rPr>
                <w:sz w:val="13"/>
              </w:rPr>
              <w:t>NOC and care copilots</w:t>
            </w:r>
          </w:p>
        </w:tc>
        <w:tc>
          <w:tcPr>
            <w:tcW w:type="dxa" w:w="2537"/>
            <w:vAlign w:val="top"/>
          </w:tcPr>
          <w:p>
            <w:pPr>
              <w:spacing w:after="0"/>
            </w:pPr>
            <w:r>
              <w:rPr>
                <w:sz w:val="13"/>
              </w:rPr>
              <w:t>Architecture + data + platform + security + SRE + FinOps</w:t>
            </w:r>
          </w:p>
        </w:tc>
        <w:tc>
          <w:tcPr>
            <w:tcW w:type="dxa" w:w="2537"/>
            <w:vAlign w:val="top"/>
          </w:tcPr>
          <w:p>
            <w:pPr>
              <w:spacing w:after="0"/>
            </w:pPr>
            <w:r>
              <w:rPr>
                <w:sz w:val="13"/>
              </w:rPr>
              <w:t>Exit evidence and product acceptance</w:t>
            </w:r>
          </w:p>
        </w:tc>
      </w:tr>
      <w:tr>
        <w:tc>
          <w:tcPr>
            <w:tcW w:type="dxa" w:w="2537"/>
            <w:shd w:fill="F7F8F9"/>
            <w:vAlign w:val="top"/>
          </w:tcPr>
          <w:p>
            <w:pPr>
              <w:spacing w:after="0"/>
            </w:pPr>
            <w:r>
              <w:rPr>
                <w:sz w:val="13"/>
              </w:rPr>
              <w:t>WP-06</w:t>
            </w:r>
          </w:p>
        </w:tc>
        <w:tc>
          <w:tcPr>
            <w:tcW w:type="dxa" w:w="2537"/>
            <w:shd w:fill="F7F8F9"/>
            <w:vAlign w:val="top"/>
          </w:tcPr>
          <w:p>
            <w:pPr>
              <w:spacing w:after="0"/>
            </w:pPr>
            <w:r>
              <w:rPr>
                <w:sz w:val="13"/>
              </w:rPr>
              <w:t>Regional scale, automation and resilience</w:t>
            </w:r>
          </w:p>
        </w:tc>
        <w:tc>
          <w:tcPr>
            <w:tcW w:type="dxa" w:w="2537"/>
            <w:shd w:fill="F7F8F9"/>
            <w:vAlign w:val="top"/>
          </w:tcPr>
          <w:p>
            <w:pPr>
              <w:spacing w:after="0"/>
            </w:pPr>
            <w:r>
              <w:rPr>
                <w:sz w:val="13"/>
              </w:rPr>
              <w:t>Architecture + data + platform + security + SRE + FinOps</w:t>
            </w:r>
          </w:p>
        </w:tc>
        <w:tc>
          <w:tcPr>
            <w:tcW w:type="dxa" w:w="2537"/>
            <w:shd w:fill="F7F8F9"/>
            <w:vAlign w:val="top"/>
          </w:tcPr>
          <w:p>
            <w:pPr>
              <w:spacing w:after="0"/>
            </w:pPr>
            <w:r>
              <w:rPr>
                <w:sz w:val="13"/>
              </w:rPr>
              <w:t>Exit evidence and product acceptance</w:t>
            </w:r>
          </w:p>
        </w:tc>
      </w:tr>
    </w:tbl>
    <w:p>
      <w:pPr>
        <w:spacing w:after="0"/>
      </w:pPr>
    </w:p>
    <w:p>
      <w:pPr>
        <w:pStyle w:val="ListBullet"/>
      </w:pPr>
      <w:r>
        <w:t>Use representative high-value workloads rather than only low-risk demonstrations.</w:t>
      </w:r>
    </w:p>
    <w:p>
      <w:pPr>
        <w:pStyle w:val="ListBullet"/>
      </w:pPr>
      <w:r>
        <w:t>Run legacy/target outputs in parallel until reconciliation, user acceptance and recovery evidence are complete.</w:t>
      </w:r>
    </w:p>
    <w:p>
      <w:pPr>
        <w:pStyle w:val="ListBullet"/>
      </w:pPr>
      <w:r>
        <w:t>Track migration debt, exceptions, vendor dependencies, data-retention gaps and unimplemented controls.</w:t>
      </w:r>
    </w:p>
    <w:p>
      <w:pPr>
        <w:pStyle w:val="ListBullet"/>
      </w:pPr>
      <w:r>
        <w:t>Scale only after reliability, security, regulatory, operational and unit-economics thresholds are achieved.</w:t>
      </w:r>
    </w:p>
    <w:p>
      <w:r>
        <w:br w:type="page"/>
      </w:r>
    </w:p>
    <w:p>
      <w:pPr>
        <w:pStyle w:val="Heading2"/>
      </w:pPr>
      <w:r>
        <w:t>7.31 Operational Runbooks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Runbook</w:t>
            </w:r>
          </w:p>
        </w:tc>
        <w:tc>
          <w:tcPr>
            <w:tcW w:type="dxa" w:w="2537"/>
            <w:shd w:fill="174EA6"/>
          </w:tcPr>
          <w:p>
            <w:pPr>
              <w:spacing w:after="0"/>
            </w:pPr>
            <w:r>
              <w:rPr>
                <w:b/>
                <w:color w:val="FFFFFF"/>
                <w:sz w:val="13"/>
              </w:rPr>
              <w:t>Trigger</w:t>
            </w:r>
          </w:p>
        </w:tc>
        <w:tc>
          <w:tcPr>
            <w:tcW w:type="dxa" w:w="2537"/>
            <w:shd w:fill="174EA6"/>
          </w:tcPr>
          <w:p>
            <w:pPr>
              <w:spacing w:after="0"/>
            </w:pPr>
            <w:r>
              <w:rPr>
                <w:b/>
                <w:color w:val="FFFFFF"/>
                <w:sz w:val="13"/>
              </w:rPr>
              <w:t>Key actions</w:t>
            </w:r>
          </w:p>
        </w:tc>
        <w:tc>
          <w:tcPr>
            <w:tcW w:type="dxa" w:w="2537"/>
            <w:shd w:fill="174EA6"/>
          </w:tcPr>
          <w:p>
            <w:pPr>
              <w:spacing w:after="0"/>
            </w:pPr>
            <w:r>
              <w:rPr>
                <w:b/>
                <w:color w:val="FFFFFF"/>
                <w:sz w:val="13"/>
              </w:rPr>
              <w:t>Closure evidence</w:t>
            </w:r>
          </w:p>
        </w:tc>
      </w:tr>
      <w:tr>
        <w:tc>
          <w:tcPr>
            <w:tcW w:type="dxa" w:w="2537"/>
            <w:vAlign w:val="top"/>
          </w:tcPr>
          <w:p>
            <w:pPr>
              <w:spacing w:after="0"/>
            </w:pPr>
            <w:r>
              <w:rPr>
                <w:sz w:val="13"/>
              </w:rPr>
              <w:t>Ingestion backlog / lag</w:t>
            </w:r>
          </w:p>
        </w:tc>
        <w:tc>
          <w:tcPr>
            <w:tcW w:type="dxa" w:w="2537"/>
            <w:vAlign w:val="top"/>
          </w:tcPr>
          <w:p>
            <w:pPr>
              <w:spacing w:after="0"/>
            </w:pPr>
            <w:r>
              <w:rPr>
                <w:sz w:val="13"/>
              </w:rPr>
              <w:t>Freshness burn-rate or subscription/CDC backlog</w:t>
            </w:r>
          </w:p>
        </w:tc>
        <w:tc>
          <w:tcPr>
            <w:tcW w:type="dxa" w:w="2537"/>
            <w:vAlign w:val="top"/>
          </w:tcPr>
          <w:p>
            <w:pPr>
              <w:spacing w:after="0"/>
            </w:pPr>
            <w:r>
              <w:rPr>
                <w:sz w:val="13"/>
              </w:rPr>
              <w:t>Protect Tier 0 capacity, identify source/sink constraint, scale or shed noncritical load</w:t>
            </w:r>
          </w:p>
        </w:tc>
        <w:tc>
          <w:tcPr>
            <w:tcW w:type="dxa" w:w="2537"/>
            <w:vAlign w:val="top"/>
          </w:tcPr>
          <w:p>
            <w:pPr>
              <w:spacing w:after="0"/>
            </w:pPr>
            <w:r>
              <w:rPr>
                <w:sz w:val="13"/>
              </w:rPr>
              <w:t>Backlog cleared and data reconciled</w:t>
            </w:r>
          </w:p>
        </w:tc>
      </w:tr>
      <w:tr>
        <w:tc>
          <w:tcPr>
            <w:tcW w:type="dxa" w:w="2537"/>
            <w:shd w:fill="F7F8F9"/>
            <w:vAlign w:val="top"/>
          </w:tcPr>
          <w:p>
            <w:pPr>
              <w:spacing w:after="0"/>
            </w:pPr>
            <w:r>
              <w:rPr>
                <w:sz w:val="13"/>
              </w:rPr>
              <w:t>Schema/contract failure</w:t>
            </w:r>
          </w:p>
        </w:tc>
        <w:tc>
          <w:tcPr>
            <w:tcW w:type="dxa" w:w="2537"/>
            <w:shd w:fill="F7F8F9"/>
            <w:vAlign w:val="top"/>
          </w:tcPr>
          <w:p>
            <w:pPr>
              <w:spacing w:after="0"/>
            </w:pPr>
            <w:r>
              <w:rPr>
                <w:sz w:val="13"/>
              </w:rPr>
              <w:t>Quarantine spike or incompatible change</w:t>
            </w:r>
          </w:p>
        </w:tc>
        <w:tc>
          <w:tcPr>
            <w:tcW w:type="dxa" w:w="2537"/>
            <w:shd w:fill="F7F8F9"/>
            <w:vAlign w:val="top"/>
          </w:tcPr>
          <w:p>
            <w:pPr>
              <w:spacing w:after="0"/>
            </w:pPr>
            <w:r>
              <w:rPr>
                <w:sz w:val="13"/>
              </w:rPr>
              <w:t>Block publication, engage source owner, version/migrate contract</w:t>
            </w:r>
          </w:p>
        </w:tc>
        <w:tc>
          <w:tcPr>
            <w:tcW w:type="dxa" w:w="2537"/>
            <w:shd w:fill="F7F8F9"/>
            <w:vAlign w:val="top"/>
          </w:tcPr>
          <w:p>
            <w:pPr>
              <w:spacing w:after="0"/>
            </w:pPr>
            <w:r>
              <w:rPr>
                <w:sz w:val="13"/>
              </w:rPr>
              <w:t>Compatibility tests and consumer approval</w:t>
            </w:r>
          </w:p>
        </w:tc>
      </w:tr>
      <w:tr>
        <w:tc>
          <w:tcPr>
            <w:tcW w:type="dxa" w:w="2537"/>
            <w:vAlign w:val="top"/>
          </w:tcPr>
          <w:p>
            <w:pPr>
              <w:spacing w:after="0"/>
            </w:pPr>
            <w:r>
              <w:rPr>
                <w:sz w:val="13"/>
              </w:rPr>
              <w:t>Data-quality failure</w:t>
            </w:r>
          </w:p>
        </w:tc>
        <w:tc>
          <w:tcPr>
            <w:tcW w:type="dxa" w:w="2537"/>
            <w:vAlign w:val="top"/>
          </w:tcPr>
          <w:p>
            <w:pPr>
              <w:spacing w:after="0"/>
            </w:pPr>
            <w:r>
              <w:rPr>
                <w:sz w:val="13"/>
              </w:rPr>
              <w:t>Critical assertion or reconciliation mismatch</w:t>
            </w:r>
          </w:p>
        </w:tc>
        <w:tc>
          <w:tcPr>
            <w:tcW w:type="dxa" w:w="2537"/>
            <w:vAlign w:val="top"/>
          </w:tcPr>
          <w:p>
            <w:pPr>
              <w:spacing w:after="0"/>
            </w:pPr>
            <w:r>
              <w:rPr>
                <w:sz w:val="13"/>
              </w:rPr>
              <w:t>Stop certification, assess impact, correct and bounded replay</w:t>
            </w:r>
          </w:p>
        </w:tc>
        <w:tc>
          <w:tcPr>
            <w:tcW w:type="dxa" w:w="2537"/>
            <w:vAlign w:val="top"/>
          </w:tcPr>
          <w:p>
            <w:pPr>
              <w:spacing w:after="0"/>
            </w:pPr>
            <w:r>
              <w:rPr>
                <w:sz w:val="13"/>
              </w:rPr>
              <w:t>Quality and business totals pass</w:t>
            </w:r>
          </w:p>
        </w:tc>
      </w:tr>
      <w:tr>
        <w:tc>
          <w:tcPr>
            <w:tcW w:type="dxa" w:w="2537"/>
            <w:shd w:fill="F7F8F9"/>
            <w:vAlign w:val="top"/>
          </w:tcPr>
          <w:p>
            <w:pPr>
              <w:spacing w:after="0"/>
            </w:pPr>
            <w:r>
              <w:rPr>
                <w:sz w:val="13"/>
              </w:rPr>
              <w:t>Unauthorized access / leakage</w:t>
            </w:r>
          </w:p>
        </w:tc>
        <w:tc>
          <w:tcPr>
            <w:tcW w:type="dxa" w:w="2537"/>
            <w:shd w:fill="F7F8F9"/>
            <w:vAlign w:val="top"/>
          </w:tcPr>
          <w:p>
            <w:pPr>
              <w:spacing w:after="0"/>
            </w:pPr>
            <w:r>
              <w:rPr>
                <w:sz w:val="13"/>
              </w:rPr>
              <w:t>Audit/SCC/DLP alert</w:t>
            </w:r>
          </w:p>
        </w:tc>
        <w:tc>
          <w:tcPr>
            <w:tcW w:type="dxa" w:w="2537"/>
            <w:shd w:fill="F7F8F9"/>
            <w:vAlign w:val="top"/>
          </w:tcPr>
          <w:p>
            <w:pPr>
              <w:spacing w:after="0"/>
            </w:pPr>
            <w:r>
              <w:rPr>
                <w:sz w:val="13"/>
              </w:rPr>
              <w:t>Contain identity/resource, preserve evidence, notify security/privacy/legal</w:t>
            </w:r>
          </w:p>
        </w:tc>
        <w:tc>
          <w:tcPr>
            <w:tcW w:type="dxa" w:w="2537"/>
            <w:shd w:fill="F7F8F9"/>
            <w:vAlign w:val="top"/>
          </w:tcPr>
          <w:p>
            <w:pPr>
              <w:spacing w:after="0"/>
            </w:pPr>
            <w:r>
              <w:rPr>
                <w:sz w:val="13"/>
              </w:rPr>
              <w:t>Incident closure and control regression test</w:t>
            </w:r>
          </w:p>
        </w:tc>
      </w:tr>
      <w:tr>
        <w:tc>
          <w:tcPr>
            <w:tcW w:type="dxa" w:w="2537"/>
            <w:vAlign w:val="top"/>
          </w:tcPr>
          <w:p>
            <w:pPr>
              <w:spacing w:after="0"/>
            </w:pPr>
            <w:r>
              <w:rPr>
                <w:sz w:val="13"/>
              </w:rPr>
              <w:t>AI safety/quality event</w:t>
            </w:r>
          </w:p>
        </w:tc>
        <w:tc>
          <w:tcPr>
            <w:tcW w:type="dxa" w:w="2537"/>
            <w:vAlign w:val="top"/>
          </w:tcPr>
          <w:p>
            <w:pPr>
              <w:spacing w:after="0"/>
            </w:pPr>
            <w:r>
              <w:rPr>
                <w:sz w:val="13"/>
              </w:rPr>
              <w:t>Unsafe output, unsupported claim or tool misuse</w:t>
            </w:r>
          </w:p>
        </w:tc>
        <w:tc>
          <w:tcPr>
            <w:tcW w:type="dxa" w:w="2537"/>
            <w:vAlign w:val="top"/>
          </w:tcPr>
          <w:p>
            <w:pPr>
              <w:spacing w:after="0"/>
            </w:pPr>
            <w:r>
              <w:rPr>
                <w:sz w:val="13"/>
              </w:rPr>
              <w:t>Disable model/prompt/tool, preserve trajectory, switch to approved fallback</w:t>
            </w:r>
          </w:p>
        </w:tc>
        <w:tc>
          <w:tcPr>
            <w:tcW w:type="dxa" w:w="2537"/>
            <w:vAlign w:val="top"/>
          </w:tcPr>
          <w:p>
            <w:pPr>
              <w:spacing w:after="0"/>
            </w:pPr>
            <w:r>
              <w:rPr>
                <w:sz w:val="13"/>
              </w:rPr>
              <w:t>Evaluation and independent approval</w:t>
            </w:r>
          </w:p>
        </w:tc>
      </w:tr>
      <w:tr>
        <w:tc>
          <w:tcPr>
            <w:tcW w:type="dxa" w:w="2537"/>
            <w:shd w:fill="F7F8F9"/>
            <w:vAlign w:val="top"/>
          </w:tcPr>
          <w:p>
            <w:pPr>
              <w:spacing w:after="0"/>
            </w:pPr>
            <w:r>
              <w:rPr>
                <w:sz w:val="13"/>
              </w:rPr>
              <w:t>Regional recovery</w:t>
            </w:r>
          </w:p>
        </w:tc>
        <w:tc>
          <w:tcPr>
            <w:tcW w:type="dxa" w:w="2537"/>
            <w:shd w:fill="F7F8F9"/>
            <w:vAlign w:val="top"/>
          </w:tcPr>
          <w:p>
            <w:pPr>
              <w:spacing w:after="0"/>
            </w:pPr>
            <w:r>
              <w:rPr>
                <w:sz w:val="13"/>
              </w:rPr>
              <w:t>Regional service or dependency failure</w:t>
            </w:r>
          </w:p>
        </w:tc>
        <w:tc>
          <w:tcPr>
            <w:tcW w:type="dxa" w:w="2537"/>
            <w:shd w:fill="F7F8F9"/>
            <w:vAlign w:val="top"/>
          </w:tcPr>
          <w:p>
            <w:pPr>
              <w:spacing w:after="0"/>
            </w:pPr>
            <w:r>
              <w:rPr>
                <w:sz w:val="13"/>
              </w:rPr>
              <w:t>Activate approved alternate/rebuild/replay path and communications</w:t>
            </w:r>
          </w:p>
        </w:tc>
        <w:tc>
          <w:tcPr>
            <w:tcW w:type="dxa" w:w="2537"/>
            <w:shd w:fill="F7F8F9"/>
            <w:vAlign w:val="top"/>
          </w:tcPr>
          <w:p>
            <w:pPr>
              <w:spacing w:after="0"/>
            </w:pPr>
            <w:r>
              <w:rPr>
                <w:sz w:val="13"/>
              </w:rPr>
              <w:t>RTO/RPO met, data reconciled and failback approved</w:t>
            </w:r>
          </w:p>
        </w:tc>
      </w:tr>
    </w:tbl>
    <w:p>
      <w:pPr>
        <w:spacing w:after="0"/>
      </w:pPr>
    </w:p>
    <w:p>
      <w:r>
        <w:br w:type="page"/>
      </w:r>
    </w:p>
    <w:p>
      <w:pPr>
        <w:pStyle w:val="Heading1"/>
      </w:pPr>
      <w:r>
        <w:t>8. Cross-industry Service Assessments</w:t>
      </w:r>
    </w:p>
    <w:p>
      <w:r>
        <w:t>Only services mapped to documented industry requirements are assessed. The entries are implementation baselines, not substitutes for current quota, location, pricing, compliance and feature-support validation.</w:t>
      </w:r>
    </w:p>
    <w:p>
      <w:pPr>
        <w:pStyle w:val="Heading2"/>
      </w:pPr>
      <w:r>
        <w:t>8.1 BigQuery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BigQuery</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Enterprise analytical warehouse and industry data-product serving plane</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Healthcare, banking, retail and telecom analytics, SQL transformations, features and regulated reporting</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Healthcare, banking, retail and telecom analytics, SQL transformations, features and regulated reporting</w:t>
            </w:r>
          </w:p>
        </w:tc>
      </w:tr>
      <w:tr>
        <w:tc>
          <w:tcPr>
            <w:tcW w:type="dxa" w:w="5074"/>
            <w:vAlign w:val="top"/>
          </w:tcPr>
          <w:p>
            <w:pPr>
              <w:spacing w:after="0"/>
            </w:pPr>
            <w:r>
              <w:rPr>
                <w:sz w:val="13"/>
              </w:rPr>
              <w:t>Technical capabilities</w:t>
            </w:r>
          </w:p>
        </w:tc>
        <w:tc>
          <w:tcPr>
            <w:tcW w:type="dxa" w:w="5074"/>
            <w:vAlign w:val="top"/>
          </w:tcPr>
          <w:p>
            <w:pPr>
              <w:spacing w:after="0"/>
            </w:pPr>
            <w:r>
              <w:rPr>
                <w:sz w:val="13"/>
              </w:rPr>
              <w:t>Enterprise analytical warehouse and industry data-product serving plane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8.2 Cloud Storage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Cloud Storage</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Durable landing, raw, document, image and recovery storage</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Immutable source retention, archives, unstructured knowledge and replay</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Immutable source retention, archives, unstructured knowledge and replay</w:t>
            </w:r>
          </w:p>
        </w:tc>
      </w:tr>
      <w:tr>
        <w:tc>
          <w:tcPr>
            <w:tcW w:type="dxa" w:w="5074"/>
            <w:vAlign w:val="top"/>
          </w:tcPr>
          <w:p>
            <w:pPr>
              <w:spacing w:after="0"/>
            </w:pPr>
            <w:r>
              <w:rPr>
                <w:sz w:val="13"/>
              </w:rPr>
              <w:t>Technical capabilities</w:t>
            </w:r>
          </w:p>
        </w:tc>
        <w:tc>
          <w:tcPr>
            <w:tcW w:type="dxa" w:w="5074"/>
            <w:vAlign w:val="top"/>
          </w:tcPr>
          <w:p>
            <w:pPr>
              <w:spacing w:after="0"/>
            </w:pPr>
            <w:r>
              <w:rPr>
                <w:sz w:val="13"/>
              </w:rPr>
              <w:t>Durable landing, raw, document, image and recovery storage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8.3 Pub/Sub</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Pub/Sub</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 event backbone</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Clinical messages, transactions, commerce events and network telemetry</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Clinical messages, transactions, commerce events and network telemetry</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 event backbone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8.4 Dataflow</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Dataflow</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 Apache Beam batch and streaming processing</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Event-time, validation, state, enrichment and governed sinks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Event-time, validation, state, enrichment and governed sinks</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 Apache Beam batch and streaming processing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8.5 Datastream</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Datastream</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 CDC for supported sources</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Operational database changes into source-aligned analytical stores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Operational database changes into source-aligned analytical stores</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 CDC for supported sources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8.6 Dataform</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Dataform</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Governed BigQuery SQL transformation</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Industry marts, assertions, incremental products and release-controlled SQL</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Industry marts, assertions, incremental products and release-controlled SQL</w:t>
            </w:r>
          </w:p>
        </w:tc>
      </w:tr>
      <w:tr>
        <w:tc>
          <w:tcPr>
            <w:tcW w:type="dxa" w:w="5074"/>
            <w:vAlign w:val="top"/>
          </w:tcPr>
          <w:p>
            <w:pPr>
              <w:spacing w:after="0"/>
            </w:pPr>
            <w:r>
              <w:rPr>
                <w:sz w:val="13"/>
              </w:rPr>
              <w:t>Technical capabilities</w:t>
            </w:r>
          </w:p>
        </w:tc>
        <w:tc>
          <w:tcPr>
            <w:tcW w:type="dxa" w:w="5074"/>
            <w:vAlign w:val="top"/>
          </w:tcPr>
          <w:p>
            <w:pPr>
              <w:spacing w:after="0"/>
            </w:pPr>
            <w:r>
              <w:rPr>
                <w:sz w:val="13"/>
              </w:rPr>
              <w:t>Governed BigQuery SQL transformation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8.7 Managed Service for Apache Airflow</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Managed Service for Apache Airflow</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Complex data workflow orchestration</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Cross-system dependencies, backfills and operational workflows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Cross-system dependencies, backfills and operational workflows</w:t>
            </w:r>
          </w:p>
        </w:tc>
      </w:tr>
      <w:tr>
        <w:tc>
          <w:tcPr>
            <w:tcW w:type="dxa" w:w="5074"/>
            <w:vAlign w:val="top"/>
          </w:tcPr>
          <w:p>
            <w:pPr>
              <w:spacing w:after="0"/>
            </w:pPr>
            <w:r>
              <w:rPr>
                <w:sz w:val="13"/>
              </w:rPr>
              <w:t>Technical capabilities</w:t>
            </w:r>
          </w:p>
        </w:tc>
        <w:tc>
          <w:tcPr>
            <w:tcW w:type="dxa" w:w="5074"/>
            <w:vAlign w:val="top"/>
          </w:tcPr>
          <w:p>
            <w:pPr>
              <w:spacing w:after="0"/>
            </w:pPr>
            <w:r>
              <w:rPr>
                <w:sz w:val="13"/>
              </w:rPr>
              <w:t>Complex data workflow orchestration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8.8 Knowledge Catalog</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Knowledge Catalog</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Enterprise metadata, glossary, lineage and discovery</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Industry product ownership, classification, contracts and certification</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Industry product ownership, classification, contracts and certification</w:t>
            </w:r>
          </w:p>
        </w:tc>
      </w:tr>
      <w:tr>
        <w:tc>
          <w:tcPr>
            <w:tcW w:type="dxa" w:w="5074"/>
            <w:vAlign w:val="top"/>
          </w:tcPr>
          <w:p>
            <w:pPr>
              <w:spacing w:after="0"/>
            </w:pPr>
            <w:r>
              <w:rPr>
                <w:sz w:val="13"/>
              </w:rPr>
              <w:t>Technical capabilities</w:t>
            </w:r>
          </w:p>
        </w:tc>
        <w:tc>
          <w:tcPr>
            <w:tcW w:type="dxa" w:w="5074"/>
            <w:vAlign w:val="top"/>
          </w:tcPr>
          <w:p>
            <w:pPr>
              <w:spacing w:after="0"/>
            </w:pPr>
            <w:r>
              <w:rPr>
                <w:sz w:val="13"/>
              </w:rPr>
              <w:t>Enterprise metadata, glossary, lineage and discovery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8.9 Looker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Looker</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Governed semantic analytics</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Clinical/financial/retail/network KPIs and embedded experiences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Clinical/financial/retail/network KPIs and embedded experiences</w:t>
            </w:r>
          </w:p>
        </w:tc>
      </w:tr>
      <w:tr>
        <w:tc>
          <w:tcPr>
            <w:tcW w:type="dxa" w:w="5074"/>
            <w:vAlign w:val="top"/>
          </w:tcPr>
          <w:p>
            <w:pPr>
              <w:spacing w:after="0"/>
            </w:pPr>
            <w:r>
              <w:rPr>
                <w:sz w:val="13"/>
              </w:rPr>
              <w:t>Technical capabilities</w:t>
            </w:r>
          </w:p>
        </w:tc>
        <w:tc>
          <w:tcPr>
            <w:tcW w:type="dxa" w:w="5074"/>
            <w:vAlign w:val="top"/>
          </w:tcPr>
          <w:p>
            <w:pPr>
              <w:spacing w:after="0"/>
            </w:pPr>
            <w:r>
              <w:rPr>
                <w:sz w:val="13"/>
              </w:rPr>
              <w:t>Governed semantic analytics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8.10 Gemini Enterprise Agent Platform</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Gemini Enterprise Agent Platform</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 ML, generative AI and agent capabilities</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Grounded assistants, models, evaluation, agents and governed AI operations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Grounded assistants, models, evaluation, agents and governed AI operations</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 ML, generative AI and agent capabilities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8.11 Sensitive Data Protection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Sensitive Data Protection</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Sensitive-data discovery and de-identification</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PHI, PII, card/payment and CPNI protection</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PHI, PII, card/payment and CPNI protection</w:t>
            </w:r>
          </w:p>
        </w:tc>
      </w:tr>
      <w:tr>
        <w:tc>
          <w:tcPr>
            <w:tcW w:type="dxa" w:w="5074"/>
            <w:vAlign w:val="top"/>
          </w:tcPr>
          <w:p>
            <w:pPr>
              <w:spacing w:after="0"/>
            </w:pPr>
            <w:r>
              <w:rPr>
                <w:sz w:val="13"/>
              </w:rPr>
              <w:t>Technical capabilities</w:t>
            </w:r>
          </w:p>
        </w:tc>
        <w:tc>
          <w:tcPr>
            <w:tcW w:type="dxa" w:w="5074"/>
            <w:vAlign w:val="top"/>
          </w:tcPr>
          <w:p>
            <w:pPr>
              <w:spacing w:after="0"/>
            </w:pPr>
            <w:r>
              <w:rPr>
                <w:sz w:val="13"/>
              </w:rPr>
              <w:t>Sensitive-data discovery and de-identification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8.12 Cloud KMS / Cloud HSM</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Cloud KMS / Cloud HSM</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Cryptographic key management</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CMEK, signing and higher-assurance key custody</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CMEK, signing and higher-assurance key custody</w:t>
            </w:r>
          </w:p>
        </w:tc>
      </w:tr>
      <w:tr>
        <w:tc>
          <w:tcPr>
            <w:tcW w:type="dxa" w:w="5074"/>
            <w:vAlign w:val="top"/>
          </w:tcPr>
          <w:p>
            <w:pPr>
              <w:spacing w:after="0"/>
            </w:pPr>
            <w:r>
              <w:rPr>
                <w:sz w:val="13"/>
              </w:rPr>
              <w:t>Technical capabilities</w:t>
            </w:r>
          </w:p>
        </w:tc>
        <w:tc>
          <w:tcPr>
            <w:tcW w:type="dxa" w:w="5074"/>
            <w:vAlign w:val="top"/>
          </w:tcPr>
          <w:p>
            <w:pPr>
              <w:spacing w:after="0"/>
            </w:pPr>
            <w:r>
              <w:rPr>
                <w:sz w:val="13"/>
              </w:rPr>
              <w:t>Cryptographic key management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8.13 VPC Service Controls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VPC Service Controls</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Managed-service data perimeter</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Exfiltration reduction for Restricted and Regulated projects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Exfiltration reduction for Restricted and Regulated projects</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Managed-service data perimeter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8.14 Security Command Center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Security Command Center</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Security posture and threat findings</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Central findings, prioritization, SIEM/SOAR and assurance</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Central findings, prioritization, SIEM/SOAR and assurance</w:t>
            </w:r>
          </w:p>
        </w:tc>
      </w:tr>
      <w:tr>
        <w:tc>
          <w:tcPr>
            <w:tcW w:type="dxa" w:w="5074"/>
            <w:vAlign w:val="top"/>
          </w:tcPr>
          <w:p>
            <w:pPr>
              <w:spacing w:after="0"/>
            </w:pPr>
            <w:r>
              <w:rPr>
                <w:sz w:val="13"/>
              </w:rPr>
              <w:t>Technical capabilities</w:t>
            </w:r>
          </w:p>
        </w:tc>
        <w:tc>
          <w:tcPr>
            <w:tcW w:type="dxa" w:w="5074"/>
            <w:vAlign w:val="top"/>
          </w:tcPr>
          <w:p>
            <w:pPr>
              <w:spacing w:after="0"/>
            </w:pPr>
            <w:r>
              <w:rPr>
                <w:sz w:val="13"/>
              </w:rPr>
              <w:t>Security posture and threat findings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8.15 Cloud Healthcare API</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Cloud Healthcare API</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Healthcare interoperability service</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FHIR, HL7v2, DICOM and healthcare de-identification</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FHIR, HL7v2, DICOM and healthcare de-identification</w:t>
            </w:r>
          </w:p>
        </w:tc>
      </w:tr>
      <w:tr>
        <w:tc>
          <w:tcPr>
            <w:tcW w:type="dxa" w:w="5074"/>
            <w:vAlign w:val="top"/>
          </w:tcPr>
          <w:p>
            <w:pPr>
              <w:spacing w:after="0"/>
            </w:pPr>
            <w:r>
              <w:rPr>
                <w:sz w:val="13"/>
              </w:rPr>
              <w:t>Technical capabilities</w:t>
            </w:r>
          </w:p>
        </w:tc>
        <w:tc>
          <w:tcPr>
            <w:tcW w:type="dxa" w:w="5074"/>
            <w:vAlign w:val="top"/>
          </w:tcPr>
          <w:p>
            <w:pPr>
              <w:spacing w:after="0"/>
            </w:pPr>
            <w:r>
              <w:rPr>
                <w:sz w:val="13"/>
              </w:rPr>
              <w:t>Healthcare interoperability service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8.16 Anti Money Laundering AI</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Anti Money Laundering AI</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 AML risk-model pipeline</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Retail/commercial banking AML risk scoring within supported scope</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Retail/commercial banking AML risk scoring within supported scope</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 AML risk-model pipeline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8.17 AI Commerce Search</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AI Commerce Search</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 search, browse and recommendation capability</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Personalized retail discovery and recommendations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Personalized retail discovery and recommendations</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 search, browse and recommendation capability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8.18 Bigtable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Bigtable</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Low-latency wide-column operational data store</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Qualified inventory, network telemetry and real-time feature/access patterns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Qualified inventory, network telemetry and real-time feature/access patterns</w:t>
            </w:r>
          </w:p>
        </w:tc>
      </w:tr>
      <w:tr>
        <w:tc>
          <w:tcPr>
            <w:tcW w:type="dxa" w:w="5074"/>
            <w:vAlign w:val="top"/>
          </w:tcPr>
          <w:p>
            <w:pPr>
              <w:spacing w:after="0"/>
            </w:pPr>
            <w:r>
              <w:rPr>
                <w:sz w:val="13"/>
              </w:rPr>
              <w:t>Technical capabilities</w:t>
            </w:r>
          </w:p>
        </w:tc>
        <w:tc>
          <w:tcPr>
            <w:tcW w:type="dxa" w:w="5074"/>
            <w:vAlign w:val="top"/>
          </w:tcPr>
          <w:p>
            <w:pPr>
              <w:spacing w:after="0"/>
            </w:pPr>
            <w:r>
              <w:rPr>
                <w:sz w:val="13"/>
              </w:rPr>
              <w:t>Low-latency wide-column operational data store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2"/>
      </w:pPr>
      <w:r>
        <w:t>8.19 Spanner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Spanner</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Globally scalable relational database</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Qualified operational consistency patterns and metadata services</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Qualified operational consistency patterns and metadata services</w:t>
            </w:r>
          </w:p>
        </w:tc>
      </w:tr>
      <w:tr>
        <w:tc>
          <w:tcPr>
            <w:tcW w:type="dxa" w:w="5074"/>
            <w:vAlign w:val="top"/>
          </w:tcPr>
          <w:p>
            <w:pPr>
              <w:spacing w:after="0"/>
            </w:pPr>
            <w:r>
              <w:rPr>
                <w:sz w:val="13"/>
              </w:rPr>
              <w:t>Technical capabilities</w:t>
            </w:r>
          </w:p>
        </w:tc>
        <w:tc>
          <w:tcPr>
            <w:tcW w:type="dxa" w:w="5074"/>
            <w:vAlign w:val="top"/>
          </w:tcPr>
          <w:p>
            <w:pPr>
              <w:spacing w:after="0"/>
            </w:pPr>
            <w:r>
              <w:rPr>
                <w:sz w:val="13"/>
              </w:rPr>
              <w:t>Globally scalable relational database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pPr>
        <w:pStyle w:val="Heading2"/>
      </w:pPr>
      <w:r>
        <w:t>8.20 Telecom Network Automation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3"/>
              </w:rPr>
              <w:t>Assessment field</w:t>
            </w:r>
          </w:p>
        </w:tc>
        <w:tc>
          <w:tcPr>
            <w:tcW w:type="dxa" w:w="5074"/>
            <w:shd w:fill="174EA6"/>
          </w:tcPr>
          <w:p>
            <w:pPr>
              <w:spacing w:after="0"/>
            </w:pPr>
            <w:r>
              <w:rPr>
                <w:b/>
                <w:color w:val="FFFFFF"/>
                <w:sz w:val="13"/>
              </w:rPr>
              <w:t>Guidance</w:t>
            </w:r>
          </w:p>
        </w:tc>
      </w:tr>
      <w:tr>
        <w:tc>
          <w:tcPr>
            <w:tcW w:type="dxa" w:w="5074"/>
            <w:vAlign w:val="top"/>
          </w:tcPr>
          <w:p>
            <w:pPr>
              <w:spacing w:after="0"/>
            </w:pPr>
            <w:r>
              <w:rPr>
                <w:sz w:val="13"/>
              </w:rPr>
              <w:t>Service name</w:t>
            </w:r>
          </w:p>
        </w:tc>
        <w:tc>
          <w:tcPr>
            <w:tcW w:type="dxa" w:w="5074"/>
            <w:vAlign w:val="top"/>
          </w:tcPr>
          <w:p>
            <w:pPr>
              <w:spacing w:after="0"/>
            </w:pPr>
            <w:r>
              <w:rPr>
                <w:sz w:val="13"/>
              </w:rPr>
              <w:t>Telecom Network Automation</w:t>
            </w:r>
          </w:p>
        </w:tc>
      </w:tr>
      <w:tr>
        <w:tc>
          <w:tcPr>
            <w:tcW w:type="dxa" w:w="5074"/>
            <w:shd w:fill="F7F8F9"/>
            <w:vAlign w:val="top"/>
          </w:tcPr>
          <w:p>
            <w:pPr>
              <w:spacing w:after="0"/>
            </w:pPr>
            <w:r>
              <w:rPr>
                <w:sz w:val="13"/>
              </w:rPr>
              <w:t>Purpose</w:t>
            </w:r>
          </w:p>
        </w:tc>
        <w:tc>
          <w:tcPr>
            <w:tcW w:type="dxa" w:w="5074"/>
            <w:shd w:fill="F7F8F9"/>
            <w:vAlign w:val="top"/>
          </w:tcPr>
          <w:p>
            <w:pPr>
              <w:spacing w:after="0"/>
            </w:pPr>
            <w:r>
              <w:rPr>
                <w:sz w:val="13"/>
              </w:rPr>
              <w:t>Managed Nephio-based network automation</w:t>
            </w:r>
          </w:p>
        </w:tc>
      </w:tr>
      <w:tr>
        <w:tc>
          <w:tcPr>
            <w:tcW w:type="dxa" w:w="5074"/>
            <w:vAlign w:val="top"/>
          </w:tcPr>
          <w:p>
            <w:pPr>
              <w:spacing w:after="0"/>
            </w:pPr>
            <w:r>
              <w:rPr>
                <w:sz w:val="13"/>
              </w:rPr>
              <w:t>Enterprise architecture role</w:t>
            </w:r>
          </w:p>
        </w:tc>
        <w:tc>
          <w:tcPr>
            <w:tcW w:type="dxa" w:w="5074"/>
            <w:vAlign w:val="top"/>
          </w:tcPr>
          <w:p>
            <w:pPr>
              <w:spacing w:after="0"/>
            </w:pPr>
            <w:r>
              <w:rPr>
                <w:sz w:val="13"/>
              </w:rPr>
              <w:t>Conditional multi-vendor network intent and lifecycle automation</w:t>
            </w:r>
          </w:p>
        </w:tc>
      </w:tr>
      <w:tr>
        <w:tc>
          <w:tcPr>
            <w:tcW w:type="dxa" w:w="5074"/>
            <w:shd w:fill="F7F8F9"/>
            <w:vAlign w:val="top"/>
          </w:tcPr>
          <w:p>
            <w:pPr>
              <w:spacing w:after="0"/>
            </w:pPr>
            <w:r>
              <w:rPr>
                <w:sz w:val="13"/>
              </w:rPr>
              <w:t>Business capabilities supported</w:t>
            </w:r>
          </w:p>
        </w:tc>
        <w:tc>
          <w:tcPr>
            <w:tcW w:type="dxa" w:w="5074"/>
            <w:shd w:fill="F7F8F9"/>
            <w:vAlign w:val="top"/>
          </w:tcPr>
          <w:p>
            <w:pPr>
              <w:spacing w:after="0"/>
            </w:pPr>
            <w:r>
              <w:rPr>
                <w:sz w:val="13"/>
              </w:rPr>
              <w:t>Conditional multi-vendor network intent and lifecycle automation</w:t>
            </w:r>
          </w:p>
        </w:tc>
      </w:tr>
      <w:tr>
        <w:tc>
          <w:tcPr>
            <w:tcW w:type="dxa" w:w="5074"/>
            <w:vAlign w:val="top"/>
          </w:tcPr>
          <w:p>
            <w:pPr>
              <w:spacing w:after="0"/>
            </w:pPr>
            <w:r>
              <w:rPr>
                <w:sz w:val="13"/>
              </w:rPr>
              <w:t>Technical capabilities</w:t>
            </w:r>
          </w:p>
        </w:tc>
        <w:tc>
          <w:tcPr>
            <w:tcW w:type="dxa" w:w="5074"/>
            <w:vAlign w:val="top"/>
          </w:tcPr>
          <w:p>
            <w:pPr>
              <w:spacing w:after="0"/>
            </w:pPr>
            <w:r>
              <w:rPr>
                <w:sz w:val="13"/>
              </w:rPr>
              <w:t>Managed Nephio-based network automation integrated with Google Cloud IAM, logging, monitoring, billing and regional resource controls.</w:t>
            </w:r>
          </w:p>
        </w:tc>
      </w:tr>
      <w:tr>
        <w:tc>
          <w:tcPr>
            <w:tcW w:type="dxa" w:w="5074"/>
            <w:shd w:fill="F7F8F9"/>
            <w:vAlign w:val="top"/>
          </w:tcPr>
          <w:p>
            <w:pPr>
              <w:spacing w:after="0"/>
            </w:pPr>
            <w:r>
              <w:rPr>
                <w:sz w:val="13"/>
              </w:rPr>
              <w:t>Benefits</w:t>
            </w:r>
          </w:p>
        </w:tc>
        <w:tc>
          <w:tcPr>
            <w:tcW w:type="dxa" w:w="5074"/>
            <w:shd w:fill="F7F8F9"/>
            <w:vAlign w:val="top"/>
          </w:tcPr>
          <w:p>
            <w:pPr>
              <w:spacing w:after="0"/>
            </w:pPr>
            <w:r>
              <w:rPr>
                <w:sz w:val="13"/>
              </w:rPr>
              <w:t>Managed scale, reduced infrastructure operations, integration with the inherited data-to-AI platform and reusable enterprise controls.</w:t>
            </w:r>
          </w:p>
        </w:tc>
      </w:tr>
      <w:tr>
        <w:tc>
          <w:tcPr>
            <w:tcW w:type="dxa" w:w="5074"/>
            <w:vAlign w:val="top"/>
          </w:tcPr>
          <w:p>
            <w:pPr>
              <w:spacing w:after="0"/>
            </w:pPr>
            <w:r>
              <w:rPr>
                <w:sz w:val="13"/>
              </w:rPr>
              <w:t>Limitations</w:t>
            </w:r>
          </w:p>
        </w:tc>
        <w:tc>
          <w:tcPr>
            <w:tcW w:type="dxa" w:w="5074"/>
            <w:vAlign w:val="top"/>
          </w:tcPr>
          <w:p>
            <w:pPr>
              <w:spacing w:after="0"/>
            </w:pPr>
            <w:r>
              <w:rPr>
                <w:sz w:val="13"/>
              </w:rPr>
              <w:t>Exact features, launch stage, locations, quotas and security-control support vary. Industry suitability and legal scope must be validated.</w:t>
            </w:r>
          </w:p>
        </w:tc>
      </w:tr>
      <w:tr>
        <w:tc>
          <w:tcPr>
            <w:tcW w:type="dxa" w:w="5074"/>
            <w:shd w:fill="F7F8F9"/>
            <w:vAlign w:val="top"/>
          </w:tcPr>
          <w:p>
            <w:pPr>
              <w:spacing w:after="0"/>
            </w:pPr>
            <w:r>
              <w:rPr>
                <w:sz w:val="13"/>
              </w:rPr>
              <w:t>Service quotas</w:t>
            </w:r>
          </w:p>
        </w:tc>
        <w:tc>
          <w:tcPr>
            <w:tcW w:type="dxa" w:w="5074"/>
            <w:shd w:fill="F7F8F9"/>
            <w:vAlign w:val="top"/>
          </w:tcPr>
          <w:p>
            <w:pPr>
              <w:spacing w:after="0"/>
            </w:pPr>
            <w:r>
              <w:rPr>
                <w:sz w:val="13"/>
              </w:rPr>
              <w:t>Validate project, region, throughput, resource-count, API and concurrency quotas; load-test and request increases before production.</w:t>
            </w:r>
          </w:p>
        </w:tc>
      </w:tr>
      <w:tr>
        <w:tc>
          <w:tcPr>
            <w:tcW w:type="dxa" w:w="5074"/>
            <w:vAlign w:val="top"/>
          </w:tcPr>
          <w:p>
            <w:pPr>
              <w:spacing w:after="0"/>
            </w:pPr>
            <w:r>
              <w:rPr>
                <w:sz w:val="13"/>
              </w:rPr>
              <w:t>Regional availability considerations</w:t>
            </w:r>
          </w:p>
        </w:tc>
        <w:tc>
          <w:tcPr>
            <w:tcW w:type="dxa" w:w="5074"/>
            <w:vAlign w:val="top"/>
          </w:tcPr>
          <w:p>
            <w:pPr>
              <w:spacing w:after="0"/>
            </w:pPr>
            <w:r>
              <w:rPr>
                <w:sz w:val="13"/>
              </w:rPr>
              <w:t>Deploy in the approved industry regional data plane. Do not assume global endpoints satisfy residency requirements.</w:t>
            </w:r>
          </w:p>
        </w:tc>
      </w:tr>
      <w:tr>
        <w:tc>
          <w:tcPr>
            <w:tcW w:type="dxa" w:w="5074"/>
            <w:shd w:fill="F7F8F9"/>
            <w:vAlign w:val="top"/>
          </w:tcPr>
          <w:p>
            <w:pPr>
              <w:spacing w:after="0"/>
            </w:pPr>
            <w:r>
              <w:rPr>
                <w:sz w:val="13"/>
              </w:rPr>
              <w:t>High-availability characteristics</w:t>
            </w:r>
          </w:p>
        </w:tc>
        <w:tc>
          <w:tcPr>
            <w:tcW w:type="dxa" w:w="5074"/>
            <w:shd w:fill="F7F8F9"/>
            <w:vAlign w:val="top"/>
          </w:tcPr>
          <w:p>
            <w:pPr>
              <w:spacing w:after="0"/>
            </w:pPr>
            <w:r>
              <w:rPr>
                <w:sz w:val="13"/>
              </w:rPr>
              <w:t>Use documented managed-service characteristics plus application retries, multi-zone dependencies and degraded modes. Do not infer cross-region failover.</w:t>
            </w:r>
          </w:p>
        </w:tc>
      </w:tr>
      <w:tr>
        <w:tc>
          <w:tcPr>
            <w:tcW w:type="dxa" w:w="5074"/>
            <w:vAlign w:val="top"/>
          </w:tcPr>
          <w:p>
            <w:pPr>
              <w:spacing w:after="0"/>
            </w:pPr>
            <w:r>
              <w:rPr>
                <w:sz w:val="13"/>
              </w:rPr>
              <w:t>Disaster-recovery considerations</w:t>
            </w:r>
          </w:p>
        </w:tc>
        <w:tc>
          <w:tcPr>
            <w:tcW w:type="dxa" w:w="5074"/>
            <w:vAlign w:val="top"/>
          </w:tcPr>
          <w:p>
            <w:pPr>
              <w:spacing w:after="0"/>
            </w:pPr>
            <w:r>
              <w:rPr>
                <w:sz w:val="13"/>
              </w:rPr>
              <w:t>Retain source/release artifacts and a tested rebuild, replay, replication or alternate-region path aligned to Volume 12.</w:t>
            </w:r>
          </w:p>
        </w:tc>
      </w:tr>
      <w:tr>
        <w:tc>
          <w:tcPr>
            <w:tcW w:type="dxa" w:w="5074"/>
            <w:shd w:fill="F7F8F9"/>
            <w:vAlign w:val="top"/>
          </w:tcPr>
          <w:p>
            <w:pPr>
              <w:spacing w:after="0"/>
            </w:pPr>
            <w:r>
              <w:rPr>
                <w:sz w:val="13"/>
              </w:rPr>
              <w:t>Security model</w:t>
            </w:r>
          </w:p>
        </w:tc>
        <w:tc>
          <w:tcPr>
            <w:tcW w:type="dxa" w:w="5074"/>
            <w:shd w:fill="F7F8F9"/>
            <w:vAlign w:val="top"/>
          </w:tcPr>
          <w:p>
            <w:pPr>
              <w:spacing w:after="0"/>
            </w:pPr>
            <w:r>
              <w:rPr>
                <w:sz w:val="13"/>
              </w:rPr>
              <w:t>Least privilege, workload identity, classification, application authorization, audit and use-case controls; no direct broad user access.</w:t>
            </w:r>
          </w:p>
        </w:tc>
      </w:tr>
      <w:tr>
        <w:tc>
          <w:tcPr>
            <w:tcW w:type="dxa" w:w="5074"/>
            <w:vAlign w:val="top"/>
          </w:tcPr>
          <w:p>
            <w:pPr>
              <w:spacing w:after="0"/>
            </w:pPr>
            <w:r>
              <w:rPr>
                <w:sz w:val="13"/>
              </w:rPr>
              <w:t>IAM requirements</w:t>
            </w:r>
          </w:p>
        </w:tc>
        <w:tc>
          <w:tcPr>
            <w:tcW w:type="dxa" w:w="5074"/>
            <w:vAlign w:val="top"/>
          </w:tcPr>
          <w:p>
            <w:pPr>
              <w:spacing w:after="0"/>
            </w:pPr>
            <w:r>
              <w:rPr>
                <w:sz w:val="13"/>
              </w:rPr>
              <w:t>Separate platform admin, deployer, runtime, operator, data owner and auditor. Use groups, dedicated service accounts and short-lived credentials.</w:t>
            </w:r>
          </w:p>
        </w:tc>
      </w:tr>
      <w:tr>
        <w:tc>
          <w:tcPr>
            <w:tcW w:type="dxa" w:w="5074"/>
            <w:shd w:fill="F7F8F9"/>
            <w:vAlign w:val="top"/>
          </w:tcPr>
          <w:p>
            <w:pPr>
              <w:spacing w:after="0"/>
            </w:pPr>
            <w:r>
              <w:rPr>
                <w:sz w:val="13"/>
              </w:rPr>
              <w:t>Network requirements</w:t>
            </w:r>
          </w:p>
        </w:tc>
        <w:tc>
          <w:tcPr>
            <w:tcW w:type="dxa" w:w="5074"/>
            <w:shd w:fill="F7F8F9"/>
            <w:vAlign w:val="top"/>
          </w:tcPr>
          <w:p>
            <w:pPr>
              <w:spacing w:after="0"/>
            </w:pPr>
            <w:r>
              <w:rPr>
                <w:sz w:val="13"/>
              </w:rPr>
              <w:t>Private Google access/PSC or private interfaces where supported, controlled DNS/egress and approved Shared VPC paths.</w:t>
            </w:r>
          </w:p>
        </w:tc>
      </w:tr>
      <w:tr>
        <w:tc>
          <w:tcPr>
            <w:tcW w:type="dxa" w:w="5074"/>
            <w:vAlign w:val="top"/>
          </w:tcPr>
          <w:p>
            <w:pPr>
              <w:spacing w:after="0"/>
            </w:pPr>
            <w:r>
              <w:rPr>
                <w:sz w:val="13"/>
              </w:rPr>
              <w:t>VPC Service Controls considerations</w:t>
            </w:r>
          </w:p>
        </w:tc>
        <w:tc>
          <w:tcPr>
            <w:tcW w:type="dxa" w:w="5074"/>
            <w:vAlign w:val="top"/>
          </w:tcPr>
          <w:p>
            <w:pPr>
              <w:spacing w:after="0"/>
            </w:pPr>
            <w:r>
              <w:rPr>
                <w:sz w:val="13"/>
              </w:rPr>
              <w:t>Include supported services in appropriate perimeters and test ingress/egress and service-agent dependencies. Feature-level support must be verified.</w:t>
            </w:r>
          </w:p>
        </w:tc>
      </w:tr>
      <w:tr>
        <w:tc>
          <w:tcPr>
            <w:tcW w:type="dxa" w:w="5074"/>
            <w:shd w:fill="F7F8F9"/>
            <w:vAlign w:val="top"/>
          </w:tcPr>
          <w:p>
            <w:pPr>
              <w:spacing w:after="0"/>
            </w:pPr>
            <w:r>
              <w:rPr>
                <w:sz w:val="13"/>
              </w:rPr>
              <w:t>Encryption capabilities</w:t>
            </w:r>
          </w:p>
        </w:tc>
        <w:tc>
          <w:tcPr>
            <w:tcW w:type="dxa" w:w="5074"/>
            <w:shd w:fill="F7F8F9"/>
            <w:vAlign w:val="top"/>
          </w:tcPr>
          <w:p>
            <w:pPr>
              <w:spacing w:after="0"/>
            </w:pPr>
            <w:r>
              <w:rPr>
                <w:sz w:val="13"/>
              </w:rPr>
              <w:t>Google-managed encryption by default and TLS in transit. Protect source, derivative, cache, index, model and evidence artifacts.</w:t>
            </w:r>
          </w:p>
        </w:tc>
      </w:tr>
      <w:tr>
        <w:tc>
          <w:tcPr>
            <w:tcW w:type="dxa" w:w="5074"/>
            <w:vAlign w:val="top"/>
          </w:tcPr>
          <w:p>
            <w:pPr>
              <w:spacing w:after="0"/>
            </w:pPr>
            <w:r>
              <w:rPr>
                <w:sz w:val="13"/>
              </w:rPr>
              <w:t>CMEK support</w:t>
            </w:r>
          </w:p>
        </w:tc>
        <w:tc>
          <w:tcPr>
            <w:tcW w:type="dxa" w:w="5074"/>
            <w:vAlign w:val="top"/>
          </w:tcPr>
          <w:p>
            <w:pPr>
              <w:spacing w:after="0"/>
            </w:pPr>
            <w:r>
              <w:rPr>
                <w:sz w:val="13"/>
              </w:rPr>
              <w:t>Use where mandated and supported; validate exact resource/location, service-agent permission, rotation and recovery effects.</w:t>
            </w:r>
          </w:p>
        </w:tc>
      </w:tr>
      <w:tr>
        <w:tc>
          <w:tcPr>
            <w:tcW w:type="dxa" w:w="5074"/>
            <w:shd w:fill="F7F8F9"/>
            <w:vAlign w:val="top"/>
          </w:tcPr>
          <w:p>
            <w:pPr>
              <w:spacing w:after="0"/>
            </w:pPr>
            <w:r>
              <w:rPr>
                <w:sz w:val="13"/>
              </w:rPr>
              <w:t>Logging</w:t>
            </w:r>
          </w:p>
        </w:tc>
        <w:tc>
          <w:tcPr>
            <w:tcW w:type="dxa" w:w="5074"/>
            <w:shd w:fill="F7F8F9"/>
            <w:vAlign w:val="top"/>
          </w:tcPr>
          <w:p>
            <w:pPr>
              <w:spacing w:after="0"/>
            </w:pPr>
            <w:r>
              <w:rPr>
                <w:sz w:val="13"/>
              </w:rPr>
              <w:t>Enable required audit and application logs; exclude or redact PHI, payment, transaction, CPNI, secrets and full prompts unless explicitly approved.</w:t>
            </w:r>
          </w:p>
        </w:tc>
      </w:tr>
      <w:tr>
        <w:tc>
          <w:tcPr>
            <w:tcW w:type="dxa" w:w="5074"/>
            <w:vAlign w:val="top"/>
          </w:tcPr>
          <w:p>
            <w:pPr>
              <w:spacing w:after="0"/>
            </w:pPr>
            <w:r>
              <w:rPr>
                <w:sz w:val="13"/>
              </w:rPr>
              <w:t>Monitoring</w:t>
            </w:r>
          </w:p>
        </w:tc>
        <w:tc>
          <w:tcPr>
            <w:tcW w:type="dxa" w:w="5074"/>
            <w:vAlign w:val="top"/>
          </w:tcPr>
          <w:p>
            <w:pPr>
              <w:spacing w:after="0"/>
            </w:pPr>
            <w:r>
              <w:rPr>
                <w:sz w:val="13"/>
              </w:rPr>
              <w:t>Track availability, latency, errors, saturation, freshness, quality, security, quota and cost appropriate to the service.</w:t>
            </w:r>
          </w:p>
        </w:tc>
      </w:tr>
      <w:tr>
        <w:tc>
          <w:tcPr>
            <w:tcW w:type="dxa" w:w="5074"/>
            <w:shd w:fill="F7F8F9"/>
            <w:vAlign w:val="top"/>
          </w:tcPr>
          <w:p>
            <w:pPr>
              <w:spacing w:after="0"/>
            </w:pPr>
            <w:r>
              <w:rPr>
                <w:sz w:val="13"/>
              </w:rPr>
              <w:t>Alerting</w:t>
            </w:r>
          </w:p>
        </w:tc>
        <w:tc>
          <w:tcPr>
            <w:tcW w:type="dxa" w:w="5074"/>
            <w:shd w:fill="F7F8F9"/>
            <w:vAlign w:val="top"/>
          </w:tcPr>
          <w:p>
            <w:pPr>
              <w:spacing w:after="0"/>
            </w:pPr>
            <w:r>
              <w:rPr>
                <w:sz w:val="13"/>
              </w:rPr>
              <w:t>Use symptom/SLO-based pages for user impact and routed tickets for trends, lifecycle, quota and optimization findings.</w:t>
            </w:r>
          </w:p>
        </w:tc>
      </w:tr>
      <w:tr>
        <w:tc>
          <w:tcPr>
            <w:tcW w:type="dxa" w:w="5074"/>
            <w:vAlign w:val="top"/>
          </w:tcPr>
          <w:p>
            <w:pPr>
              <w:spacing w:after="0"/>
            </w:pPr>
            <w:r>
              <w:rPr>
                <w:sz w:val="13"/>
              </w:rPr>
              <w:t>Cost drivers</w:t>
            </w:r>
          </w:p>
        </w:tc>
        <w:tc>
          <w:tcPr>
            <w:tcW w:type="dxa" w:w="5074"/>
            <w:vAlign w:val="top"/>
          </w:tcPr>
          <w:p>
            <w:pPr>
              <w:spacing w:after="0"/>
            </w:pPr>
            <w:r>
              <w:rPr>
                <w:sz w:val="13"/>
              </w:rPr>
              <w:t>Usage-specific compute, storage, request, data processing, streaming, network, token, index or licensed capacity variables.</w:t>
            </w:r>
          </w:p>
        </w:tc>
      </w:tr>
      <w:tr>
        <w:tc>
          <w:tcPr>
            <w:tcW w:type="dxa" w:w="5074"/>
            <w:shd w:fill="F7F8F9"/>
            <w:vAlign w:val="top"/>
          </w:tcPr>
          <w:p>
            <w:pPr>
              <w:spacing w:after="0"/>
            </w:pPr>
            <w:r>
              <w:rPr>
                <w:sz w:val="13"/>
              </w:rPr>
              <w:t>Cost-optimization techniques</w:t>
            </w:r>
          </w:p>
        </w:tc>
        <w:tc>
          <w:tcPr>
            <w:tcW w:type="dxa" w:w="5074"/>
            <w:shd w:fill="F7F8F9"/>
            <w:vAlign w:val="top"/>
          </w:tcPr>
          <w:p>
            <w:pPr>
              <w:spacing w:after="0"/>
            </w:pPr>
            <w:r>
              <w:rPr>
                <w:sz w:val="13"/>
              </w:rPr>
              <w:t>Right-size, batch, partition, compress, lifecycle, cache safely, control context/logging and remove idle resources without weakening controls.</w:t>
            </w:r>
          </w:p>
        </w:tc>
      </w:tr>
      <w:tr>
        <w:tc>
          <w:tcPr>
            <w:tcW w:type="dxa" w:w="5074"/>
            <w:vAlign w:val="top"/>
          </w:tcPr>
          <w:p>
            <w:pPr>
              <w:spacing w:after="0"/>
            </w:pPr>
            <w:r>
              <w:rPr>
                <w:sz w:val="13"/>
              </w:rPr>
              <w:t>Operational responsibilities</w:t>
            </w:r>
          </w:p>
        </w:tc>
        <w:tc>
          <w:tcPr>
            <w:tcW w:type="dxa" w:w="5074"/>
            <w:vAlign w:val="top"/>
          </w:tcPr>
          <w:p>
            <w:pPr>
              <w:spacing w:after="0"/>
            </w:pPr>
            <w:r>
              <w:rPr>
                <w:sz w:val="13"/>
              </w:rPr>
              <w:t>Central platform owns common service health and modules; industry/domain teams own data/product quality and outcomes; SRE owns production practice.</w:t>
            </w:r>
          </w:p>
        </w:tc>
      </w:tr>
      <w:tr>
        <w:tc>
          <w:tcPr>
            <w:tcW w:type="dxa" w:w="5074"/>
            <w:shd w:fill="F7F8F9"/>
            <w:vAlign w:val="top"/>
          </w:tcPr>
          <w:p>
            <w:pPr>
              <w:spacing w:after="0"/>
            </w:pPr>
            <w:r>
              <w:rPr>
                <w:sz w:val="13"/>
              </w:rPr>
              <w:t>Integration points</w:t>
            </w:r>
          </w:p>
        </w:tc>
        <w:tc>
          <w:tcPr>
            <w:tcW w:type="dxa" w:w="5074"/>
            <w:shd w:fill="F7F8F9"/>
            <w:vAlign w:val="top"/>
          </w:tcPr>
          <w:p>
            <w:pPr>
              <w:spacing w:after="0"/>
            </w:pPr>
            <w:r>
              <w:rPr>
                <w:sz w:val="13"/>
              </w:rPr>
              <w:t>Cloud Storage, BigQuery, Pub/Sub, Dataflow, Dataform, IAM, KMS, Logging, Monitoring, catalog, applications and industry sources.</w:t>
            </w:r>
          </w:p>
        </w:tc>
      </w:tr>
      <w:tr>
        <w:tc>
          <w:tcPr>
            <w:tcW w:type="dxa" w:w="5074"/>
            <w:vAlign w:val="top"/>
          </w:tcPr>
          <w:p>
            <w:pPr>
              <w:spacing w:after="0"/>
            </w:pPr>
            <w:r>
              <w:rPr>
                <w:sz w:val="13"/>
              </w:rPr>
              <w:t>Alternatives</w:t>
            </w:r>
          </w:p>
        </w:tc>
        <w:tc>
          <w:tcPr>
            <w:tcW w:type="dxa" w:w="5074"/>
            <w:vAlign w:val="top"/>
          </w:tcPr>
          <w:p>
            <w:pPr>
              <w:spacing w:after="0"/>
            </w:pPr>
            <w:r>
              <w:rPr>
                <w:sz w:val="13"/>
              </w:rPr>
              <w:t>Another managed Google Cloud service, approved third-party platform, Cloud Run/GKE or a simpler non-AI/non-streaming design depending on requirement.</w:t>
            </w:r>
          </w:p>
        </w:tc>
      </w:tr>
      <w:tr>
        <w:tc>
          <w:tcPr>
            <w:tcW w:type="dxa" w:w="5074"/>
            <w:shd w:fill="F7F8F9"/>
            <w:vAlign w:val="top"/>
          </w:tcPr>
          <w:p>
            <w:pPr>
              <w:spacing w:after="0"/>
            </w:pPr>
            <w:r>
              <w:rPr>
                <w:sz w:val="13"/>
              </w:rPr>
              <w:t>Selection criteria</w:t>
            </w:r>
          </w:p>
        </w:tc>
        <w:tc>
          <w:tcPr>
            <w:tcW w:type="dxa" w:w="5074"/>
            <w:shd w:fill="F7F8F9"/>
            <w:vAlign w:val="top"/>
          </w:tcPr>
          <w:p>
            <w:pPr>
              <w:spacing w:after="0"/>
            </w:pPr>
            <w:r>
              <w:rPr>
                <w:sz w:val="13"/>
              </w:rPr>
              <w:t>Business outcome, semantics, regulatory fit, region, security, scale, latency, skills, operability, economics and exit path.</w:t>
            </w:r>
          </w:p>
        </w:tc>
      </w:tr>
      <w:tr>
        <w:tc>
          <w:tcPr>
            <w:tcW w:type="dxa" w:w="5074"/>
            <w:vAlign w:val="top"/>
          </w:tcPr>
          <w:p>
            <w:pPr>
              <w:spacing w:after="0"/>
            </w:pPr>
            <w:r>
              <w:rPr>
                <w:sz w:val="13"/>
              </w:rPr>
              <w:t>Best practices</w:t>
            </w:r>
          </w:p>
        </w:tc>
        <w:tc>
          <w:tcPr>
            <w:tcW w:type="dxa" w:w="5074"/>
            <w:vAlign w:val="top"/>
          </w:tcPr>
          <w:p>
            <w:pPr>
              <w:spacing w:after="0"/>
            </w:pPr>
            <w:r>
              <w:rPr>
                <w:sz w:val="13"/>
              </w:rPr>
              <w:t>Regional alignment, immutable artifacts, explicit contracts, version pinning, least privilege, evaluation, SLOs, labels, budgets and tested recovery.</w:t>
            </w:r>
          </w:p>
        </w:tc>
      </w:tr>
      <w:tr>
        <w:tc>
          <w:tcPr>
            <w:tcW w:type="dxa" w:w="5074"/>
            <w:shd w:fill="F7F8F9"/>
            <w:vAlign w:val="top"/>
          </w:tcPr>
          <w:p>
            <w:pPr>
              <w:spacing w:after="0"/>
            </w:pPr>
            <w:r>
              <w:rPr>
                <w:sz w:val="13"/>
              </w:rPr>
              <w:t>Reference architecture</w:t>
            </w:r>
          </w:p>
        </w:tc>
        <w:tc>
          <w:tcPr>
            <w:tcW w:type="dxa" w:w="5074"/>
            <w:shd w:fill="F7F8F9"/>
            <w:vAlign w:val="top"/>
          </w:tcPr>
          <w:p>
            <w:pPr>
              <w:spacing w:after="0"/>
            </w:pPr>
            <w:r>
              <w:rPr>
                <w:sz w:val="13"/>
              </w:rPr>
              <w:t>Industry source -&gt; governed ingestion -&gt; protected data foundation -&gt; domain data product -&gt; analytics/AI, with security and operations across every plane.</w:t>
            </w:r>
          </w:p>
        </w:tc>
      </w:tr>
      <w:tr>
        <w:tc>
          <w:tcPr>
            <w:tcW w:type="dxa" w:w="5074"/>
            <w:vAlign w:val="top"/>
          </w:tcPr>
          <w:p>
            <w:pPr>
              <w:spacing w:after="0"/>
            </w:pPr>
            <w:r>
              <w:rPr>
                <w:sz w:val="13"/>
              </w:rPr>
              <w:t>Sample configuration</w:t>
            </w:r>
          </w:p>
        </w:tc>
        <w:tc>
          <w:tcPr>
            <w:tcW w:type="dxa" w:w="5074"/>
            <w:vAlign w:val="top"/>
          </w:tcPr>
          <w:p>
            <w:pPr>
              <w:spacing w:after="0"/>
            </w:pPr>
            <w:r>
              <w:rPr>
                <w:sz w:val="13"/>
              </w:rPr>
              <w:t>See examples/common and industry-specific example folders. Validate exact APIs and provider syntax before use.</w:t>
            </w:r>
          </w:p>
        </w:tc>
      </w:tr>
      <w:tr>
        <w:tc>
          <w:tcPr>
            <w:tcW w:type="dxa" w:w="5074"/>
            <w:shd w:fill="F7F8F9"/>
            <w:vAlign w:val="top"/>
          </w:tcPr>
          <w:p>
            <w:pPr>
              <w:spacing w:after="0"/>
            </w:pPr>
            <w:r>
              <w:rPr>
                <w:sz w:val="13"/>
              </w:rPr>
              <w:t>Common pitfalls</w:t>
            </w:r>
          </w:p>
        </w:tc>
        <w:tc>
          <w:tcPr>
            <w:tcW w:type="dxa" w:w="5074"/>
            <w:shd w:fill="F7F8F9"/>
            <w:vAlign w:val="top"/>
          </w:tcPr>
          <w:p>
            <w:pPr>
              <w:spacing w:after="0"/>
            </w:pPr>
            <w:r>
              <w:rPr>
                <w:sz w:val="13"/>
              </w:rPr>
              <w:t>Broad IAM, ownerless data, preview treated as GA, uncontrolled logging, missing reconciliation, untested quotas and no rollback.</w:t>
            </w:r>
          </w:p>
        </w:tc>
      </w:tr>
      <w:tr>
        <w:tc>
          <w:tcPr>
            <w:tcW w:type="dxa" w:w="5074"/>
            <w:vAlign w:val="top"/>
          </w:tcPr>
          <w:p>
            <w:pPr>
              <w:spacing w:after="0"/>
            </w:pPr>
            <w:r>
              <w:rPr>
                <w:sz w:val="13"/>
              </w:rPr>
              <w:t>Anti-patterns</w:t>
            </w:r>
          </w:p>
        </w:tc>
        <w:tc>
          <w:tcPr>
            <w:tcW w:type="dxa" w:w="5074"/>
            <w:vAlign w:val="top"/>
          </w:tcPr>
          <w:p>
            <w:pPr>
              <w:spacing w:after="0"/>
            </w:pPr>
            <w:r>
              <w:rPr>
                <w:sz w:val="13"/>
              </w:rPr>
              <w:t>Console-only production, unversioned models/prompts, direct raw-data access, model as authorization, autonomous high-impact action without approval.</w:t>
            </w:r>
          </w:p>
        </w:tc>
      </w:tr>
      <w:tr>
        <w:tc>
          <w:tcPr>
            <w:tcW w:type="dxa" w:w="5074"/>
            <w:shd w:fill="F7F8F9"/>
            <w:vAlign w:val="top"/>
          </w:tcPr>
          <w:p>
            <w:pPr>
              <w:spacing w:after="0"/>
            </w:pPr>
            <w:r>
              <w:rPr>
                <w:sz w:val="13"/>
              </w:rPr>
              <w:t>Production-readiness checklist</w:t>
            </w:r>
          </w:p>
        </w:tc>
        <w:tc>
          <w:tcPr>
            <w:tcW w:type="dxa" w:w="5074"/>
            <w:shd w:fill="F7F8F9"/>
            <w:vAlign w:val="top"/>
          </w:tcPr>
          <w:p>
            <w:pPr>
              <w:spacing w:after="0"/>
            </w:pPr>
            <w:r>
              <w:rPr>
                <w:sz w:val="13"/>
              </w:rPr>
              <w:t>Industry/regulatory approval; region/data classification; IAM/network/perimeter/key validation; load/quota tests; SLO/alerts/runbook; recovery; cost owner; rollback.</w:t>
            </w:r>
          </w:p>
        </w:tc>
      </w:tr>
    </w:tbl>
    <w:p>
      <w:pPr>
        <w:spacing w:after="0"/>
      </w:pPr>
    </w:p>
    <w:p>
      <w:r>
        <w:br w:type="page"/>
      </w:r>
    </w:p>
    <w:p>
      <w:pPr>
        <w:pStyle w:val="Heading1"/>
      </w:pPr>
      <w:r>
        <w:t>9. Architecture Decision Records</w:t>
      </w:r>
    </w:p>
    <w:p>
      <w:r>
        <w:t>Twenty industry and cross-industry ADRs are included as complete Markdown records in the package. The table below is the volume index.</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ADR ID</w:t>
            </w:r>
          </w:p>
        </w:tc>
        <w:tc>
          <w:tcPr>
            <w:tcW w:type="dxa" w:w="5074"/>
            <w:shd w:fill="174EA6"/>
          </w:tcPr>
          <w:p>
            <w:pPr>
              <w:spacing w:after="0"/>
            </w:pPr>
            <w:r>
              <w:rPr>
                <w:b/>
                <w:color w:val="FFFFFF"/>
                <w:sz w:val="14"/>
              </w:rPr>
              <w:t>Decision title</w:t>
            </w:r>
          </w:p>
        </w:tc>
      </w:tr>
      <w:tr>
        <w:tc>
          <w:tcPr>
            <w:tcW w:type="dxa" w:w="5074"/>
            <w:vAlign w:val="top"/>
          </w:tcPr>
          <w:p>
            <w:pPr>
              <w:spacing w:after="0"/>
            </w:pPr>
            <w:r>
              <w:rPr>
                <w:sz w:val="14"/>
              </w:rPr>
              <w:t>ADR-1401</w:t>
            </w:r>
          </w:p>
        </w:tc>
        <w:tc>
          <w:tcPr>
            <w:tcW w:type="dxa" w:w="5074"/>
            <w:vAlign w:val="top"/>
          </w:tcPr>
          <w:p>
            <w:pPr>
              <w:spacing w:after="0"/>
            </w:pPr>
            <w:r>
              <w:rPr>
                <w:sz w:val="14"/>
              </w:rPr>
              <w:t>Adopt shared platform controls with industry-specific product domains</w:t>
            </w:r>
          </w:p>
        </w:tc>
      </w:tr>
      <w:tr>
        <w:tc>
          <w:tcPr>
            <w:tcW w:type="dxa" w:w="5074"/>
            <w:shd w:fill="F7F8F9"/>
            <w:vAlign w:val="top"/>
          </w:tcPr>
          <w:p>
            <w:pPr>
              <w:spacing w:after="0"/>
            </w:pPr>
            <w:r>
              <w:rPr>
                <w:sz w:val="14"/>
              </w:rPr>
              <w:t>ADR-1402</w:t>
            </w:r>
          </w:p>
        </w:tc>
        <w:tc>
          <w:tcPr>
            <w:tcW w:type="dxa" w:w="5074"/>
            <w:shd w:fill="F7F8F9"/>
            <w:vAlign w:val="top"/>
          </w:tcPr>
          <w:p>
            <w:pPr>
              <w:spacing w:after="0"/>
            </w:pPr>
            <w:r>
              <w:rPr>
                <w:sz w:val="14"/>
              </w:rPr>
              <w:t>Use regional data planes for regulated industry data</w:t>
            </w:r>
          </w:p>
        </w:tc>
      </w:tr>
      <w:tr>
        <w:tc>
          <w:tcPr>
            <w:tcW w:type="dxa" w:w="5074"/>
            <w:vAlign w:val="top"/>
          </w:tcPr>
          <w:p>
            <w:pPr>
              <w:spacing w:after="0"/>
            </w:pPr>
            <w:r>
              <w:rPr>
                <w:sz w:val="14"/>
              </w:rPr>
              <w:t>ADR-1403</w:t>
            </w:r>
          </w:p>
        </w:tc>
        <w:tc>
          <w:tcPr>
            <w:tcW w:type="dxa" w:w="5074"/>
            <w:vAlign w:val="top"/>
          </w:tcPr>
          <w:p>
            <w:pPr>
              <w:spacing w:after="0"/>
            </w:pPr>
            <w:r>
              <w:rPr>
                <w:sz w:val="14"/>
              </w:rPr>
              <w:t>Apply data-mesh ownership to industry products</w:t>
            </w:r>
          </w:p>
        </w:tc>
      </w:tr>
      <w:tr>
        <w:tc>
          <w:tcPr>
            <w:tcW w:type="dxa" w:w="5074"/>
            <w:shd w:fill="F7F8F9"/>
            <w:vAlign w:val="top"/>
          </w:tcPr>
          <w:p>
            <w:pPr>
              <w:spacing w:after="0"/>
            </w:pPr>
            <w:r>
              <w:rPr>
                <w:sz w:val="14"/>
              </w:rPr>
              <w:t>ADR-1404</w:t>
            </w:r>
          </w:p>
        </w:tc>
        <w:tc>
          <w:tcPr>
            <w:tcW w:type="dxa" w:w="5074"/>
            <w:shd w:fill="F7F8F9"/>
            <w:vAlign w:val="top"/>
          </w:tcPr>
          <w:p>
            <w:pPr>
              <w:spacing w:after="0"/>
            </w:pPr>
            <w:r>
              <w:rPr>
                <w:sz w:val="14"/>
              </w:rPr>
              <w:t>Use governed AI with human authority for high-impact decisions</w:t>
            </w:r>
          </w:p>
        </w:tc>
      </w:tr>
      <w:tr>
        <w:tc>
          <w:tcPr>
            <w:tcW w:type="dxa" w:w="5074"/>
            <w:vAlign w:val="top"/>
          </w:tcPr>
          <w:p>
            <w:pPr>
              <w:spacing w:after="0"/>
            </w:pPr>
            <w:r>
              <w:rPr>
                <w:sz w:val="14"/>
              </w:rPr>
              <w:t>H-ADR-01</w:t>
            </w:r>
          </w:p>
        </w:tc>
        <w:tc>
          <w:tcPr>
            <w:tcW w:type="dxa" w:w="5074"/>
            <w:vAlign w:val="top"/>
          </w:tcPr>
          <w:p>
            <w:pPr>
              <w:spacing w:after="0"/>
            </w:pPr>
            <w:r>
              <w:rPr>
                <w:sz w:val="14"/>
              </w:rPr>
              <w:t>Use Cloud Healthcare API for FHIR/HL7v2/DICOM interoperability</w:t>
            </w:r>
          </w:p>
        </w:tc>
      </w:tr>
      <w:tr>
        <w:tc>
          <w:tcPr>
            <w:tcW w:type="dxa" w:w="5074"/>
            <w:shd w:fill="F7F8F9"/>
            <w:vAlign w:val="top"/>
          </w:tcPr>
          <w:p>
            <w:pPr>
              <w:spacing w:after="0"/>
            </w:pPr>
            <w:r>
              <w:rPr>
                <w:sz w:val="14"/>
              </w:rPr>
              <w:t>H-ADR-02</w:t>
            </w:r>
          </w:p>
        </w:tc>
        <w:tc>
          <w:tcPr>
            <w:tcW w:type="dxa" w:w="5074"/>
            <w:shd w:fill="F7F8F9"/>
            <w:vAlign w:val="top"/>
          </w:tcPr>
          <w:p>
            <w:pPr>
              <w:spacing w:after="0"/>
            </w:pPr>
            <w:r>
              <w:rPr>
                <w:sz w:val="14"/>
              </w:rPr>
              <w:t>Separate identified clinical operations from de-identified research</w:t>
            </w:r>
          </w:p>
        </w:tc>
      </w:tr>
      <w:tr>
        <w:tc>
          <w:tcPr>
            <w:tcW w:type="dxa" w:w="5074"/>
            <w:vAlign w:val="top"/>
          </w:tcPr>
          <w:p>
            <w:pPr>
              <w:spacing w:after="0"/>
            </w:pPr>
            <w:r>
              <w:rPr>
                <w:sz w:val="14"/>
              </w:rPr>
              <w:t>H-ADR-03</w:t>
            </w:r>
          </w:p>
        </w:tc>
        <w:tc>
          <w:tcPr>
            <w:tcW w:type="dxa" w:w="5074"/>
            <w:vAlign w:val="top"/>
          </w:tcPr>
          <w:p>
            <w:pPr>
              <w:spacing w:after="0"/>
            </w:pPr>
            <w:r>
              <w:rPr>
                <w:sz w:val="14"/>
              </w:rPr>
              <w:t>Require human clinical authority for high-impact AI</w:t>
            </w:r>
          </w:p>
        </w:tc>
      </w:tr>
      <w:tr>
        <w:tc>
          <w:tcPr>
            <w:tcW w:type="dxa" w:w="5074"/>
            <w:shd w:fill="F7F8F9"/>
            <w:vAlign w:val="top"/>
          </w:tcPr>
          <w:p>
            <w:pPr>
              <w:spacing w:after="0"/>
            </w:pPr>
            <w:r>
              <w:rPr>
                <w:sz w:val="14"/>
              </w:rPr>
              <w:t>H-ADR-04</w:t>
            </w:r>
          </w:p>
        </w:tc>
        <w:tc>
          <w:tcPr>
            <w:tcW w:type="dxa" w:w="5074"/>
            <w:shd w:fill="F7F8F9"/>
            <w:vAlign w:val="top"/>
          </w:tcPr>
          <w:p>
            <w:pPr>
              <w:spacing w:after="0"/>
            </w:pPr>
            <w:r>
              <w:rPr>
                <w:sz w:val="14"/>
              </w:rPr>
              <w:t>Use regional PHI data planes and explicit cross-region approvals</w:t>
            </w:r>
          </w:p>
        </w:tc>
      </w:tr>
      <w:tr>
        <w:tc>
          <w:tcPr>
            <w:tcW w:type="dxa" w:w="5074"/>
            <w:vAlign w:val="top"/>
          </w:tcPr>
          <w:p>
            <w:pPr>
              <w:spacing w:after="0"/>
            </w:pPr>
            <w:r>
              <w:rPr>
                <w:sz w:val="14"/>
              </w:rPr>
              <w:t>B-ADR-01</w:t>
            </w:r>
          </w:p>
        </w:tc>
        <w:tc>
          <w:tcPr>
            <w:tcW w:type="dxa" w:w="5074"/>
            <w:vAlign w:val="top"/>
          </w:tcPr>
          <w:p>
            <w:pPr>
              <w:spacing w:after="0"/>
            </w:pPr>
            <w:r>
              <w:rPr>
                <w:sz w:val="14"/>
              </w:rPr>
              <w:t>Preserve system-of-record ledgers and use analytics copies</w:t>
            </w:r>
          </w:p>
        </w:tc>
      </w:tr>
      <w:tr>
        <w:tc>
          <w:tcPr>
            <w:tcW w:type="dxa" w:w="5074"/>
            <w:shd w:fill="F7F8F9"/>
            <w:vAlign w:val="top"/>
          </w:tcPr>
          <w:p>
            <w:pPr>
              <w:spacing w:after="0"/>
            </w:pPr>
            <w:r>
              <w:rPr>
                <w:sz w:val="14"/>
              </w:rPr>
              <w:t>B-ADR-02</w:t>
            </w:r>
          </w:p>
        </w:tc>
        <w:tc>
          <w:tcPr>
            <w:tcW w:type="dxa" w:w="5074"/>
            <w:shd w:fill="F7F8F9"/>
            <w:vAlign w:val="top"/>
          </w:tcPr>
          <w:p>
            <w:pPr>
              <w:spacing w:after="0"/>
            </w:pPr>
            <w:r>
              <w:rPr>
                <w:sz w:val="14"/>
              </w:rPr>
              <w:t>Use point-in-time financial data products for risk and AML</w:t>
            </w:r>
          </w:p>
        </w:tc>
      </w:tr>
      <w:tr>
        <w:tc>
          <w:tcPr>
            <w:tcW w:type="dxa" w:w="5074"/>
            <w:vAlign w:val="top"/>
          </w:tcPr>
          <w:p>
            <w:pPr>
              <w:spacing w:after="0"/>
            </w:pPr>
            <w:r>
              <w:rPr>
                <w:sz w:val="14"/>
              </w:rPr>
              <w:t>B-ADR-03</w:t>
            </w:r>
          </w:p>
        </w:tc>
        <w:tc>
          <w:tcPr>
            <w:tcW w:type="dxa" w:w="5074"/>
            <w:vAlign w:val="top"/>
          </w:tcPr>
          <w:p>
            <w:pPr>
              <w:spacing w:after="0"/>
            </w:pPr>
            <w:r>
              <w:rPr>
                <w:sz w:val="14"/>
              </w:rPr>
              <w:t>Adopt AML AI conditionally within supported product scope</w:t>
            </w:r>
          </w:p>
        </w:tc>
      </w:tr>
      <w:tr>
        <w:tc>
          <w:tcPr>
            <w:tcW w:type="dxa" w:w="5074"/>
            <w:shd w:fill="F7F8F9"/>
            <w:vAlign w:val="top"/>
          </w:tcPr>
          <w:p>
            <w:pPr>
              <w:spacing w:after="0"/>
            </w:pPr>
            <w:r>
              <w:rPr>
                <w:sz w:val="14"/>
              </w:rPr>
              <w:t>B-ADR-04</w:t>
            </w:r>
          </w:p>
        </w:tc>
        <w:tc>
          <w:tcPr>
            <w:tcW w:type="dxa" w:w="5074"/>
            <w:shd w:fill="F7F8F9"/>
            <w:vAlign w:val="top"/>
          </w:tcPr>
          <w:p>
            <w:pPr>
              <w:spacing w:after="0"/>
            </w:pPr>
            <w:r>
              <w:rPr>
                <w:sz w:val="14"/>
              </w:rPr>
              <w:t>Require dual control for high-impact data and model changes</w:t>
            </w:r>
          </w:p>
        </w:tc>
      </w:tr>
      <w:tr>
        <w:tc>
          <w:tcPr>
            <w:tcW w:type="dxa" w:w="5074"/>
            <w:vAlign w:val="top"/>
          </w:tcPr>
          <w:p>
            <w:pPr>
              <w:spacing w:after="0"/>
            </w:pPr>
            <w:r>
              <w:rPr>
                <w:sz w:val="14"/>
              </w:rPr>
              <w:t>R-ADR-01</w:t>
            </w:r>
          </w:p>
        </w:tc>
        <w:tc>
          <w:tcPr>
            <w:tcW w:type="dxa" w:w="5074"/>
            <w:vAlign w:val="top"/>
          </w:tcPr>
          <w:p>
            <w:pPr>
              <w:spacing w:after="0"/>
            </w:pPr>
            <w:r>
              <w:rPr>
                <w:sz w:val="14"/>
              </w:rPr>
              <w:t>Use tokenized payment references in analytical products</w:t>
            </w:r>
          </w:p>
        </w:tc>
      </w:tr>
      <w:tr>
        <w:tc>
          <w:tcPr>
            <w:tcW w:type="dxa" w:w="5074"/>
            <w:shd w:fill="F7F8F9"/>
            <w:vAlign w:val="top"/>
          </w:tcPr>
          <w:p>
            <w:pPr>
              <w:spacing w:after="0"/>
            </w:pPr>
            <w:r>
              <w:rPr>
                <w:sz w:val="14"/>
              </w:rPr>
              <w:t>R-ADR-02</w:t>
            </w:r>
          </w:p>
        </w:tc>
        <w:tc>
          <w:tcPr>
            <w:tcW w:type="dxa" w:w="5074"/>
            <w:shd w:fill="F7F8F9"/>
            <w:vAlign w:val="top"/>
          </w:tcPr>
          <w:p>
            <w:pPr>
              <w:spacing w:after="0"/>
            </w:pPr>
            <w:r>
              <w:rPr>
                <w:sz w:val="14"/>
              </w:rPr>
              <w:t>Treat real-time inventory as a governed operational data product</w:t>
            </w:r>
          </w:p>
        </w:tc>
      </w:tr>
      <w:tr>
        <w:tc>
          <w:tcPr>
            <w:tcW w:type="dxa" w:w="5074"/>
            <w:vAlign w:val="top"/>
          </w:tcPr>
          <w:p>
            <w:pPr>
              <w:spacing w:after="0"/>
            </w:pPr>
            <w:r>
              <w:rPr>
                <w:sz w:val="14"/>
              </w:rPr>
              <w:t>R-ADR-03</w:t>
            </w:r>
          </w:p>
        </w:tc>
        <w:tc>
          <w:tcPr>
            <w:tcW w:type="dxa" w:w="5074"/>
            <w:vAlign w:val="top"/>
          </w:tcPr>
          <w:p>
            <w:pPr>
              <w:spacing w:after="0"/>
            </w:pPr>
            <w:r>
              <w:rPr>
                <w:sz w:val="14"/>
              </w:rPr>
              <w:t>Adopt AI Commerce Search conditionally for digital channels</w:t>
            </w:r>
          </w:p>
        </w:tc>
      </w:tr>
      <w:tr>
        <w:tc>
          <w:tcPr>
            <w:tcW w:type="dxa" w:w="5074"/>
            <w:shd w:fill="F7F8F9"/>
            <w:vAlign w:val="top"/>
          </w:tcPr>
          <w:p>
            <w:pPr>
              <w:spacing w:after="0"/>
            </w:pPr>
            <w:r>
              <w:rPr>
                <w:sz w:val="14"/>
              </w:rPr>
              <w:t>R-ADR-04</w:t>
            </w:r>
          </w:p>
        </w:tc>
        <w:tc>
          <w:tcPr>
            <w:tcW w:type="dxa" w:w="5074"/>
            <w:shd w:fill="F7F8F9"/>
            <w:vAlign w:val="top"/>
          </w:tcPr>
          <w:p>
            <w:pPr>
              <w:spacing w:after="0"/>
            </w:pPr>
            <w:r>
              <w:rPr>
                <w:sz w:val="14"/>
              </w:rPr>
              <w:t>Separate customer-facing agent actions from advisory responses</w:t>
            </w:r>
          </w:p>
        </w:tc>
      </w:tr>
      <w:tr>
        <w:tc>
          <w:tcPr>
            <w:tcW w:type="dxa" w:w="5074"/>
            <w:vAlign w:val="top"/>
          </w:tcPr>
          <w:p>
            <w:pPr>
              <w:spacing w:after="0"/>
            </w:pPr>
            <w:r>
              <w:rPr>
                <w:sz w:val="14"/>
              </w:rPr>
              <w:t>T-ADR-01</w:t>
            </w:r>
          </w:p>
        </w:tc>
        <w:tc>
          <w:tcPr>
            <w:tcW w:type="dxa" w:w="5074"/>
            <w:vAlign w:val="top"/>
          </w:tcPr>
          <w:p>
            <w:pPr>
              <w:spacing w:after="0"/>
            </w:pPr>
            <w:r>
              <w:rPr>
                <w:sz w:val="14"/>
              </w:rPr>
              <w:t>Use separate network/OT and enterprise data trust zones</w:t>
            </w:r>
          </w:p>
        </w:tc>
      </w:tr>
      <w:tr>
        <w:tc>
          <w:tcPr>
            <w:tcW w:type="dxa" w:w="5074"/>
            <w:shd w:fill="F7F8F9"/>
            <w:vAlign w:val="top"/>
          </w:tcPr>
          <w:p>
            <w:pPr>
              <w:spacing w:after="0"/>
            </w:pPr>
            <w:r>
              <w:rPr>
                <w:sz w:val="14"/>
              </w:rPr>
              <w:t>T-ADR-02</w:t>
            </w:r>
          </w:p>
        </w:tc>
        <w:tc>
          <w:tcPr>
            <w:tcW w:type="dxa" w:w="5074"/>
            <w:shd w:fill="F7F8F9"/>
            <w:vAlign w:val="top"/>
          </w:tcPr>
          <w:p>
            <w:pPr>
              <w:spacing w:after="0"/>
            </w:pPr>
            <w:r>
              <w:rPr>
                <w:sz w:val="14"/>
              </w:rPr>
              <w:t>Use Bigtable plus BigQuery for qualified real-time analytics</w:t>
            </w:r>
          </w:p>
        </w:tc>
      </w:tr>
      <w:tr>
        <w:tc>
          <w:tcPr>
            <w:tcW w:type="dxa" w:w="5074"/>
            <w:vAlign w:val="top"/>
          </w:tcPr>
          <w:p>
            <w:pPr>
              <w:spacing w:after="0"/>
            </w:pPr>
            <w:r>
              <w:rPr>
                <w:sz w:val="14"/>
              </w:rPr>
              <w:t>T-ADR-03</w:t>
            </w:r>
          </w:p>
        </w:tc>
        <w:tc>
          <w:tcPr>
            <w:tcW w:type="dxa" w:w="5074"/>
            <w:vAlign w:val="top"/>
          </w:tcPr>
          <w:p>
            <w:pPr>
              <w:spacing w:after="0"/>
            </w:pPr>
            <w:r>
              <w:rPr>
                <w:sz w:val="14"/>
              </w:rPr>
              <w:t>Govern CPNI and location as Restricted data</w:t>
            </w:r>
          </w:p>
        </w:tc>
      </w:tr>
      <w:tr>
        <w:tc>
          <w:tcPr>
            <w:tcW w:type="dxa" w:w="5074"/>
            <w:shd w:fill="F7F8F9"/>
            <w:vAlign w:val="top"/>
          </w:tcPr>
          <w:p>
            <w:pPr>
              <w:spacing w:after="0"/>
            </w:pPr>
            <w:r>
              <w:rPr>
                <w:sz w:val="14"/>
              </w:rPr>
              <w:t>T-ADR-04</w:t>
            </w:r>
          </w:p>
        </w:tc>
        <w:tc>
          <w:tcPr>
            <w:tcW w:type="dxa" w:w="5074"/>
            <w:shd w:fill="F7F8F9"/>
            <w:vAlign w:val="top"/>
          </w:tcPr>
          <w:p>
            <w:pPr>
              <w:spacing w:after="0"/>
            </w:pPr>
            <w:r>
              <w:rPr>
                <w:sz w:val="14"/>
              </w:rPr>
              <w:t>Adopt network automation only with closed-loop safety controls</w:t>
            </w:r>
          </w:p>
        </w:tc>
      </w:tr>
    </w:tbl>
    <w:p>
      <w:pPr>
        <w:spacing w:after="0"/>
      </w:pPr>
    </w:p>
    <w:p>
      <w:r>
        <w:br w:type="page"/>
      </w:r>
    </w:p>
    <w:p>
      <w:pPr>
        <w:pStyle w:val="Heading1"/>
      </w:pPr>
      <w:r>
        <w:t>10. Consolidated Risks and Mitigations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3"/>
              </w:rPr>
              <w:t>Industry</w:t>
            </w:r>
          </w:p>
        </w:tc>
        <w:tc>
          <w:tcPr>
            <w:tcW w:type="dxa" w:w="2537"/>
            <w:shd w:fill="174EA6"/>
          </w:tcPr>
          <w:p>
            <w:pPr>
              <w:spacing w:after="0"/>
            </w:pPr>
            <w:r>
              <w:rPr>
                <w:b/>
                <w:color w:val="FFFFFF"/>
                <w:sz w:val="13"/>
              </w:rPr>
              <w:t>Risk</w:t>
            </w:r>
          </w:p>
        </w:tc>
        <w:tc>
          <w:tcPr>
            <w:tcW w:type="dxa" w:w="2537"/>
            <w:shd w:fill="174EA6"/>
          </w:tcPr>
          <w:p>
            <w:pPr>
              <w:spacing w:after="0"/>
            </w:pPr>
            <w:r>
              <w:rPr>
                <w:b/>
                <w:color w:val="FFFFFF"/>
                <w:sz w:val="13"/>
              </w:rPr>
              <w:t>Severity</w:t>
            </w:r>
          </w:p>
        </w:tc>
        <w:tc>
          <w:tcPr>
            <w:tcW w:type="dxa" w:w="2537"/>
            <w:shd w:fill="174EA6"/>
          </w:tcPr>
          <w:p>
            <w:pPr>
              <w:spacing w:after="0"/>
            </w:pPr>
            <w:r>
              <w:rPr>
                <w:b/>
                <w:color w:val="FFFFFF"/>
                <w:sz w:val="13"/>
              </w:rPr>
              <w:t>Mitigation</w:t>
            </w:r>
          </w:p>
        </w:tc>
      </w:tr>
      <w:tr>
        <w:tc>
          <w:tcPr>
            <w:tcW w:type="dxa" w:w="2537"/>
            <w:vAlign w:val="top"/>
          </w:tcPr>
          <w:p>
            <w:pPr>
              <w:spacing w:after="0"/>
            </w:pPr>
            <w:r>
              <w:rPr>
                <w:sz w:val="13"/>
              </w:rPr>
              <w:t>Healthcare</w:t>
            </w:r>
          </w:p>
        </w:tc>
        <w:tc>
          <w:tcPr>
            <w:tcW w:type="dxa" w:w="2537"/>
            <w:vAlign w:val="top"/>
          </w:tcPr>
          <w:p>
            <w:pPr>
              <w:spacing w:after="0"/>
            </w:pPr>
            <w:r>
              <w:rPr>
                <w:sz w:val="13"/>
              </w:rPr>
              <w:t>Patient matching error</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Healthcare</w:t>
            </w:r>
          </w:p>
        </w:tc>
        <w:tc>
          <w:tcPr>
            <w:tcW w:type="dxa" w:w="2537"/>
            <w:shd w:fill="F7F8F9"/>
            <w:vAlign w:val="top"/>
          </w:tcPr>
          <w:p>
            <w:pPr>
              <w:spacing w:after="0"/>
            </w:pPr>
            <w:r>
              <w:rPr>
                <w:sz w:val="13"/>
              </w:rPr>
              <w:t>PHI disclosure through logs or RAG</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Healthcare</w:t>
            </w:r>
          </w:p>
        </w:tc>
        <w:tc>
          <w:tcPr>
            <w:tcW w:type="dxa" w:w="2537"/>
            <w:vAlign w:val="top"/>
          </w:tcPr>
          <w:p>
            <w:pPr>
              <w:spacing w:after="0"/>
            </w:pPr>
            <w:r>
              <w:rPr>
                <w:sz w:val="13"/>
              </w:rPr>
              <w:t>Clinical model over-reliance</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Healthcare</w:t>
            </w:r>
          </w:p>
        </w:tc>
        <w:tc>
          <w:tcPr>
            <w:tcW w:type="dxa" w:w="2537"/>
            <w:shd w:fill="F7F8F9"/>
            <w:vAlign w:val="top"/>
          </w:tcPr>
          <w:p>
            <w:pPr>
              <w:spacing w:after="0"/>
            </w:pPr>
            <w:r>
              <w:rPr>
                <w:sz w:val="13"/>
              </w:rPr>
              <w:t>Consent/deletion not propagated</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Healthcare</w:t>
            </w:r>
          </w:p>
        </w:tc>
        <w:tc>
          <w:tcPr>
            <w:tcW w:type="dxa" w:w="2537"/>
            <w:vAlign w:val="top"/>
          </w:tcPr>
          <w:p>
            <w:pPr>
              <w:spacing w:after="0"/>
            </w:pPr>
            <w:r>
              <w:rPr>
                <w:sz w:val="13"/>
              </w:rPr>
              <w:t>Interoperability schema drift</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Healthcare</w:t>
            </w:r>
          </w:p>
        </w:tc>
        <w:tc>
          <w:tcPr>
            <w:tcW w:type="dxa" w:w="2537"/>
            <w:shd w:fill="F7F8F9"/>
            <w:vAlign w:val="top"/>
          </w:tcPr>
          <w:p>
            <w:pPr>
              <w:spacing w:after="0"/>
            </w:pPr>
            <w:r>
              <w:rPr>
                <w:sz w:val="13"/>
              </w:rPr>
              <w:t>DICOM storage and egress cost</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Banking and Financial Services</w:t>
            </w:r>
          </w:p>
        </w:tc>
        <w:tc>
          <w:tcPr>
            <w:tcW w:type="dxa" w:w="2537"/>
            <w:vAlign w:val="top"/>
          </w:tcPr>
          <w:p>
            <w:pPr>
              <w:spacing w:after="0"/>
            </w:pPr>
            <w:r>
              <w:rPr>
                <w:sz w:val="13"/>
              </w:rPr>
              <w:t>Ledger or reporting reconciliation failure</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Banking and Financial Services</w:t>
            </w:r>
          </w:p>
        </w:tc>
        <w:tc>
          <w:tcPr>
            <w:tcW w:type="dxa" w:w="2537"/>
            <w:shd w:fill="F7F8F9"/>
            <w:vAlign w:val="top"/>
          </w:tcPr>
          <w:p>
            <w:pPr>
              <w:spacing w:after="0"/>
            </w:pPr>
            <w:r>
              <w:rPr>
                <w:sz w:val="13"/>
              </w:rPr>
              <w:t>Model bias or unvalidated decisioning</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Banking and Financial Services</w:t>
            </w:r>
          </w:p>
        </w:tc>
        <w:tc>
          <w:tcPr>
            <w:tcW w:type="dxa" w:w="2537"/>
            <w:vAlign w:val="top"/>
          </w:tcPr>
          <w:p>
            <w:pPr>
              <w:spacing w:after="0"/>
            </w:pPr>
            <w:r>
              <w:rPr>
                <w:sz w:val="13"/>
              </w:rPr>
              <w:t>Payment data exposure</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Banking and Financial Services</w:t>
            </w:r>
          </w:p>
        </w:tc>
        <w:tc>
          <w:tcPr>
            <w:tcW w:type="dxa" w:w="2537"/>
            <w:shd w:fill="F7F8F9"/>
            <w:vAlign w:val="top"/>
          </w:tcPr>
          <w:p>
            <w:pPr>
              <w:spacing w:after="0"/>
            </w:pPr>
            <w:r>
              <w:rPr>
                <w:sz w:val="13"/>
              </w:rPr>
              <w:t>AML input point-in-time inconsistency</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Banking and Financial Services</w:t>
            </w:r>
          </w:p>
        </w:tc>
        <w:tc>
          <w:tcPr>
            <w:tcW w:type="dxa" w:w="2537"/>
            <w:vAlign w:val="top"/>
          </w:tcPr>
          <w:p>
            <w:pPr>
              <w:spacing w:after="0"/>
            </w:pPr>
            <w:r>
              <w:rPr>
                <w:sz w:val="13"/>
              </w:rPr>
              <w:t>Third-party outage</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Banking and Financial Services</w:t>
            </w:r>
          </w:p>
        </w:tc>
        <w:tc>
          <w:tcPr>
            <w:tcW w:type="dxa" w:w="2537"/>
            <w:shd w:fill="F7F8F9"/>
            <w:vAlign w:val="top"/>
          </w:tcPr>
          <w:p>
            <w:pPr>
              <w:spacing w:after="0"/>
            </w:pPr>
            <w:r>
              <w:rPr>
                <w:sz w:val="13"/>
              </w:rPr>
              <w:t>Cross-border data transfer violation</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Retail</w:t>
            </w:r>
          </w:p>
        </w:tc>
        <w:tc>
          <w:tcPr>
            <w:tcW w:type="dxa" w:w="2537"/>
            <w:vAlign w:val="top"/>
          </w:tcPr>
          <w:p>
            <w:pPr>
              <w:spacing w:after="0"/>
            </w:pPr>
            <w:r>
              <w:rPr>
                <w:sz w:val="13"/>
              </w:rPr>
              <w:t>Incorrect inventory availability</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Retail</w:t>
            </w:r>
          </w:p>
        </w:tc>
        <w:tc>
          <w:tcPr>
            <w:tcW w:type="dxa" w:w="2537"/>
            <w:shd w:fill="F7F8F9"/>
            <w:vAlign w:val="top"/>
          </w:tcPr>
          <w:p>
            <w:pPr>
              <w:spacing w:after="0"/>
            </w:pPr>
            <w:r>
              <w:rPr>
                <w:sz w:val="13"/>
              </w:rPr>
              <w:t>Customer consent misuse</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Retail</w:t>
            </w:r>
          </w:p>
        </w:tc>
        <w:tc>
          <w:tcPr>
            <w:tcW w:type="dxa" w:w="2537"/>
            <w:vAlign w:val="top"/>
          </w:tcPr>
          <w:p>
            <w:pPr>
              <w:spacing w:after="0"/>
            </w:pPr>
            <w:r>
              <w:rPr>
                <w:sz w:val="13"/>
              </w:rPr>
              <w:t>Promotion or pricing error</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Retail</w:t>
            </w:r>
          </w:p>
        </w:tc>
        <w:tc>
          <w:tcPr>
            <w:tcW w:type="dxa" w:w="2537"/>
            <w:shd w:fill="F7F8F9"/>
            <w:vAlign w:val="top"/>
          </w:tcPr>
          <w:p>
            <w:pPr>
              <w:spacing w:after="0"/>
            </w:pPr>
            <w:r>
              <w:rPr>
                <w:sz w:val="13"/>
              </w:rPr>
              <w:t>Seasonal capacity shortfall</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Retail</w:t>
            </w:r>
          </w:p>
        </w:tc>
        <w:tc>
          <w:tcPr>
            <w:tcW w:type="dxa" w:w="2537"/>
            <w:vAlign w:val="top"/>
          </w:tcPr>
          <w:p>
            <w:pPr>
              <w:spacing w:after="0"/>
            </w:pPr>
            <w:r>
              <w:rPr>
                <w:sz w:val="13"/>
              </w:rPr>
              <w:t>Cardholder data scope expansion</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Retail</w:t>
            </w:r>
          </w:p>
        </w:tc>
        <w:tc>
          <w:tcPr>
            <w:tcW w:type="dxa" w:w="2537"/>
            <w:shd w:fill="F7F8F9"/>
            <w:vAlign w:val="top"/>
          </w:tcPr>
          <w:p>
            <w:pPr>
              <w:spacing w:after="0"/>
            </w:pPr>
            <w:r>
              <w:rPr>
                <w:sz w:val="13"/>
              </w:rPr>
              <w:t>Recommendation bias or unsafe products</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Telecommunications</w:t>
            </w:r>
          </w:p>
        </w:tc>
        <w:tc>
          <w:tcPr>
            <w:tcW w:type="dxa" w:w="2537"/>
            <w:vAlign w:val="top"/>
          </w:tcPr>
          <w:p>
            <w:pPr>
              <w:spacing w:after="0"/>
            </w:pPr>
            <w:r>
              <w:rPr>
                <w:sz w:val="13"/>
              </w:rPr>
              <w:t>CPNI or location-data exposure</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Telecommunications</w:t>
            </w:r>
          </w:p>
        </w:tc>
        <w:tc>
          <w:tcPr>
            <w:tcW w:type="dxa" w:w="2537"/>
            <w:shd w:fill="F7F8F9"/>
            <w:vAlign w:val="top"/>
          </w:tcPr>
          <w:p>
            <w:pPr>
              <w:spacing w:after="0"/>
            </w:pPr>
            <w:r>
              <w:rPr>
                <w:sz w:val="13"/>
              </w:rPr>
              <w:t>Telemetry storm and cost escalation</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Telecommunications</w:t>
            </w:r>
          </w:p>
        </w:tc>
        <w:tc>
          <w:tcPr>
            <w:tcW w:type="dxa" w:w="2537"/>
            <w:vAlign w:val="top"/>
          </w:tcPr>
          <w:p>
            <w:pPr>
              <w:spacing w:after="0"/>
            </w:pPr>
            <w:r>
              <w:rPr>
                <w:sz w:val="13"/>
              </w:rPr>
              <w:t>Incorrect network automation action</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Telecommunications</w:t>
            </w:r>
          </w:p>
        </w:tc>
        <w:tc>
          <w:tcPr>
            <w:tcW w:type="dxa" w:w="2537"/>
            <w:shd w:fill="F7F8F9"/>
            <w:vAlign w:val="top"/>
          </w:tcPr>
          <w:p>
            <w:pPr>
              <w:spacing w:after="0"/>
            </w:pPr>
            <w:r>
              <w:rPr>
                <w:sz w:val="13"/>
              </w:rPr>
              <w:t>CDR loss or duplicate charging impact</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r>
        <w:tc>
          <w:tcPr>
            <w:tcW w:type="dxa" w:w="2537"/>
            <w:vAlign w:val="top"/>
          </w:tcPr>
          <w:p>
            <w:pPr>
              <w:spacing w:after="0"/>
            </w:pPr>
            <w:r>
              <w:rPr>
                <w:sz w:val="13"/>
              </w:rPr>
              <w:t>Telecommunications</w:t>
            </w:r>
          </w:p>
        </w:tc>
        <w:tc>
          <w:tcPr>
            <w:tcW w:type="dxa" w:w="2537"/>
            <w:vAlign w:val="top"/>
          </w:tcPr>
          <w:p>
            <w:pPr>
              <w:spacing w:after="0"/>
            </w:pPr>
            <w:r>
              <w:rPr>
                <w:sz w:val="13"/>
              </w:rPr>
              <w:t>Topology drift</w:t>
            </w:r>
          </w:p>
        </w:tc>
        <w:tc>
          <w:tcPr>
            <w:tcW w:type="dxa" w:w="2537"/>
            <w:vAlign w:val="top"/>
          </w:tcPr>
          <w:p>
            <w:pPr>
              <w:spacing w:after="0"/>
            </w:pPr>
            <w:r>
              <w:rPr>
                <w:sz w:val="13"/>
              </w:rPr>
              <w:t>High/Critical</w:t>
            </w:r>
          </w:p>
        </w:tc>
        <w:tc>
          <w:tcPr>
            <w:tcW w:type="dxa" w:w="2537"/>
            <w:vAlign w:val="top"/>
          </w:tcPr>
          <w:p>
            <w:pPr>
              <w:spacing w:after="0"/>
            </w:pPr>
            <w:r>
              <w:rPr>
                <w:sz w:val="13"/>
              </w:rPr>
              <w:t>Control owner, automated evidence, detection/response, recovery exercise and residual-risk acceptance</w:t>
            </w:r>
          </w:p>
        </w:tc>
      </w:tr>
      <w:tr>
        <w:tc>
          <w:tcPr>
            <w:tcW w:type="dxa" w:w="2537"/>
            <w:shd w:fill="F7F8F9"/>
            <w:vAlign w:val="top"/>
          </w:tcPr>
          <w:p>
            <w:pPr>
              <w:spacing w:after="0"/>
            </w:pPr>
            <w:r>
              <w:rPr>
                <w:sz w:val="13"/>
              </w:rPr>
              <w:t>Telecommunications</w:t>
            </w:r>
          </w:p>
        </w:tc>
        <w:tc>
          <w:tcPr>
            <w:tcW w:type="dxa" w:w="2537"/>
            <w:shd w:fill="F7F8F9"/>
            <w:vAlign w:val="top"/>
          </w:tcPr>
          <w:p>
            <w:pPr>
              <w:spacing w:after="0"/>
            </w:pPr>
            <w:r>
              <w:rPr>
                <w:sz w:val="13"/>
              </w:rPr>
              <w:t>Critical infrastructure outage or cyberattack</w:t>
            </w:r>
          </w:p>
        </w:tc>
        <w:tc>
          <w:tcPr>
            <w:tcW w:type="dxa" w:w="2537"/>
            <w:shd w:fill="F7F8F9"/>
            <w:vAlign w:val="top"/>
          </w:tcPr>
          <w:p>
            <w:pPr>
              <w:spacing w:after="0"/>
            </w:pPr>
            <w:r>
              <w:rPr>
                <w:sz w:val="13"/>
              </w:rPr>
              <w:t>High/Critical</w:t>
            </w:r>
          </w:p>
        </w:tc>
        <w:tc>
          <w:tcPr>
            <w:tcW w:type="dxa" w:w="2537"/>
            <w:shd w:fill="F7F8F9"/>
            <w:vAlign w:val="top"/>
          </w:tcPr>
          <w:p>
            <w:pPr>
              <w:spacing w:after="0"/>
            </w:pPr>
            <w:r>
              <w:rPr>
                <w:sz w:val="13"/>
              </w:rPr>
              <w:t>Control owner, automated evidence, detection/response, recovery exercise and residual-risk acceptance</w:t>
            </w:r>
          </w:p>
        </w:tc>
      </w:tr>
    </w:tbl>
    <w:p>
      <w:pPr>
        <w:spacing w:after="0"/>
      </w:pPr>
    </w:p>
    <w:p>
      <w:r>
        <w:br w:type="page"/>
      </w:r>
    </w:p>
    <w:p>
      <w:pPr>
        <w:pStyle w:val="Heading1"/>
      </w:pPr>
      <w:r>
        <w:t>11. Cross-industry Implementation Roadmap</w:t>
      </w:r>
    </w:p>
    <w:p>
      <w:pPr>
        <w:jc w:val="center"/>
      </w:pPr>
      <w:r>
        <w:drawing>
          <wp:inline xmlns:a="http://schemas.openxmlformats.org/drawingml/2006/main" xmlns:pic="http://schemas.openxmlformats.org/drawingml/2006/picture">
            <wp:extent cx="6156000" cy="407447"/>
            <wp:docPr id="8" name="Picture 8" descr="Image: image2.png"/>
            <wp:cNvGraphicFramePr>
              <a:graphicFrameLocks noChangeAspect="1"/>
            </wp:cNvGraphicFramePr>
            <a:graphic>
              <a:graphicData uri="http://schemas.openxmlformats.org/drawingml/2006/picture">
                <pic:pic>
                  <pic:nvPicPr>
                    <pic:cNvPr id="0" name="05_industry_delivery_lifecycle.png"/>
                    <pic:cNvPicPr/>
                  </pic:nvPicPr>
                  <pic:blipFill>
                    <a:blip r:embed="rId12"/>
                    <a:stretch>
                      <a:fillRect/>
                    </a:stretch>
                  </pic:blipFill>
                  <pic:spPr>
                    <a:xfrm>
                      <a:off x="0" y="0"/>
                      <a:ext cx="6156000" cy="407447"/>
                    </a:xfrm>
                    <a:prstGeom prst="rect"/>
                  </pic:spPr>
                </pic:pic>
              </a:graphicData>
            </a:graphic>
          </wp:inline>
        </w:drawing>
      </w:r>
    </w:p>
    <w:p>
      <w:pPr>
        <w:jc w:val="center"/>
      </w:pPr>
      <w:r>
        <w:rPr>
          <w:b/>
          <w:sz w:val="16"/>
        </w:rPr>
        <w:t>Figure 11-1. Common implementation and assurance lifecycle for all four industry accelerators.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Phase</w:t>
            </w:r>
          </w:p>
        </w:tc>
        <w:tc>
          <w:tcPr>
            <w:tcW w:type="dxa" w:w="3383"/>
            <w:shd w:fill="174EA6"/>
          </w:tcPr>
          <w:p>
            <w:pPr>
              <w:spacing w:after="0"/>
            </w:pPr>
            <w:r>
              <w:rPr>
                <w:b/>
                <w:color w:val="FFFFFF"/>
                <w:sz w:val="14"/>
              </w:rPr>
              <w:t>Scope</w:t>
            </w:r>
          </w:p>
        </w:tc>
        <w:tc>
          <w:tcPr>
            <w:tcW w:type="dxa" w:w="3383"/>
            <w:shd w:fill="174EA6"/>
          </w:tcPr>
          <w:p>
            <w:pPr>
              <w:spacing w:after="0"/>
            </w:pPr>
            <w:r>
              <w:rPr>
                <w:b/>
                <w:color w:val="FFFFFF"/>
                <w:sz w:val="14"/>
              </w:rPr>
              <w:t>Exit evidence</w:t>
            </w:r>
          </w:p>
        </w:tc>
      </w:tr>
      <w:tr>
        <w:tc>
          <w:tcPr>
            <w:tcW w:type="dxa" w:w="3383"/>
            <w:vAlign w:val="top"/>
          </w:tcPr>
          <w:p>
            <w:pPr>
              <w:spacing w:after="0"/>
            </w:pPr>
            <w:r>
              <w:rPr>
                <w:sz w:val="14"/>
              </w:rPr>
              <w:t>0 - Mobilize</w:t>
            </w:r>
          </w:p>
        </w:tc>
        <w:tc>
          <w:tcPr>
            <w:tcW w:type="dxa" w:w="3383"/>
            <w:vAlign w:val="top"/>
          </w:tcPr>
          <w:p>
            <w:pPr>
              <w:spacing w:after="0"/>
            </w:pPr>
            <w:r>
              <w:rPr>
                <w:sz w:val="14"/>
              </w:rPr>
              <w:t>Industry outcomes, jurisdictions, critical journeys, owners and current-state inventory</w:t>
            </w:r>
          </w:p>
        </w:tc>
        <w:tc>
          <w:tcPr>
            <w:tcW w:type="dxa" w:w="3383"/>
            <w:vAlign w:val="top"/>
          </w:tcPr>
          <w:p>
            <w:pPr>
              <w:spacing w:after="0"/>
            </w:pPr>
            <w:r>
              <w:rPr>
                <w:sz w:val="14"/>
              </w:rPr>
              <w:t>Approved use-case and regulatory backlog</w:t>
            </w:r>
          </w:p>
        </w:tc>
      </w:tr>
      <w:tr>
        <w:tc>
          <w:tcPr>
            <w:tcW w:type="dxa" w:w="3383"/>
            <w:shd w:fill="F7F8F9"/>
            <w:vAlign w:val="top"/>
          </w:tcPr>
          <w:p>
            <w:pPr>
              <w:spacing w:after="0"/>
            </w:pPr>
            <w:r>
              <w:rPr>
                <w:sz w:val="14"/>
              </w:rPr>
              <w:t>1 - Regional foundation</w:t>
            </w:r>
          </w:p>
        </w:tc>
        <w:tc>
          <w:tcPr>
            <w:tcW w:type="dxa" w:w="3383"/>
            <w:shd w:fill="F7F8F9"/>
            <w:vAlign w:val="top"/>
          </w:tcPr>
          <w:p>
            <w:pPr>
              <w:spacing w:after="0"/>
            </w:pPr>
            <w:r>
              <w:rPr>
                <w:sz w:val="14"/>
              </w:rPr>
              <w:t>Projects, network, identity, perimeters, KMS, logging, catalog and budgets</w:t>
            </w:r>
          </w:p>
        </w:tc>
        <w:tc>
          <w:tcPr>
            <w:tcW w:type="dxa" w:w="3383"/>
            <w:shd w:fill="F7F8F9"/>
            <w:vAlign w:val="top"/>
          </w:tcPr>
          <w:p>
            <w:pPr>
              <w:spacing w:after="0"/>
            </w:pPr>
            <w:r>
              <w:rPr>
                <w:sz w:val="14"/>
              </w:rPr>
              <w:t>Foundation acceptance and negative-access tests</w:t>
            </w:r>
          </w:p>
        </w:tc>
      </w:tr>
      <w:tr>
        <w:tc>
          <w:tcPr>
            <w:tcW w:type="dxa" w:w="3383"/>
            <w:vAlign w:val="top"/>
          </w:tcPr>
          <w:p>
            <w:pPr>
              <w:spacing w:after="0"/>
            </w:pPr>
            <w:r>
              <w:rPr>
                <w:sz w:val="14"/>
              </w:rPr>
              <w:t>2 - Data products</w:t>
            </w:r>
          </w:p>
        </w:tc>
        <w:tc>
          <w:tcPr>
            <w:tcW w:type="dxa" w:w="3383"/>
            <w:vAlign w:val="top"/>
          </w:tcPr>
          <w:p>
            <w:pPr>
              <w:spacing w:after="0"/>
            </w:pPr>
            <w:r>
              <w:rPr>
                <w:sz w:val="14"/>
              </w:rPr>
              <w:t>Ingestion, standardized entities, contracts, quality, lineage and semantic interfaces</w:t>
            </w:r>
          </w:p>
        </w:tc>
        <w:tc>
          <w:tcPr>
            <w:tcW w:type="dxa" w:w="3383"/>
            <w:vAlign w:val="top"/>
          </w:tcPr>
          <w:p>
            <w:pPr>
              <w:spacing w:after="0"/>
            </w:pPr>
            <w:r>
              <w:rPr>
                <w:sz w:val="14"/>
              </w:rPr>
              <w:t>First certified products and SLO dashboards</w:t>
            </w:r>
          </w:p>
        </w:tc>
      </w:tr>
      <w:tr>
        <w:tc>
          <w:tcPr>
            <w:tcW w:type="dxa" w:w="3383"/>
            <w:shd w:fill="F7F8F9"/>
            <w:vAlign w:val="top"/>
          </w:tcPr>
          <w:p>
            <w:pPr>
              <w:spacing w:after="0"/>
            </w:pPr>
            <w:r>
              <w:rPr>
                <w:sz w:val="14"/>
              </w:rPr>
              <w:t>3 - Industry analytics</w:t>
            </w:r>
          </w:p>
        </w:tc>
        <w:tc>
          <w:tcPr>
            <w:tcW w:type="dxa" w:w="3383"/>
            <w:shd w:fill="F7F8F9"/>
            <w:vAlign w:val="top"/>
          </w:tcPr>
          <w:p>
            <w:pPr>
              <w:spacing w:after="0"/>
            </w:pPr>
            <w:r>
              <w:rPr>
                <w:sz w:val="14"/>
              </w:rPr>
              <w:t>Executive, operational and regulatory metrics</w:t>
            </w:r>
          </w:p>
        </w:tc>
        <w:tc>
          <w:tcPr>
            <w:tcW w:type="dxa" w:w="3383"/>
            <w:shd w:fill="F7F8F9"/>
            <w:vAlign w:val="top"/>
          </w:tcPr>
          <w:p>
            <w:pPr>
              <w:spacing w:after="0"/>
            </w:pPr>
            <w:r>
              <w:rPr>
                <w:sz w:val="14"/>
              </w:rPr>
              <w:t>Business reconciliation and user acceptance</w:t>
            </w:r>
          </w:p>
        </w:tc>
      </w:tr>
      <w:tr>
        <w:tc>
          <w:tcPr>
            <w:tcW w:type="dxa" w:w="3383"/>
            <w:vAlign w:val="top"/>
          </w:tcPr>
          <w:p>
            <w:pPr>
              <w:spacing w:after="0"/>
            </w:pPr>
            <w:r>
              <w:rPr>
                <w:sz w:val="14"/>
              </w:rPr>
              <w:t>4 - AI pilots</w:t>
            </w:r>
          </w:p>
        </w:tc>
        <w:tc>
          <w:tcPr>
            <w:tcW w:type="dxa" w:w="3383"/>
            <w:vAlign w:val="top"/>
          </w:tcPr>
          <w:p>
            <w:pPr>
              <w:spacing w:after="0"/>
            </w:pPr>
            <w:r>
              <w:rPr>
                <w:sz w:val="14"/>
              </w:rPr>
              <w:t>Risk-tiered models/RAG/agents with human controls</w:t>
            </w:r>
          </w:p>
        </w:tc>
        <w:tc>
          <w:tcPr>
            <w:tcW w:type="dxa" w:w="3383"/>
            <w:vAlign w:val="top"/>
          </w:tcPr>
          <w:p>
            <w:pPr>
              <w:spacing w:after="0"/>
            </w:pPr>
            <w:r>
              <w:rPr>
                <w:sz w:val="14"/>
              </w:rPr>
              <w:t>Evaluation, security and rollback evidence</w:t>
            </w:r>
          </w:p>
        </w:tc>
      </w:tr>
      <w:tr>
        <w:tc>
          <w:tcPr>
            <w:tcW w:type="dxa" w:w="3383"/>
            <w:shd w:fill="F7F8F9"/>
            <w:vAlign w:val="top"/>
          </w:tcPr>
          <w:p>
            <w:pPr>
              <w:spacing w:after="0"/>
            </w:pPr>
            <w:r>
              <w:rPr>
                <w:sz w:val="14"/>
              </w:rPr>
              <w:t>5 - Scale</w:t>
            </w:r>
          </w:p>
        </w:tc>
        <w:tc>
          <w:tcPr>
            <w:tcW w:type="dxa" w:w="3383"/>
            <w:shd w:fill="F7F8F9"/>
            <w:vAlign w:val="top"/>
          </w:tcPr>
          <w:p>
            <w:pPr>
              <w:spacing w:after="0"/>
            </w:pPr>
            <w:r>
              <w:rPr>
                <w:sz w:val="14"/>
              </w:rPr>
              <w:t>Domain onboarding, regional rollout, DR, FinOps and continuous assurance</w:t>
            </w:r>
          </w:p>
        </w:tc>
        <w:tc>
          <w:tcPr>
            <w:tcW w:type="dxa" w:w="3383"/>
            <w:shd w:fill="F7F8F9"/>
            <w:vAlign w:val="top"/>
          </w:tcPr>
          <w:p>
            <w:pPr>
              <w:spacing w:after="0"/>
            </w:pPr>
            <w:r>
              <w:rPr>
                <w:sz w:val="14"/>
              </w:rPr>
              <w:t>Adoption, reliability and unit-economics targets</w:t>
            </w:r>
          </w:p>
        </w:tc>
      </w:tr>
    </w:tbl>
    <w:p>
      <w:pPr>
        <w:spacing w:after="0"/>
      </w:pPr>
    </w:p>
    <w:p>
      <w:r>
        <w:br w:type="page"/>
      </w:r>
    </w:p>
    <w:p>
      <w:pPr>
        <w:pStyle w:val="Heading1"/>
      </w:pPr>
      <w:r>
        <w:t>12. Validation and Production Readiness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4"/>
              </w:rPr>
              <w:t>ID</w:t>
            </w:r>
          </w:p>
        </w:tc>
        <w:tc>
          <w:tcPr>
            <w:tcW w:type="dxa" w:w="2537"/>
            <w:shd w:fill="174EA6"/>
          </w:tcPr>
          <w:p>
            <w:pPr>
              <w:spacing w:after="0"/>
            </w:pPr>
            <w:r>
              <w:rPr>
                <w:b/>
                <w:color w:val="FFFFFF"/>
                <w:sz w:val="14"/>
              </w:rPr>
              <w:t>Control</w:t>
            </w:r>
          </w:p>
        </w:tc>
        <w:tc>
          <w:tcPr>
            <w:tcW w:type="dxa" w:w="2537"/>
            <w:shd w:fill="174EA6"/>
          </w:tcPr>
          <w:p>
            <w:pPr>
              <w:spacing w:after="0"/>
            </w:pPr>
            <w:r>
              <w:rPr>
                <w:b/>
                <w:color w:val="FFFFFF"/>
                <w:sz w:val="14"/>
              </w:rPr>
              <w:t>Classification</w:t>
            </w:r>
          </w:p>
        </w:tc>
        <w:tc>
          <w:tcPr>
            <w:tcW w:type="dxa" w:w="2537"/>
            <w:shd w:fill="174EA6"/>
          </w:tcPr>
          <w:p>
            <w:pPr>
              <w:spacing w:after="0"/>
            </w:pPr>
            <w:r>
              <w:rPr>
                <w:b/>
                <w:color w:val="FFFFFF"/>
                <w:sz w:val="14"/>
              </w:rPr>
              <w:t>Evidence</w:t>
            </w:r>
          </w:p>
        </w:tc>
      </w:tr>
      <w:tr>
        <w:tc>
          <w:tcPr>
            <w:tcW w:type="dxa" w:w="2537"/>
            <w:vAlign w:val="top"/>
          </w:tcPr>
          <w:p>
            <w:pPr>
              <w:spacing w:after="0"/>
            </w:pPr>
            <w:r>
              <w:rPr>
                <w:sz w:val="14"/>
              </w:rPr>
              <w:t>PR-14-001</w:t>
            </w:r>
          </w:p>
        </w:tc>
        <w:tc>
          <w:tcPr>
            <w:tcW w:type="dxa" w:w="2537"/>
            <w:vAlign w:val="top"/>
          </w:tcPr>
          <w:p>
            <w:pPr>
              <w:spacing w:after="0"/>
            </w:pPr>
            <w:r>
              <w:rPr>
                <w:sz w:val="14"/>
              </w:rPr>
              <w:t>Industry sponsor, product owner, data owner, security/privacy/risk owner and SRE are named</w:t>
            </w:r>
          </w:p>
        </w:tc>
        <w:tc>
          <w:tcPr>
            <w:tcW w:type="dxa" w:w="2537"/>
            <w:vAlign w:val="top"/>
          </w:tcPr>
          <w:p>
            <w:pPr>
              <w:spacing w:after="0"/>
            </w:pPr>
            <w:r>
              <w:rPr>
                <w:sz w:val="14"/>
              </w:rPr>
              <w:t>Mandatory</w:t>
            </w:r>
          </w:p>
        </w:tc>
        <w:tc>
          <w:tcPr>
            <w:tcW w:type="dxa" w:w="2537"/>
            <w:vAlign w:val="top"/>
          </w:tcPr>
          <w:p>
            <w:pPr>
              <w:spacing w:after="0"/>
            </w:pPr>
            <w:r>
              <w:rPr>
                <w:sz w:val="14"/>
              </w:rPr>
              <w:t>Ownership registry</w:t>
            </w:r>
          </w:p>
        </w:tc>
      </w:tr>
      <w:tr>
        <w:tc>
          <w:tcPr>
            <w:tcW w:type="dxa" w:w="2537"/>
            <w:shd w:fill="F7F8F9"/>
            <w:vAlign w:val="top"/>
          </w:tcPr>
          <w:p>
            <w:pPr>
              <w:spacing w:after="0"/>
            </w:pPr>
            <w:r>
              <w:rPr>
                <w:sz w:val="14"/>
              </w:rPr>
              <w:t>PR-14-002</w:t>
            </w:r>
          </w:p>
        </w:tc>
        <w:tc>
          <w:tcPr>
            <w:tcW w:type="dxa" w:w="2537"/>
            <w:shd w:fill="F7F8F9"/>
            <w:vAlign w:val="top"/>
          </w:tcPr>
          <w:p>
            <w:pPr>
              <w:spacing w:after="0"/>
            </w:pPr>
            <w:r>
              <w:rPr>
                <w:sz w:val="14"/>
              </w:rPr>
              <w:t>Regulatory applicability and regional data-residency decision are approved</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Legal/compliance assessment</w:t>
            </w:r>
          </w:p>
        </w:tc>
      </w:tr>
      <w:tr>
        <w:tc>
          <w:tcPr>
            <w:tcW w:type="dxa" w:w="2537"/>
            <w:vAlign w:val="top"/>
          </w:tcPr>
          <w:p>
            <w:pPr>
              <w:spacing w:after="0"/>
            </w:pPr>
            <w:r>
              <w:rPr>
                <w:sz w:val="14"/>
              </w:rPr>
              <w:t>PR-14-003</w:t>
            </w:r>
          </w:p>
        </w:tc>
        <w:tc>
          <w:tcPr>
            <w:tcW w:type="dxa" w:w="2537"/>
            <w:vAlign w:val="top"/>
          </w:tcPr>
          <w:p>
            <w:pPr>
              <w:spacing w:after="0"/>
            </w:pPr>
            <w:r>
              <w:rPr>
                <w:sz w:val="14"/>
              </w:rPr>
              <w:t>Source-to-product contracts, quality, lineage, retention and deletion are validated</w:t>
            </w:r>
          </w:p>
        </w:tc>
        <w:tc>
          <w:tcPr>
            <w:tcW w:type="dxa" w:w="2537"/>
            <w:vAlign w:val="top"/>
          </w:tcPr>
          <w:p>
            <w:pPr>
              <w:spacing w:after="0"/>
            </w:pPr>
            <w:r>
              <w:rPr>
                <w:sz w:val="14"/>
              </w:rPr>
              <w:t>Mandatory</w:t>
            </w:r>
          </w:p>
        </w:tc>
        <w:tc>
          <w:tcPr>
            <w:tcW w:type="dxa" w:w="2537"/>
            <w:vAlign w:val="top"/>
          </w:tcPr>
          <w:p>
            <w:pPr>
              <w:spacing w:after="0"/>
            </w:pPr>
            <w:r>
              <w:rPr>
                <w:sz w:val="14"/>
              </w:rPr>
              <w:t>Catalog and contract evidence</w:t>
            </w:r>
          </w:p>
        </w:tc>
      </w:tr>
      <w:tr>
        <w:tc>
          <w:tcPr>
            <w:tcW w:type="dxa" w:w="2537"/>
            <w:shd w:fill="F7F8F9"/>
            <w:vAlign w:val="top"/>
          </w:tcPr>
          <w:p>
            <w:pPr>
              <w:spacing w:after="0"/>
            </w:pPr>
            <w:r>
              <w:rPr>
                <w:sz w:val="14"/>
              </w:rPr>
              <w:t>PR-14-004</w:t>
            </w:r>
          </w:p>
        </w:tc>
        <w:tc>
          <w:tcPr>
            <w:tcW w:type="dxa" w:w="2537"/>
            <w:shd w:fill="F7F8F9"/>
            <w:vAlign w:val="top"/>
          </w:tcPr>
          <w:p>
            <w:pPr>
              <w:spacing w:after="0"/>
            </w:pPr>
            <w:r>
              <w:rPr>
                <w:sz w:val="14"/>
              </w:rPr>
              <w:t>Industry architecture, threat model and network/perimeter paths are tested</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Architecture/security review</w:t>
            </w:r>
          </w:p>
        </w:tc>
      </w:tr>
      <w:tr>
        <w:tc>
          <w:tcPr>
            <w:tcW w:type="dxa" w:w="2537"/>
            <w:vAlign w:val="top"/>
          </w:tcPr>
          <w:p>
            <w:pPr>
              <w:spacing w:after="0"/>
            </w:pPr>
            <w:r>
              <w:rPr>
                <w:sz w:val="14"/>
              </w:rPr>
              <w:t>PR-14-005</w:t>
            </w:r>
          </w:p>
        </w:tc>
        <w:tc>
          <w:tcPr>
            <w:tcW w:type="dxa" w:w="2537"/>
            <w:vAlign w:val="top"/>
          </w:tcPr>
          <w:p>
            <w:pPr>
              <w:spacing w:after="0"/>
            </w:pPr>
            <w:r>
              <w:rPr>
                <w:sz w:val="14"/>
              </w:rPr>
              <w:t>AI use case is risk-tiered with evaluation, human oversight and rollback</w:t>
            </w:r>
          </w:p>
        </w:tc>
        <w:tc>
          <w:tcPr>
            <w:tcW w:type="dxa" w:w="2537"/>
            <w:vAlign w:val="top"/>
          </w:tcPr>
          <w:p>
            <w:pPr>
              <w:spacing w:after="0"/>
            </w:pPr>
            <w:r>
              <w:rPr>
                <w:sz w:val="14"/>
              </w:rPr>
              <w:t>AI workloads</w:t>
            </w:r>
          </w:p>
        </w:tc>
        <w:tc>
          <w:tcPr>
            <w:tcW w:type="dxa" w:w="2537"/>
            <w:vAlign w:val="top"/>
          </w:tcPr>
          <w:p>
            <w:pPr>
              <w:spacing w:after="0"/>
            </w:pPr>
            <w:r>
              <w:rPr>
                <w:sz w:val="14"/>
              </w:rPr>
              <w:t>AI system card and approval</w:t>
            </w:r>
          </w:p>
        </w:tc>
      </w:tr>
      <w:tr>
        <w:tc>
          <w:tcPr>
            <w:tcW w:type="dxa" w:w="2537"/>
            <w:shd w:fill="F7F8F9"/>
            <w:vAlign w:val="top"/>
          </w:tcPr>
          <w:p>
            <w:pPr>
              <w:spacing w:after="0"/>
            </w:pPr>
            <w:r>
              <w:rPr>
                <w:sz w:val="14"/>
              </w:rPr>
              <w:t>PR-14-006</w:t>
            </w:r>
          </w:p>
        </w:tc>
        <w:tc>
          <w:tcPr>
            <w:tcW w:type="dxa" w:w="2537"/>
            <w:shd w:fill="F7F8F9"/>
            <w:vAlign w:val="top"/>
          </w:tcPr>
          <w:p>
            <w:pPr>
              <w:spacing w:after="0"/>
            </w:pPr>
            <w:r>
              <w:rPr>
                <w:sz w:val="14"/>
              </w:rPr>
              <w:t>SLIs/SLOs, alerting, runbooks, vendor escalation and support model are tested</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ORR evidence</w:t>
            </w:r>
          </w:p>
        </w:tc>
      </w:tr>
      <w:tr>
        <w:tc>
          <w:tcPr>
            <w:tcW w:type="dxa" w:w="2537"/>
            <w:vAlign w:val="top"/>
          </w:tcPr>
          <w:p>
            <w:pPr>
              <w:spacing w:after="0"/>
            </w:pPr>
            <w:r>
              <w:rPr>
                <w:sz w:val="14"/>
              </w:rPr>
              <w:t>PR-14-007</w:t>
            </w:r>
          </w:p>
        </w:tc>
        <w:tc>
          <w:tcPr>
            <w:tcW w:type="dxa" w:w="2537"/>
            <w:vAlign w:val="top"/>
          </w:tcPr>
          <w:p>
            <w:pPr>
              <w:spacing w:after="0"/>
            </w:pPr>
            <w:r>
              <w:rPr>
                <w:sz w:val="14"/>
              </w:rPr>
              <w:t>RTO/RPO, replay, regional recovery and cyber-recovery exercises pass</w:t>
            </w:r>
          </w:p>
        </w:tc>
        <w:tc>
          <w:tcPr>
            <w:tcW w:type="dxa" w:w="2537"/>
            <w:vAlign w:val="top"/>
          </w:tcPr>
          <w:p>
            <w:pPr>
              <w:spacing w:after="0"/>
            </w:pPr>
            <w:r>
              <w:rPr>
                <w:sz w:val="14"/>
              </w:rPr>
              <w:t>Tier 0/1</w:t>
            </w:r>
          </w:p>
        </w:tc>
        <w:tc>
          <w:tcPr>
            <w:tcW w:type="dxa" w:w="2537"/>
            <w:vAlign w:val="top"/>
          </w:tcPr>
          <w:p>
            <w:pPr>
              <w:spacing w:after="0"/>
            </w:pPr>
            <w:r>
              <w:rPr>
                <w:sz w:val="14"/>
              </w:rPr>
              <w:t>Exercise report</w:t>
            </w:r>
          </w:p>
        </w:tc>
      </w:tr>
      <w:tr>
        <w:tc>
          <w:tcPr>
            <w:tcW w:type="dxa" w:w="2537"/>
            <w:shd w:fill="F7F8F9"/>
            <w:vAlign w:val="top"/>
          </w:tcPr>
          <w:p>
            <w:pPr>
              <w:spacing w:after="0"/>
            </w:pPr>
            <w:r>
              <w:rPr>
                <w:sz w:val="14"/>
              </w:rPr>
              <w:t>PR-14-008</w:t>
            </w:r>
          </w:p>
        </w:tc>
        <w:tc>
          <w:tcPr>
            <w:tcW w:type="dxa" w:w="2537"/>
            <w:shd w:fill="F7F8F9"/>
            <w:vAlign w:val="top"/>
          </w:tcPr>
          <w:p>
            <w:pPr>
              <w:spacing w:after="0"/>
            </w:pPr>
            <w:r>
              <w:rPr>
                <w:sz w:val="14"/>
              </w:rPr>
              <w:t>Cost allocation, forecast and unit economics are approved</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FinOps review</w:t>
            </w:r>
          </w:p>
        </w:tc>
      </w:tr>
      <w:tr>
        <w:tc>
          <w:tcPr>
            <w:tcW w:type="dxa" w:w="2537"/>
            <w:vAlign w:val="top"/>
          </w:tcPr>
          <w:p>
            <w:pPr>
              <w:spacing w:after="0"/>
            </w:pPr>
            <w:r>
              <w:rPr>
                <w:sz w:val="14"/>
              </w:rPr>
              <w:t>PR-14-009</w:t>
            </w:r>
          </w:p>
        </w:tc>
        <w:tc>
          <w:tcPr>
            <w:tcW w:type="dxa" w:w="2537"/>
            <w:vAlign w:val="top"/>
          </w:tcPr>
          <w:p>
            <w:pPr>
              <w:spacing w:after="0"/>
            </w:pPr>
            <w:r>
              <w:rPr>
                <w:sz w:val="14"/>
              </w:rPr>
              <w:t>Immutable Terraform, pipeline, SQL and prompt artifacts are promoted through controls</w:t>
            </w:r>
          </w:p>
        </w:tc>
        <w:tc>
          <w:tcPr>
            <w:tcW w:type="dxa" w:w="2537"/>
            <w:vAlign w:val="top"/>
          </w:tcPr>
          <w:p>
            <w:pPr>
              <w:spacing w:after="0"/>
            </w:pPr>
            <w:r>
              <w:rPr>
                <w:sz w:val="14"/>
              </w:rPr>
              <w:t>Mandatory</w:t>
            </w:r>
          </w:p>
        </w:tc>
        <w:tc>
          <w:tcPr>
            <w:tcW w:type="dxa" w:w="2537"/>
            <w:vAlign w:val="top"/>
          </w:tcPr>
          <w:p>
            <w:pPr>
              <w:spacing w:after="0"/>
            </w:pPr>
            <w:r>
              <w:rPr>
                <w:sz w:val="14"/>
              </w:rPr>
              <w:t>Release evidence</w:t>
            </w:r>
          </w:p>
        </w:tc>
      </w:tr>
      <w:tr>
        <w:tc>
          <w:tcPr>
            <w:tcW w:type="dxa" w:w="2537"/>
            <w:shd w:fill="F7F8F9"/>
            <w:vAlign w:val="top"/>
          </w:tcPr>
          <w:p>
            <w:pPr>
              <w:spacing w:after="0"/>
            </w:pPr>
            <w:r>
              <w:rPr>
                <w:sz w:val="14"/>
              </w:rPr>
              <w:t>PR-14-010</w:t>
            </w:r>
          </w:p>
        </w:tc>
        <w:tc>
          <w:tcPr>
            <w:tcW w:type="dxa" w:w="2537"/>
            <w:shd w:fill="F7F8F9"/>
            <w:vAlign w:val="top"/>
          </w:tcPr>
          <w:p>
            <w:pPr>
              <w:spacing w:after="0"/>
            </w:pPr>
            <w:r>
              <w:rPr>
                <w:sz w:val="14"/>
              </w:rPr>
              <w:t>No unresolved critical security, privacy, model-risk or data-quality finding remains</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Signed approval</w:t>
            </w:r>
          </w:p>
        </w:tc>
      </w:tr>
    </w:tbl>
    <w:p>
      <w:pPr>
        <w:spacing w:after="0"/>
      </w:pPr>
    </w:p>
    <w:p>
      <w:pPr>
        <w:pStyle w:val="Heading2"/>
      </w:pPr>
      <w:r>
        <w:t>12.1 Acceptance tests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Area</w:t>
            </w:r>
          </w:p>
        </w:tc>
        <w:tc>
          <w:tcPr>
            <w:tcW w:type="dxa" w:w="5074"/>
            <w:shd w:fill="174EA6"/>
          </w:tcPr>
          <w:p>
            <w:pPr>
              <w:spacing w:after="0"/>
            </w:pPr>
            <w:r>
              <w:rPr>
                <w:b/>
                <w:color w:val="FFFFFF"/>
                <w:sz w:val="14"/>
              </w:rPr>
              <w:t>Acceptance</w:t>
            </w:r>
          </w:p>
        </w:tc>
      </w:tr>
      <w:tr>
        <w:tc>
          <w:tcPr>
            <w:tcW w:type="dxa" w:w="5074"/>
            <w:vAlign w:val="top"/>
          </w:tcPr>
          <w:p>
            <w:pPr>
              <w:spacing w:after="0"/>
            </w:pPr>
            <w:r>
              <w:rPr>
                <w:sz w:val="14"/>
              </w:rPr>
              <w:t>Architecture</w:t>
            </w:r>
          </w:p>
        </w:tc>
        <w:tc>
          <w:tcPr>
            <w:tcW w:type="dxa" w:w="5074"/>
            <w:vAlign w:val="top"/>
          </w:tcPr>
          <w:p>
            <w:pPr>
              <w:spacing w:after="0"/>
            </w:pPr>
            <w:r>
              <w:rPr>
                <w:sz w:val="14"/>
              </w:rPr>
              <w:t>Every industry has business context, capabilities, regulations, sources, architecture, products, AI, security, SRE, DR, FinOps, roadmap, ADRs, risks and examples.</w:t>
            </w:r>
          </w:p>
        </w:tc>
      </w:tr>
      <w:tr>
        <w:tc>
          <w:tcPr>
            <w:tcW w:type="dxa" w:w="5074"/>
            <w:shd w:fill="F7F8F9"/>
            <w:vAlign w:val="top"/>
          </w:tcPr>
          <w:p>
            <w:pPr>
              <w:spacing w:after="0"/>
            </w:pPr>
            <w:r>
              <w:rPr>
                <w:sz w:val="14"/>
              </w:rPr>
              <w:t>Data</w:t>
            </w:r>
          </w:p>
        </w:tc>
        <w:tc>
          <w:tcPr>
            <w:tcW w:type="dxa" w:w="5074"/>
            <w:shd w:fill="F7F8F9"/>
            <w:vAlign w:val="top"/>
          </w:tcPr>
          <w:p>
            <w:pPr>
              <w:spacing w:after="0"/>
            </w:pPr>
            <w:r>
              <w:rPr>
                <w:sz w:val="14"/>
              </w:rPr>
              <w:t>Source-to-product lineage and critical reconciliation pass using representative synthetic or approved data.</w:t>
            </w:r>
          </w:p>
        </w:tc>
      </w:tr>
      <w:tr>
        <w:tc>
          <w:tcPr>
            <w:tcW w:type="dxa" w:w="5074"/>
            <w:vAlign w:val="top"/>
          </w:tcPr>
          <w:p>
            <w:pPr>
              <w:spacing w:after="0"/>
            </w:pPr>
            <w:r>
              <w:rPr>
                <w:sz w:val="14"/>
              </w:rPr>
              <w:t>Security</w:t>
            </w:r>
          </w:p>
        </w:tc>
        <w:tc>
          <w:tcPr>
            <w:tcW w:type="dxa" w:w="5074"/>
            <w:vAlign w:val="top"/>
          </w:tcPr>
          <w:p>
            <w:pPr>
              <w:spacing w:after="0"/>
            </w:pPr>
            <w:r>
              <w:rPr>
                <w:sz w:val="14"/>
              </w:rPr>
              <w:t>Negative access, perimeter, key, tokenization/de-identification and audit tests pass.</w:t>
            </w:r>
          </w:p>
        </w:tc>
      </w:tr>
      <w:tr>
        <w:tc>
          <w:tcPr>
            <w:tcW w:type="dxa" w:w="5074"/>
            <w:shd w:fill="F7F8F9"/>
            <w:vAlign w:val="top"/>
          </w:tcPr>
          <w:p>
            <w:pPr>
              <w:spacing w:after="0"/>
            </w:pPr>
            <w:r>
              <w:rPr>
                <w:sz w:val="14"/>
              </w:rPr>
              <w:t>AI</w:t>
            </w:r>
          </w:p>
        </w:tc>
        <w:tc>
          <w:tcPr>
            <w:tcW w:type="dxa" w:w="5074"/>
            <w:shd w:fill="F7F8F9"/>
            <w:vAlign w:val="top"/>
          </w:tcPr>
          <w:p>
            <w:pPr>
              <w:spacing w:after="0"/>
            </w:pPr>
            <w:r>
              <w:rPr>
                <w:sz w:val="14"/>
              </w:rPr>
              <w:t>Quality, groundedness, safety, bias, tool/action and human-override tests meet thresholds.</w:t>
            </w:r>
          </w:p>
        </w:tc>
      </w:tr>
      <w:tr>
        <w:tc>
          <w:tcPr>
            <w:tcW w:type="dxa" w:w="5074"/>
            <w:vAlign w:val="top"/>
          </w:tcPr>
          <w:p>
            <w:pPr>
              <w:spacing w:after="0"/>
            </w:pPr>
            <w:r>
              <w:rPr>
                <w:sz w:val="14"/>
              </w:rPr>
              <w:t>Performance</w:t>
            </w:r>
          </w:p>
        </w:tc>
        <w:tc>
          <w:tcPr>
            <w:tcW w:type="dxa" w:w="5074"/>
            <w:vAlign w:val="top"/>
          </w:tcPr>
          <w:p>
            <w:pPr>
              <w:spacing w:after="0"/>
            </w:pPr>
            <w:r>
              <w:rPr>
                <w:sz w:val="14"/>
              </w:rPr>
              <w:t>Peak and recovery load meet freshness, latency, capacity and cost targets.</w:t>
            </w:r>
          </w:p>
        </w:tc>
      </w:tr>
      <w:tr>
        <w:tc>
          <w:tcPr>
            <w:tcW w:type="dxa" w:w="5074"/>
            <w:shd w:fill="F7F8F9"/>
            <w:vAlign w:val="top"/>
          </w:tcPr>
          <w:p>
            <w:pPr>
              <w:spacing w:after="0"/>
            </w:pPr>
            <w:r>
              <w:rPr>
                <w:sz w:val="14"/>
              </w:rPr>
              <w:t>Recovery</w:t>
            </w:r>
          </w:p>
        </w:tc>
        <w:tc>
          <w:tcPr>
            <w:tcW w:type="dxa" w:w="5074"/>
            <w:shd w:fill="F7F8F9"/>
            <w:vAlign w:val="top"/>
          </w:tcPr>
          <w:p>
            <w:pPr>
              <w:spacing w:after="0"/>
            </w:pPr>
            <w:r>
              <w:rPr>
                <w:sz w:val="14"/>
              </w:rPr>
              <w:t>Replay, regional recovery, rollback and cyber-recovery exercise meet workload RTO/RPO.</w:t>
            </w:r>
          </w:p>
        </w:tc>
      </w:tr>
      <w:tr>
        <w:tc>
          <w:tcPr>
            <w:tcW w:type="dxa" w:w="5074"/>
            <w:vAlign w:val="top"/>
          </w:tcPr>
          <w:p>
            <w:pPr>
              <w:spacing w:after="0"/>
            </w:pPr>
            <w:r>
              <w:rPr>
                <w:sz w:val="14"/>
              </w:rPr>
              <w:t>Package</w:t>
            </w:r>
          </w:p>
        </w:tc>
        <w:tc>
          <w:tcPr>
            <w:tcW w:type="dxa" w:w="5074"/>
            <w:vAlign w:val="top"/>
          </w:tcPr>
          <w:p>
            <w:pPr>
              <w:spacing w:after="0"/>
            </w:pPr>
            <w:r>
              <w:rPr>
                <w:sz w:val="14"/>
              </w:rPr>
              <w:t>DOCX/PDF render cleanly; diagrams and structured assets validate; checksums and ZIP pass.</w:t>
            </w:r>
          </w:p>
        </w:tc>
      </w:tr>
    </w:tbl>
    <w:p>
      <w:pPr>
        <w:spacing w:after="0"/>
      </w:pPr>
    </w:p>
    <w:p>
      <w:r>
        <w:br w:type="page"/>
      </w:r>
    </w:p>
    <w:p>
      <w:pPr>
        <w:pStyle w:val="Heading1"/>
      </w:pPr>
      <w:r>
        <w:t>13. Dependencies, Decisions and Next Actions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Dependency</w:t>
            </w:r>
          </w:p>
        </w:tc>
        <w:tc>
          <w:tcPr>
            <w:tcW w:type="dxa" w:w="5074"/>
            <w:shd w:fill="174EA6"/>
          </w:tcPr>
          <w:p>
            <w:pPr>
              <w:spacing w:after="0"/>
            </w:pPr>
            <w:r>
              <w:rPr>
                <w:b/>
                <w:color w:val="FFFFFF"/>
                <w:sz w:val="14"/>
              </w:rPr>
              <w:t>Required interface</w:t>
            </w:r>
          </w:p>
        </w:tc>
      </w:tr>
      <w:tr>
        <w:tc>
          <w:tcPr>
            <w:tcW w:type="dxa" w:w="5074"/>
            <w:vAlign w:val="top"/>
          </w:tcPr>
          <w:p>
            <w:pPr>
              <w:spacing w:after="0"/>
            </w:pPr>
            <w:r>
              <w:rPr>
                <w:sz w:val="14"/>
              </w:rPr>
              <w:t>Volumes 01-08</w:t>
            </w:r>
          </w:p>
        </w:tc>
        <w:tc>
          <w:tcPr>
            <w:tcW w:type="dxa" w:w="5074"/>
            <w:vAlign w:val="top"/>
          </w:tcPr>
          <w:p>
            <w:pPr>
              <w:spacing w:after="0"/>
            </w:pPr>
            <w:r>
              <w:rPr>
                <w:sz w:val="14"/>
              </w:rPr>
              <w:t>Foundation, platform, mesh, analytics, AI and security standards.</w:t>
            </w:r>
          </w:p>
        </w:tc>
      </w:tr>
      <w:tr>
        <w:tc>
          <w:tcPr>
            <w:tcW w:type="dxa" w:w="5074"/>
            <w:shd w:fill="F7F8F9"/>
            <w:vAlign w:val="top"/>
          </w:tcPr>
          <w:p>
            <w:pPr>
              <w:spacing w:after="0"/>
            </w:pPr>
            <w:r>
              <w:rPr>
                <w:sz w:val="14"/>
              </w:rPr>
              <w:t>Volume 09 - pending</w:t>
            </w:r>
          </w:p>
        </w:tc>
        <w:tc>
          <w:tcPr>
            <w:tcW w:type="dxa" w:w="5074"/>
            <w:shd w:fill="F7F8F9"/>
            <w:vAlign w:val="top"/>
          </w:tcPr>
          <w:p>
            <w:pPr>
              <w:spacing w:after="0"/>
            </w:pPr>
            <w:r>
              <w:rPr>
                <w:sz w:val="14"/>
              </w:rPr>
              <w:t>Industry CI/CD gates, immutable promotion, security scanning, evidence and rollback automation.</w:t>
            </w:r>
          </w:p>
        </w:tc>
      </w:tr>
      <w:tr>
        <w:tc>
          <w:tcPr>
            <w:tcW w:type="dxa" w:w="5074"/>
            <w:vAlign w:val="top"/>
          </w:tcPr>
          <w:p>
            <w:pPr>
              <w:spacing w:after="0"/>
            </w:pPr>
            <w:r>
              <w:rPr>
                <w:sz w:val="14"/>
              </w:rPr>
              <w:t>Volume 10</w:t>
            </w:r>
          </w:p>
        </w:tc>
        <w:tc>
          <w:tcPr>
            <w:tcW w:type="dxa" w:w="5074"/>
            <w:vAlign w:val="top"/>
          </w:tcPr>
          <w:p>
            <w:pPr>
              <w:spacing w:after="0"/>
            </w:pPr>
            <w:r>
              <w:rPr>
                <w:sz w:val="14"/>
              </w:rPr>
              <w:t>Industry allocation, forecasting, unit economics and optimization.</w:t>
            </w:r>
          </w:p>
        </w:tc>
      </w:tr>
      <w:tr>
        <w:tc>
          <w:tcPr>
            <w:tcW w:type="dxa" w:w="5074"/>
            <w:shd w:fill="F7F8F9"/>
            <w:vAlign w:val="top"/>
          </w:tcPr>
          <w:p>
            <w:pPr>
              <w:spacing w:after="0"/>
            </w:pPr>
            <w:r>
              <w:rPr>
                <w:sz w:val="14"/>
              </w:rPr>
              <w:t>Volume 11</w:t>
            </w:r>
          </w:p>
        </w:tc>
        <w:tc>
          <w:tcPr>
            <w:tcW w:type="dxa" w:w="5074"/>
            <w:shd w:fill="F7F8F9"/>
            <w:vAlign w:val="top"/>
          </w:tcPr>
          <w:p>
            <w:pPr>
              <w:spacing w:after="0"/>
            </w:pPr>
            <w:r>
              <w:rPr>
                <w:sz w:val="14"/>
              </w:rPr>
              <w:t>Service ownership, SLOs, alerting, incident, capacity and readiness.</w:t>
            </w:r>
          </w:p>
        </w:tc>
      </w:tr>
      <w:tr>
        <w:tc>
          <w:tcPr>
            <w:tcW w:type="dxa" w:w="5074"/>
            <w:vAlign w:val="top"/>
          </w:tcPr>
          <w:p>
            <w:pPr>
              <w:spacing w:after="0"/>
            </w:pPr>
            <w:r>
              <w:rPr>
                <w:sz w:val="14"/>
              </w:rPr>
              <w:t>Volume 12</w:t>
            </w:r>
          </w:p>
        </w:tc>
        <w:tc>
          <w:tcPr>
            <w:tcW w:type="dxa" w:w="5074"/>
            <w:vAlign w:val="top"/>
          </w:tcPr>
          <w:p>
            <w:pPr>
              <w:spacing w:after="0"/>
            </w:pPr>
            <w:r>
              <w:rPr>
                <w:sz w:val="14"/>
              </w:rPr>
              <w:t>Workload RTO/RPO, regional/cyber recovery and exercises.</w:t>
            </w:r>
          </w:p>
        </w:tc>
      </w:tr>
      <w:tr>
        <w:tc>
          <w:tcPr>
            <w:tcW w:type="dxa" w:w="5074"/>
            <w:shd w:fill="F7F8F9"/>
            <w:vAlign w:val="top"/>
          </w:tcPr>
          <w:p>
            <w:pPr>
              <w:spacing w:after="0"/>
            </w:pPr>
            <w:r>
              <w:rPr>
                <w:sz w:val="14"/>
              </w:rPr>
              <w:t>Volume 13 - pending</w:t>
            </w:r>
          </w:p>
        </w:tc>
        <w:tc>
          <w:tcPr>
            <w:tcW w:type="dxa" w:w="5074"/>
            <w:shd w:fill="F7F8F9"/>
            <w:vAlign w:val="top"/>
          </w:tcPr>
          <w:p>
            <w:pPr>
              <w:spacing w:after="0"/>
            </w:pPr>
            <w:r>
              <w:rPr>
                <w:sz w:val="14"/>
              </w:rPr>
              <w:t>Golden industry/domain Terraform modules, state and drift management.</w:t>
            </w:r>
          </w:p>
        </w:tc>
      </w:tr>
    </w:tbl>
    <w:p>
      <w:pPr>
        <w:spacing w:after="0"/>
      </w:pPr>
    </w:p>
    <w:p>
      <w:pPr>
        <w:pStyle w:val="ListNumber"/>
      </w:pPr>
      <w:r>
        <w:t>Approve Volume 14 as the industry implementation baseline.</w:t>
      </w:r>
    </w:p>
    <w:p>
      <w:pPr>
        <w:pStyle w:val="ListNumber"/>
      </w:pPr>
      <w:r>
        <w:t>Select one production pilot per industry or prioritize industries according to enterprise strategy.</w:t>
      </w:r>
    </w:p>
    <w:p>
      <w:pPr>
        <w:pStyle w:val="ListNumber"/>
      </w:pPr>
      <w:r>
        <w:t>Complete the outstanding Volume 9 and Volume 13 controls before broad production scaling.</w:t>
      </w:r>
    </w:p>
    <w:p>
      <w:pPr>
        <w:pStyle w:val="ListNumber"/>
      </w:pPr>
      <w:r>
        <w:t>Run legal/regulatory applicability assessment for each jurisdiction and workload.</w:t>
      </w:r>
    </w:p>
    <w:p>
      <w:pPr>
        <w:pStyle w:val="ListNumber"/>
      </w:pPr>
      <w:r>
        <w:t>Create industry product catalogs, critical-journey SLOs and unit-economics baselines.</w:t>
      </w:r>
    </w:p>
    <w:p>
      <w:pPr>
        <w:pStyle w:val="ListNumber"/>
      </w:pPr>
      <w:r>
        <w:t>Execute cross-volume assurance after all required volumes and implementation dependencies are complete.</w:t>
      </w:r>
    </w:p>
    <w:p>
      <w:r>
        <w:br w:type="page"/>
      </w:r>
    </w:p>
    <w:p>
      <w:pPr>
        <w:pStyle w:val="Heading1"/>
      </w:pPr>
      <w:r>
        <w:t>14. References and Companion Assets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Reference</w:t>
            </w:r>
          </w:p>
        </w:tc>
        <w:tc>
          <w:tcPr>
            <w:tcW w:type="dxa" w:w="5074"/>
            <w:shd w:fill="174EA6"/>
          </w:tcPr>
          <w:p>
            <w:pPr>
              <w:spacing w:after="0"/>
            </w:pPr>
            <w:r>
              <w:rPr>
                <w:b/>
                <w:color w:val="FFFFFF"/>
                <w:sz w:val="14"/>
              </w:rPr>
              <w:t>Location</w:t>
            </w:r>
          </w:p>
        </w:tc>
      </w:tr>
      <w:tr>
        <w:tc>
          <w:tcPr>
            <w:tcW w:type="dxa" w:w="5074"/>
            <w:vAlign w:val="top"/>
          </w:tcPr>
          <w:p>
            <w:pPr>
              <w:spacing w:after="0"/>
            </w:pPr>
            <w:r>
              <w:rPr>
                <w:sz w:val="14"/>
              </w:rPr>
              <w:t>Master Prompt - Enterprise Google Cloud Data Platform Blueprint Series</w:t>
            </w:r>
          </w:p>
        </w:tc>
        <w:tc>
          <w:tcPr>
            <w:tcW w:type="dxa" w:w="5074"/>
            <w:vAlign w:val="top"/>
          </w:tcPr>
          <w:p>
            <w:pPr>
              <w:spacing w:after="0"/>
            </w:pPr>
            <w:r>
              <w:rPr>
                <w:sz w:val="14"/>
              </w:rPr>
              <w:t>User-provided master document</w:t>
            </w:r>
          </w:p>
        </w:tc>
      </w:tr>
      <w:tr>
        <w:tc>
          <w:tcPr>
            <w:tcW w:type="dxa" w:w="5074"/>
            <w:shd w:fill="F7F8F9"/>
            <w:vAlign w:val="top"/>
          </w:tcPr>
          <w:p>
            <w:pPr>
              <w:spacing w:after="0"/>
            </w:pPr>
            <w:r>
              <w:rPr>
                <w:sz w:val="14"/>
              </w:rPr>
              <w:t>Cloud Healthcare API</w:t>
            </w:r>
          </w:p>
        </w:tc>
        <w:tc>
          <w:tcPr>
            <w:tcW w:type="dxa" w:w="5074"/>
            <w:shd w:fill="F7F8F9"/>
            <w:vAlign w:val="top"/>
          </w:tcPr>
          <w:p>
            <w:pPr>
              <w:spacing w:after="0"/>
            </w:pPr>
            <w:r>
              <w:rPr>
                <w:sz w:val="14"/>
              </w:rPr>
              <w:t>https://docs.cloud.google.com/healthcare-api/docs</w:t>
            </w:r>
          </w:p>
        </w:tc>
      </w:tr>
      <w:tr>
        <w:tc>
          <w:tcPr>
            <w:tcW w:type="dxa" w:w="5074"/>
            <w:vAlign w:val="top"/>
          </w:tcPr>
          <w:p>
            <w:pPr>
              <w:spacing w:after="0"/>
            </w:pPr>
            <w:r>
              <w:rPr>
                <w:sz w:val="14"/>
              </w:rPr>
              <w:t>HIPAA compliance on Google Cloud</w:t>
            </w:r>
          </w:p>
        </w:tc>
        <w:tc>
          <w:tcPr>
            <w:tcW w:type="dxa" w:w="5074"/>
            <w:vAlign w:val="top"/>
          </w:tcPr>
          <w:p>
            <w:pPr>
              <w:spacing w:after="0"/>
            </w:pPr>
            <w:r>
              <w:rPr>
                <w:sz w:val="14"/>
              </w:rPr>
              <w:t>https://cloud.google.com/security/compliance/hipaa</w:t>
            </w:r>
          </w:p>
        </w:tc>
      </w:tr>
      <w:tr>
        <w:tc>
          <w:tcPr>
            <w:tcW w:type="dxa" w:w="5074"/>
            <w:shd w:fill="F7F8F9"/>
            <w:vAlign w:val="top"/>
          </w:tcPr>
          <w:p>
            <w:pPr>
              <w:spacing w:after="0"/>
            </w:pPr>
            <w:r>
              <w:rPr>
                <w:sz w:val="14"/>
              </w:rPr>
              <w:t>HHS HIPAA Security Rule</w:t>
            </w:r>
          </w:p>
        </w:tc>
        <w:tc>
          <w:tcPr>
            <w:tcW w:type="dxa" w:w="5074"/>
            <w:shd w:fill="F7F8F9"/>
            <w:vAlign w:val="top"/>
          </w:tcPr>
          <w:p>
            <w:pPr>
              <w:spacing w:after="0"/>
            </w:pPr>
            <w:r>
              <w:rPr>
                <w:sz w:val="14"/>
              </w:rPr>
              <w:t>https://www.hhs.gov/hipaa/for-professionals/security/index.html</w:t>
            </w:r>
          </w:p>
        </w:tc>
      </w:tr>
      <w:tr>
        <w:tc>
          <w:tcPr>
            <w:tcW w:type="dxa" w:w="5074"/>
            <w:vAlign w:val="top"/>
          </w:tcPr>
          <w:p>
            <w:pPr>
              <w:spacing w:after="0"/>
            </w:pPr>
            <w:r>
              <w:rPr>
                <w:sz w:val="14"/>
              </w:rPr>
              <w:t>Anti Money Laundering AI</w:t>
            </w:r>
          </w:p>
        </w:tc>
        <w:tc>
          <w:tcPr>
            <w:tcW w:type="dxa" w:w="5074"/>
            <w:vAlign w:val="top"/>
          </w:tcPr>
          <w:p>
            <w:pPr>
              <w:spacing w:after="0"/>
            </w:pPr>
            <w:r>
              <w:rPr>
                <w:sz w:val="14"/>
              </w:rPr>
              <w:t>https://docs.cloud.google.com/financial-services/anti-money-laundering/docs</w:t>
            </w:r>
          </w:p>
        </w:tc>
      </w:tr>
      <w:tr>
        <w:tc>
          <w:tcPr>
            <w:tcW w:type="dxa" w:w="5074"/>
            <w:shd w:fill="F7F8F9"/>
            <w:vAlign w:val="top"/>
          </w:tcPr>
          <w:p>
            <w:pPr>
              <w:spacing w:after="0"/>
            </w:pPr>
            <w:r>
              <w:rPr>
                <w:sz w:val="14"/>
              </w:rPr>
              <w:t>DORA Regulation</w:t>
            </w:r>
          </w:p>
        </w:tc>
        <w:tc>
          <w:tcPr>
            <w:tcW w:type="dxa" w:w="5074"/>
            <w:shd w:fill="F7F8F9"/>
            <w:vAlign w:val="top"/>
          </w:tcPr>
          <w:p>
            <w:pPr>
              <w:spacing w:after="0"/>
            </w:pPr>
            <w:r>
              <w:rPr>
                <w:sz w:val="14"/>
              </w:rPr>
              <w:t>https://eur-lex.europa.eu/eli/reg/2022/2554/oj/eng</w:t>
            </w:r>
          </w:p>
        </w:tc>
      </w:tr>
      <w:tr>
        <w:tc>
          <w:tcPr>
            <w:tcW w:type="dxa" w:w="5074"/>
            <w:vAlign w:val="top"/>
          </w:tcPr>
          <w:p>
            <w:pPr>
              <w:spacing w:after="0"/>
            </w:pPr>
            <w:r>
              <w:rPr>
                <w:sz w:val="14"/>
              </w:rPr>
              <w:t>FFIEC Business Continuity Management</w:t>
            </w:r>
          </w:p>
        </w:tc>
        <w:tc>
          <w:tcPr>
            <w:tcW w:type="dxa" w:w="5074"/>
            <w:vAlign w:val="top"/>
          </w:tcPr>
          <w:p>
            <w:pPr>
              <w:spacing w:after="0"/>
            </w:pPr>
            <w:r>
              <w:rPr>
                <w:sz w:val="14"/>
              </w:rPr>
              <w:t>https://ithandbook.ffiec.gov/it-booklets/business-continuity-management.aspx</w:t>
            </w:r>
          </w:p>
        </w:tc>
      </w:tr>
      <w:tr>
        <w:tc>
          <w:tcPr>
            <w:tcW w:type="dxa" w:w="5074"/>
            <w:shd w:fill="F7F8F9"/>
            <w:vAlign w:val="top"/>
          </w:tcPr>
          <w:p>
            <w:pPr>
              <w:spacing w:after="0"/>
            </w:pPr>
            <w:r>
              <w:rPr>
                <w:sz w:val="14"/>
              </w:rPr>
              <w:t>PCI DSS</w:t>
            </w:r>
          </w:p>
        </w:tc>
        <w:tc>
          <w:tcPr>
            <w:tcW w:type="dxa" w:w="5074"/>
            <w:shd w:fill="F7F8F9"/>
            <w:vAlign w:val="top"/>
          </w:tcPr>
          <w:p>
            <w:pPr>
              <w:spacing w:after="0"/>
            </w:pPr>
            <w:r>
              <w:rPr>
                <w:sz w:val="14"/>
              </w:rPr>
              <w:t>https://www.pcisecuritystandards.org/standards/pci-dss/</w:t>
            </w:r>
          </w:p>
        </w:tc>
      </w:tr>
      <w:tr>
        <w:tc>
          <w:tcPr>
            <w:tcW w:type="dxa" w:w="5074"/>
            <w:vAlign w:val="top"/>
          </w:tcPr>
          <w:p>
            <w:pPr>
              <w:spacing w:after="0"/>
            </w:pPr>
            <w:r>
              <w:rPr>
                <w:sz w:val="14"/>
              </w:rPr>
              <w:t>AI Commerce Search</w:t>
            </w:r>
          </w:p>
        </w:tc>
        <w:tc>
          <w:tcPr>
            <w:tcW w:type="dxa" w:w="5074"/>
            <w:vAlign w:val="top"/>
          </w:tcPr>
          <w:p>
            <w:pPr>
              <w:spacing w:after="0"/>
            </w:pPr>
            <w:r>
              <w:rPr>
                <w:sz w:val="14"/>
              </w:rPr>
              <w:t>https://docs.cloud.google.com/retail/docs</w:t>
            </w:r>
          </w:p>
        </w:tc>
      </w:tr>
      <w:tr>
        <w:tc>
          <w:tcPr>
            <w:tcW w:type="dxa" w:w="5074"/>
            <w:shd w:fill="F7F8F9"/>
            <w:vAlign w:val="top"/>
          </w:tcPr>
          <w:p>
            <w:pPr>
              <w:spacing w:after="0"/>
            </w:pPr>
            <w:r>
              <w:rPr>
                <w:sz w:val="14"/>
              </w:rPr>
              <w:t>Google Cloud retail solutions</w:t>
            </w:r>
          </w:p>
        </w:tc>
        <w:tc>
          <w:tcPr>
            <w:tcW w:type="dxa" w:w="5074"/>
            <w:shd w:fill="F7F8F9"/>
            <w:vAlign w:val="top"/>
          </w:tcPr>
          <w:p>
            <w:pPr>
              <w:spacing w:after="0"/>
            </w:pPr>
            <w:r>
              <w:rPr>
                <w:sz w:val="14"/>
              </w:rPr>
              <w:t>https://cloud.google.com/solutions/retail</w:t>
            </w:r>
          </w:p>
        </w:tc>
      </w:tr>
      <w:tr>
        <w:tc>
          <w:tcPr>
            <w:tcW w:type="dxa" w:w="5074"/>
            <w:vAlign w:val="top"/>
          </w:tcPr>
          <w:p>
            <w:pPr>
              <w:spacing w:after="0"/>
            </w:pPr>
            <w:r>
              <w:rPr>
                <w:sz w:val="14"/>
              </w:rPr>
              <w:t>Google Cloud telecommunications solutions</w:t>
            </w:r>
          </w:p>
        </w:tc>
        <w:tc>
          <w:tcPr>
            <w:tcW w:type="dxa" w:w="5074"/>
            <w:vAlign w:val="top"/>
          </w:tcPr>
          <w:p>
            <w:pPr>
              <w:spacing w:after="0"/>
            </w:pPr>
            <w:r>
              <w:rPr>
                <w:sz w:val="14"/>
              </w:rPr>
              <w:t>https://cloud.google.com/solutions/telecommunications</w:t>
            </w:r>
          </w:p>
        </w:tc>
      </w:tr>
      <w:tr>
        <w:tc>
          <w:tcPr>
            <w:tcW w:type="dxa" w:w="5074"/>
            <w:shd w:fill="F7F8F9"/>
            <w:vAlign w:val="top"/>
          </w:tcPr>
          <w:p>
            <w:pPr>
              <w:spacing w:after="0"/>
            </w:pPr>
            <w:r>
              <w:rPr>
                <w:sz w:val="14"/>
              </w:rPr>
              <w:t>Telecom Network Automation</w:t>
            </w:r>
          </w:p>
        </w:tc>
        <w:tc>
          <w:tcPr>
            <w:tcW w:type="dxa" w:w="5074"/>
            <w:shd w:fill="F7F8F9"/>
            <w:vAlign w:val="top"/>
          </w:tcPr>
          <w:p>
            <w:pPr>
              <w:spacing w:after="0"/>
            </w:pPr>
            <w:r>
              <w:rPr>
                <w:sz w:val="14"/>
              </w:rPr>
              <w:t>https://docs.cloud.google.com/telecom-network-automation/docs/overview</w:t>
            </w:r>
          </w:p>
        </w:tc>
      </w:tr>
      <w:tr>
        <w:tc>
          <w:tcPr>
            <w:tcW w:type="dxa" w:w="5074"/>
            <w:vAlign w:val="top"/>
          </w:tcPr>
          <w:p>
            <w:pPr>
              <w:spacing w:after="0"/>
            </w:pPr>
            <w:r>
              <w:rPr>
                <w:sz w:val="14"/>
              </w:rPr>
              <w:t>FCC CPNI privacy</w:t>
            </w:r>
          </w:p>
        </w:tc>
        <w:tc>
          <w:tcPr>
            <w:tcW w:type="dxa" w:w="5074"/>
            <w:vAlign w:val="top"/>
          </w:tcPr>
          <w:p>
            <w:pPr>
              <w:spacing w:after="0"/>
            </w:pPr>
            <w:r>
              <w:rPr>
                <w:sz w:val="14"/>
              </w:rPr>
              <w:t>https://www.fcc.gov/enforcement/areas/privacy</w:t>
            </w:r>
          </w:p>
        </w:tc>
      </w:tr>
      <w:tr>
        <w:tc>
          <w:tcPr>
            <w:tcW w:type="dxa" w:w="5074"/>
            <w:shd w:fill="F7F8F9"/>
            <w:vAlign w:val="top"/>
          </w:tcPr>
          <w:p>
            <w:pPr>
              <w:spacing w:after="0"/>
            </w:pPr>
            <w:r>
              <w:rPr>
                <w:sz w:val="14"/>
              </w:rPr>
              <w:t>NIS2 Directive</w:t>
            </w:r>
          </w:p>
        </w:tc>
        <w:tc>
          <w:tcPr>
            <w:tcW w:type="dxa" w:w="5074"/>
            <w:shd w:fill="F7F8F9"/>
            <w:vAlign w:val="top"/>
          </w:tcPr>
          <w:p>
            <w:pPr>
              <w:spacing w:after="0"/>
            </w:pPr>
            <w:r>
              <w:rPr>
                <w:sz w:val="14"/>
              </w:rPr>
              <w:t>https://digital-strategy.ec.europa.eu/en/policies/nis2-directive</w:t>
            </w:r>
          </w:p>
        </w:tc>
      </w:tr>
      <w:tr>
        <w:tc>
          <w:tcPr>
            <w:tcW w:type="dxa" w:w="5074"/>
            <w:vAlign w:val="top"/>
          </w:tcPr>
          <w:p>
            <w:pPr>
              <w:spacing w:after="0"/>
            </w:pPr>
            <w:r>
              <w:rPr>
                <w:sz w:val="14"/>
              </w:rPr>
              <w:t>GDPR</w:t>
            </w:r>
          </w:p>
        </w:tc>
        <w:tc>
          <w:tcPr>
            <w:tcW w:type="dxa" w:w="5074"/>
            <w:vAlign w:val="top"/>
          </w:tcPr>
          <w:p>
            <w:pPr>
              <w:spacing w:after="0"/>
            </w:pPr>
            <w:r>
              <w:rPr>
                <w:sz w:val="14"/>
              </w:rPr>
              <w:t>https://eur-lex.europa.eu/eli/reg/2016/679/oj/eng</w:t>
            </w:r>
          </w:p>
        </w:tc>
      </w:tr>
    </w:tbl>
    <w:p>
      <w:pPr>
        <w:spacing w:after="0"/>
      </w:pPr>
    </w:p>
    <w:p>
      <w:r>
        <w:t>Companion assets include multi-format diagrams, industry implementation starters, eight matrices, twenty ADRs, references, validation reports, manifest and checksums.</w:t>
      </w:r>
    </w:p>
    <w:sectPr w:rsidR="00FC693F" w:rsidRPr="0006063C" w:rsidSect="00034616">
      <w:headerReference w:type="default" r:id="rId9"/>
      <w:footerReference w:type="default" r:id="rId10"/>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Industry Reference Implementations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368"/>
        <w:sz w:val="16"/>
      </w:rPr>
      <w:t>Enterprise Google Cloud Data Platform Blueprint | Volume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Liberation Sans" w:hAnsi="Liberation Sans"/>
      <w:b/>
      <w:bCs/>
      <w:color w:val="174EA6"/>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174EA6"/>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Liberation Sans" w:hAnsi="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Liberation Mono" w:hAnsi="Liberation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