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600"/>
        <w:jc w:val="center"/>
      </w:pPr>
      <w:r>
        <w:t xml:space="preserve">ENTERPRISE</w:t>
      </w:r>
      <w:r>
        <w:t xml:space="preserve"> </w:t>
      </w:r>
      <w:r>
        <w:t xml:space="preserve">GOOGLE</w:t>
      </w:r>
      <w:r>
        <w:t xml:space="preserve"> </w:t>
      </w:r>
      <w:r>
        <w:t xml:space="preserve">CLOUD</w:t>
      </w:r>
      <w:r>
        <w:t xml:space="preserve"> </w:t>
      </w:r>
      <w:r>
        <w:t xml:space="preserve">DATA</w:t>
      </w:r>
      <w:r>
        <w:t xml:space="preserve"> </w:t>
      </w:r>
      <w:r>
        <w:t xml:space="preserve">PLATFORM</w:t>
      </w:r>
      <w:r>
        <w:t xml:space="preserve"> </w:t>
      </w:r>
      <w:r>
        <w:t xml:space="preserve">BLUEPRINT</w:t>
      </w:r>
    </w:p>
    <w:p>
      <w:pPr>
        <w:pStyle w:val="Subtitle"/>
        <w:jc w:val="center"/>
      </w:pPr>
      <w:r>
        <w:t xml:space="preserve">VOLUME</w:t>
      </w:r>
      <w:r>
        <w:t xml:space="preserve"> </w:t>
      </w:r>
      <w:r>
        <w:t xml:space="preserve">02</w:t>
      </w:r>
      <w:r>
        <w:t xml:space="preserve"> </w:t>
      </w:r>
      <w:r>
        <w:t xml:space="preserve">-</w:t>
      </w:r>
      <w:r>
        <w:t xml:space="preserve"> </w:t>
      </w:r>
      <w:r>
        <w:t xml:space="preserve">Google</w:t>
      </w:r>
      <w:r>
        <w:t xml:space="preserve"> </w:t>
      </w:r>
      <w:r>
        <w:t xml:space="preserve">Cloud</w:t>
      </w:r>
      <w:r>
        <w:t xml:space="preserve"> </w:t>
      </w:r>
      <w:r>
        <w:t xml:space="preserve">Landing</w:t>
      </w:r>
      <w:r>
        <w:t xml:space="preserve"> </w:t>
      </w:r>
      <w:r>
        <w:t xml:space="preserve">Zone</w:t>
      </w:r>
    </w:p>
    <w:p>
      <w:pPr>
        <w:pStyle w:val="Author"/>
        <w:jc w:val="center"/>
      </w:pPr>
      <w:r>
        <w:t xml:space="preserve">Enterprise</w:t>
      </w:r>
      <w:r>
        <w:t xml:space="preserve"> </w:t>
      </w:r>
      <w:r>
        <w:t xml:space="preserve">Cloud</w:t>
      </w:r>
      <w:r>
        <w:t xml:space="preserve"> </w:t>
      </w:r>
      <w:r>
        <w:t xml:space="preserve">Architecture</w:t>
      </w:r>
      <w:r>
        <w:t xml:space="preserve"> </w:t>
      </w:r>
      <w:r>
        <w:t xml:space="preserve">Team</w:t>
      </w:r>
    </w:p>
    <w:p>
      <w:pPr>
        <w:pStyle w:val="Date"/>
        <w:jc w:val="center"/>
      </w:pPr>
      <w:r>
        <w:t xml:space="preserve">July</w:t>
      </w:r>
      <w:r>
        <w:t xml:space="preserve"> </w:t>
      </w:r>
      <w:r>
        <w:t xml:space="preserve">2026</w:t>
      </w:r>
    </w:p>
    <w:p>
      <w:pPr>
        <w:pStyle w:val="CaptionedFigure"/>
      </w:pPr>
      <w:r>
        <w:drawing>
          <wp:inline>
            <wp:extent cx="5806440" cy="1923019"/>
            <wp:effectExtent b="0" l="0" r="0" t="0"/>
            <wp:docPr descr="Landing Zone Security Foundation" title="" id="21" name="Picture"/>
            <a:graphic>
              <a:graphicData uri="http://schemas.openxmlformats.org/drawingml/2006/picture">
                <pic:pic>
                  <pic:nvPicPr>
                    <pic:cNvPr descr="/mnt/data/Volume_02_Google_Cloud_Landing_Zone_Package/diagrams/07_security_foundation.png" id="22" name="Picture"/>
                    <pic:cNvPicPr>
                      <a:picLocks noChangeArrowheads="1" noChangeAspect="1"/>
                    </pic:cNvPicPr>
                  </pic:nvPicPr>
                  <pic:blipFill>
                    <a:blip r:embed="rId20"/>
                    <a:stretch>
                      <a:fillRect/>
                    </a:stretch>
                  </pic:blipFill>
                  <pic:spPr bwMode="auto">
                    <a:xfrm>
                      <a:off x="0" y="0"/>
                      <a:ext cx="5806440" cy="1923019"/>
                    </a:xfrm>
                    <a:prstGeom prst="rect">
                      <a:avLst/>
                    </a:prstGeom>
                    <a:noFill/>
                    <a:ln w="9525">
                      <a:noFill/>
                      <a:headEnd/>
                      <a:tailEnd/>
                    </a:ln>
                  </pic:spPr>
                </pic:pic>
              </a:graphicData>
            </a:graphic>
          </wp:inline>
        </w:drawing>
      </w:r>
    </w:p>
    <w:p>
      <w:pPr>
        <w:pStyle w:val="ImageCaption"/>
        <w:jc w:val="center"/>
      </w:pPr>
      <w:r>
        <w:rPr>
          <w:b/>
          <w:color w:val="1F4E79"/>
          <w:sz w:val="32"/>
        </w:rPr>
        <w:t xml:space="preserve">Landing Zone Security Foundation</w:t>
      </w:r>
    </w:p>
    <w:p>
      <w:pPr>
        <w:pStyle w:val="BodyText"/>
        <w:jc w:val="center"/>
      </w:pPr>
      <w:r>
        <w:rPr>
          <w:b/>
          <w:bCs/>
          <w:color w:val="595959"/>
        </w:rPr>
        <w:t xml:space="preserve">Secure, scalable and automated enterprise cloud foundation</w:t>
      </w:r>
    </w:p>
    <w:p>
      <w:pPr>
        <w:pStyle w:val="BodyText"/>
        <w:jc w:val="center"/>
      </w:pPr>
      <w:r>
        <w:rPr>
          <w:color w:val="595959"/>
        </w:rPr>
        <w:t xml:space="preserve">Fortune 100 scale | Multi-region | Hybrid and multi-cloud | Regulated workloads</w:t>
      </w:r>
    </w:p>
    <w:p>
      <w:pPr>
        <w:pStyle w:val="BodyText"/>
        <w:jc w:val="center"/>
      </w:pPr>
      <w:r>
        <w:rPr>
          <w:color w:val="595959"/>
        </w:rPr>
        <w:t xml:space="preserve">Version 1.0 | Architecture baseline</w:t>
      </w:r>
    </w:p>
    <w:p>
      <w:pPr>
        <w:pStyle w:val="BodyText"/>
        <w:spacing w:after="0" w:before="0"/>
      </w:pPr>
      <w:r>
        <w:br w:type="page"/>
      </w:r>
    </w:p>
    <w:bookmarkStart w:id="23" w:name="contents"/>
    <w:p>
      <w:pPr>
        <w:pStyle w:val="Heading1"/>
        <w:keepNext/>
        <w:pageBreakBefore w:val="0"/>
      </w:pPr>
      <w:r>
        <w:t xml:space="preserve">Contents</w:t>
      </w:r>
    </w:p>
    <w:p>
      <w:pPr>
        <w:pStyle w:val="Compact"/>
        <w:numPr>
          <w:ilvl w:val="0"/>
          <w:numId w:val="1001"/>
        </w:numPr>
      </w:pPr>
      <w:r>
        <w:t xml:space="preserve">Executive Landing Zone Overview</w:t>
      </w:r>
    </w:p>
    <w:p>
      <w:pPr>
        <w:pStyle w:val="Compact"/>
        <w:numPr>
          <w:ilvl w:val="0"/>
          <w:numId w:val="1001"/>
        </w:numPr>
      </w:pPr>
      <w:r>
        <w:t xml:space="preserve">Organization, Folder and Resource Hierarchy</w:t>
      </w:r>
    </w:p>
    <w:p>
      <w:pPr>
        <w:pStyle w:val="Compact"/>
        <w:numPr>
          <w:ilvl w:val="0"/>
          <w:numId w:val="1001"/>
        </w:numPr>
      </w:pPr>
      <w:r>
        <w:t xml:space="preserve">Project Factory, Project Types and Environment Strategy</w:t>
      </w:r>
    </w:p>
    <w:p>
      <w:pPr>
        <w:pStyle w:val="Compact"/>
        <w:numPr>
          <w:ilvl w:val="0"/>
          <w:numId w:val="1001"/>
        </w:numPr>
      </w:pPr>
      <w:r>
        <w:t xml:space="preserve">Enterprise Network Architecture</w:t>
      </w:r>
    </w:p>
    <w:p>
      <w:pPr>
        <w:pStyle w:val="Compact"/>
        <w:numPr>
          <w:ilvl w:val="0"/>
          <w:numId w:val="1001"/>
        </w:numPr>
      </w:pPr>
      <w:r>
        <w:t xml:space="preserve">Identity and Access Architecture</w:t>
      </w:r>
    </w:p>
    <w:p>
      <w:pPr>
        <w:pStyle w:val="Compact"/>
        <w:numPr>
          <w:ilvl w:val="0"/>
          <w:numId w:val="1001"/>
        </w:numPr>
      </w:pPr>
      <w:r>
        <w:t xml:space="preserve">Security Foundation</w:t>
      </w:r>
    </w:p>
    <w:p>
      <w:pPr>
        <w:pStyle w:val="Compact"/>
        <w:numPr>
          <w:ilvl w:val="0"/>
          <w:numId w:val="1001"/>
        </w:numPr>
      </w:pPr>
      <w:r>
        <w:t xml:space="preserve">Audit, Monitoring, Logging and Security Operations</w:t>
      </w:r>
    </w:p>
    <w:p>
      <w:pPr>
        <w:pStyle w:val="Compact"/>
        <w:numPr>
          <w:ilvl w:val="0"/>
          <w:numId w:val="1001"/>
        </w:numPr>
      </w:pPr>
      <w:r>
        <w:t xml:space="preserve">Naming Conventions, Labels and Tags</w:t>
      </w:r>
    </w:p>
    <w:p>
      <w:pPr>
        <w:pStyle w:val="Compact"/>
        <w:numPr>
          <w:ilvl w:val="0"/>
          <w:numId w:val="1001"/>
        </w:numPr>
      </w:pPr>
      <w:r>
        <w:t xml:space="preserve">Terraform Landing-Zone Implementation</w:t>
      </w:r>
    </w:p>
    <w:p>
      <w:pPr>
        <w:pStyle w:val="Compact"/>
        <w:numPr>
          <w:ilvl w:val="0"/>
          <w:numId w:val="1001"/>
        </w:numPr>
      </w:pPr>
      <w:r>
        <w:t xml:space="preserve">Landing-Zone Deployment Sequence</w:t>
      </w:r>
    </w:p>
    <w:p>
      <w:pPr>
        <w:pStyle w:val="Compact"/>
        <w:numPr>
          <w:ilvl w:val="0"/>
          <w:numId w:val="1001"/>
        </w:numPr>
      </w:pPr>
      <w:r>
        <w:t xml:space="preserve">Landing-Zone Validation Checklist</w:t>
      </w:r>
    </w:p>
    <w:p>
      <w:pPr>
        <w:pStyle w:val="Compact"/>
        <w:numPr>
          <w:ilvl w:val="0"/>
          <w:numId w:val="1001"/>
        </w:numPr>
      </w:pPr>
      <w:r>
        <w:t xml:space="preserve">Architecture Decision Records</w:t>
      </w:r>
    </w:p>
    <w:p>
      <w:pPr>
        <w:pStyle w:val="Compact"/>
        <w:numPr>
          <w:ilvl w:val="0"/>
          <w:numId w:val="1001"/>
        </w:numPr>
      </w:pPr>
      <w:r>
        <w:t xml:space="preserve">Service Reference Cards</w:t>
      </w:r>
    </w:p>
    <w:p>
      <w:pPr>
        <w:pStyle w:val="Compact"/>
        <w:numPr>
          <w:ilvl w:val="0"/>
          <w:numId w:val="1001"/>
        </w:numPr>
      </w:pPr>
      <w:r>
        <w:t xml:space="preserve">Operating Model and RACI</w:t>
      </w:r>
    </w:p>
    <w:p>
      <w:pPr>
        <w:pStyle w:val="Compact"/>
        <w:numPr>
          <w:ilvl w:val="0"/>
          <w:numId w:val="1001"/>
        </w:numPr>
      </w:pPr>
      <w:r>
        <w:t xml:space="preserve">Risks and Mitigations</w:t>
      </w:r>
    </w:p>
    <w:p>
      <w:pPr>
        <w:pStyle w:val="Compact"/>
        <w:numPr>
          <w:ilvl w:val="0"/>
          <w:numId w:val="1001"/>
        </w:numPr>
      </w:pPr>
      <w:r>
        <w:t xml:space="preserve">Production Readiness Review</w:t>
      </w:r>
    </w:p>
    <w:p>
      <w:pPr>
        <w:pStyle w:val="Compact"/>
        <w:numPr>
          <w:ilvl w:val="0"/>
          <w:numId w:val="1001"/>
        </w:numPr>
      </w:pPr>
      <w:r>
        <w:t xml:space="preserve">Appendices and Control Evidence</w:t>
      </w:r>
    </w:p>
    <w:p>
      <w:pPr>
        <w:pStyle w:val="FirstParagraph"/>
        <w:spacing w:after="0" w:before="0"/>
      </w:pPr>
      <w:r>
        <w:br w:type="page"/>
      </w:r>
    </w:p>
    <w:bookmarkEnd w:id="23"/>
    <w:bookmarkStart w:id="26" w:name="document-control"/>
    <w:p>
      <w:pPr>
        <w:pStyle w:val="Heading1"/>
        <w:keepNext/>
        <w:pageBreakBefore w:val="0"/>
      </w:pPr>
      <w:r>
        <w:t xml:space="preserve">Document Control</w:t>
      </w:r>
    </w:p>
    <w:p>
      <w:pPr>
        <w:pStyle w:val="FirstParagraph"/>
      </w:pPr>
      <w:r>
        <w:t xml:space="preserve">This volume defines the resource, network, identity, security, observability and automation foundation required before enterprise data, analytics and AI workloads are onboarded to Google Cloud. It is a reusable implementation baseline for a Fortune 100 organization and is intended to be tailored through controlled architecture decisions rather than copied without validation.</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Field</w:t>
            </w:r>
          </w:p>
        </w:tc>
        <w:tc>
          <w:tcPr>
            <w:vAlign w:val="center"/>
            <w:tcMar>
              <w:top w:w="70" w:type="dxa"/>
              <w:left w:w="85" w:type="dxa"/>
              <w:bottom w:w="70" w:type="dxa"/>
              <w:right w:w="85" w:type="dxa"/>
            </w:tcMar>
          </w:tcPr>
          <w:p>
            <w:pPr>
              <w:spacing w:after="30" w:before="0"/>
              <w:jc w:val="left"/>
            </w:pPr>
            <w:r>
              <w:rPr>
                <w:rFonts w:ascii="Arial" w:hAnsi="Arial"/>
                <w:b/>
                <w:sz w:val="16"/>
              </w:rPr>
              <w:t xml:space="preserve">Value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Document title</w:t>
            </w:r>
          </w:p>
        </w:tc>
        <w:tc>
          <w:tcPr>
            <w:vAlign w:val="center"/>
            <w:tcMar>
              <w:top w:w="70" w:type="dxa"/>
              <w:left w:w="85" w:type="dxa"/>
              <w:bottom w:w="70" w:type="dxa"/>
              <w:right w:w="85" w:type="dxa"/>
            </w:tcMar>
          </w:tcPr>
          <w:p>
            <w:pPr>
              <w:spacing w:after="30" w:before="0"/>
              <w:jc w:val="left"/>
            </w:pPr>
            <w:r>
              <w:rPr>
                <w:rFonts w:ascii="Arial" w:hAnsi="Arial"/>
                <w:sz w:val="16"/>
              </w:rPr>
              <w:t xml:space="preserve">Enterprise Google Cloud Data Platform Blueprint - Volume 02: Google Cloud Landing Zone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Document type</w:t>
            </w:r>
          </w:p>
        </w:tc>
        <w:tc>
          <w:tcPr>
            <w:vAlign w:val="center"/>
            <w:tcMar>
              <w:top w:w="70" w:type="dxa"/>
              <w:left w:w="85" w:type="dxa"/>
              <w:bottom w:w="70" w:type="dxa"/>
              <w:right w:w="85" w:type="dxa"/>
            </w:tcMar>
          </w:tcPr>
          <w:p>
            <w:pPr>
              <w:spacing w:after="30" w:before="0"/>
              <w:jc w:val="left"/>
            </w:pPr>
            <w:r>
              <w:rPr>
                <w:rFonts w:ascii="Arial" w:hAnsi="Arial"/>
                <w:sz w:val="16"/>
              </w:rPr>
              <w:t xml:space="preserve">Enterprise reference architecture and implementation guide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Version</w:t>
            </w:r>
          </w:p>
        </w:tc>
        <w:tc>
          <w:tcPr>
            <w:vAlign w:val="center"/>
            <w:tcMar>
              <w:top w:w="70" w:type="dxa"/>
              <w:left w:w="85" w:type="dxa"/>
              <w:bottom w:w="70" w:type="dxa"/>
              <w:right w:w="85" w:type="dxa"/>
            </w:tcMar>
          </w:tcPr>
          <w:p>
            <w:pPr>
              <w:spacing w:after="30" w:before="0"/>
              <w:jc w:val="left"/>
            </w:pPr>
            <w:r>
              <w:rPr>
                <w:rFonts w:ascii="Arial" w:hAnsi="Arial"/>
                <w:sz w:val="16"/>
              </w:rPr>
              <w:t xml:space="preserve">1.0</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Status</w:t>
            </w:r>
          </w:p>
        </w:tc>
        <w:tc>
          <w:tcPr>
            <w:vAlign w:val="center"/>
            <w:tcMar>
              <w:top w:w="70" w:type="dxa"/>
              <w:left w:w="85" w:type="dxa"/>
              <w:bottom w:w="70" w:type="dxa"/>
              <w:right w:w="85" w:type="dxa"/>
            </w:tcMar>
          </w:tcPr>
          <w:p>
            <w:pPr>
              <w:spacing w:after="30" w:before="0"/>
              <w:jc w:val="left"/>
            </w:pPr>
            <w:r>
              <w:rPr>
                <w:rFonts w:ascii="Arial" w:hAnsi="Arial"/>
                <w:sz w:val="16"/>
              </w:rPr>
              <w:t xml:space="preserve">Reference baseline for architecture and security review</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Audience</w:t>
            </w:r>
          </w:p>
        </w:tc>
        <w:tc>
          <w:tcPr>
            <w:vAlign w:val="center"/>
            <w:tcMar>
              <w:top w:w="70" w:type="dxa"/>
              <w:left w:w="85" w:type="dxa"/>
              <w:bottom w:w="70" w:type="dxa"/>
              <w:right w:w="85" w:type="dxa"/>
            </w:tcMar>
          </w:tcPr>
          <w:p>
            <w:pPr>
              <w:spacing w:after="30" w:before="0"/>
              <w:jc w:val="left"/>
            </w:pPr>
            <w:r>
              <w:rPr>
                <w:rFonts w:ascii="Arial" w:hAnsi="Arial"/>
                <w:sz w:val="16"/>
              </w:rPr>
              <w:t xml:space="preserve">Cloud Center of Excellence, enterprise architecture, security, networking, platform engineering, SRE and audit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Scope</w:t>
            </w:r>
          </w:p>
        </w:tc>
        <w:tc>
          <w:tcPr>
            <w:vAlign w:val="center"/>
            <w:tcMar>
              <w:top w:w="70" w:type="dxa"/>
              <w:left w:w="85" w:type="dxa"/>
              <w:bottom w:w="70" w:type="dxa"/>
              <w:right w:w="85" w:type="dxa"/>
            </w:tcMar>
          </w:tcPr>
          <w:p>
            <w:pPr>
              <w:spacing w:after="30" w:before="0"/>
              <w:jc w:val="left"/>
            </w:pPr>
            <w:r>
              <w:rPr>
                <w:rFonts w:ascii="Arial" w:hAnsi="Arial"/>
                <w:sz w:val="16"/>
              </w:rPr>
              <w:t xml:space="preserve">Organization structure through Terraform deployment and validation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Inherited baseline</w:t>
            </w:r>
          </w:p>
        </w:tc>
        <w:tc>
          <w:tcPr>
            <w:vAlign w:val="center"/>
            <w:tcMar>
              <w:top w:w="70" w:type="dxa"/>
              <w:left w:w="85" w:type="dxa"/>
              <w:bottom w:w="70" w:type="dxa"/>
              <w:right w:w="85" w:type="dxa"/>
            </w:tcMar>
          </w:tcPr>
          <w:p>
            <w:pPr>
              <w:spacing w:after="30" w:before="0"/>
              <w:jc w:val="left"/>
            </w:pPr>
            <w:r>
              <w:rPr>
                <w:rFonts w:ascii="Arial" w:hAnsi="Arial"/>
                <w:sz w:val="16"/>
              </w:rPr>
              <w:t xml:space="preserve">Volume 01 enterprise assumptions, service strategy and operating model</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Primary objective</w:t>
            </w:r>
          </w:p>
        </w:tc>
        <w:tc>
          <w:tcPr>
            <w:vAlign w:val="center"/>
            <w:tcMar>
              <w:top w:w="70" w:type="dxa"/>
              <w:left w:w="85" w:type="dxa"/>
              <w:bottom w:w="70" w:type="dxa"/>
              <w:right w:w="85" w:type="dxa"/>
            </w:tcMar>
          </w:tcPr>
          <w:p>
            <w:pPr>
              <w:spacing w:after="30" w:before="0"/>
              <w:jc w:val="left"/>
            </w:pPr>
            <w:r>
              <w:rPr>
                <w:rFonts w:ascii="Arial" w:hAnsi="Arial"/>
                <w:sz w:val="16"/>
              </w:rPr>
              <w:t xml:space="preserve">Create a governed cloud foundation that enables workload teams to deploy without recreating core controls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Assurance cadence</w:t>
            </w:r>
          </w:p>
        </w:tc>
        <w:tc>
          <w:tcPr>
            <w:vAlign w:val="center"/>
            <w:tcMar>
              <w:top w:w="70" w:type="dxa"/>
              <w:left w:w="85" w:type="dxa"/>
              <w:bottom w:w="70" w:type="dxa"/>
              <w:right w:w="85" w:type="dxa"/>
            </w:tcMar>
          </w:tcPr>
          <w:p>
            <w:pPr>
              <w:spacing w:after="30" w:before="0"/>
              <w:jc w:val="left"/>
            </w:pPr>
            <w:r>
              <w:rPr>
                <w:rFonts w:ascii="Arial" w:hAnsi="Arial"/>
                <w:sz w:val="16"/>
              </w:rPr>
              <w:t xml:space="preserve">Quarterly control review, annual resiliency exercise and event-driven review after material platform or regulatory change</w:t>
            </w:r>
          </w:p>
        </w:tc>
      </w:tr>
    </w:tbl>
    <w:bookmarkStart w:id="24" w:name="revision-history"/>
    <w:p>
      <w:pPr>
        <w:pStyle w:val="Heading2"/>
        <w:keepNext/>
        <w:pageBreakBefore w:val="0"/>
      </w:pPr>
      <w:r>
        <w:t xml:space="preserve">Revision History</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Version</w:t>
            </w:r>
          </w:p>
        </w:tc>
        <w:tc>
          <w:tcPr>
            <w:vAlign w:val="center"/>
            <w:tcMar>
              <w:top w:w="70" w:type="dxa"/>
              <w:left w:w="85" w:type="dxa"/>
              <w:bottom w:w="70" w:type="dxa"/>
              <w:right w:w="85" w:type="dxa"/>
            </w:tcMar>
          </w:tcPr>
          <w:p>
            <w:pPr>
              <w:spacing w:after="30" w:before="0"/>
              <w:jc w:val="left"/>
            </w:pPr>
            <w:r>
              <w:rPr>
                <w:rFonts w:ascii="Arial" w:hAnsi="Arial"/>
                <w:b/>
                <w:sz w:val="16"/>
              </w:rPr>
              <w:t xml:space="preserve">Date</w:t>
            </w:r>
          </w:p>
        </w:tc>
        <w:tc>
          <w:tcPr>
            <w:vAlign w:val="center"/>
            <w:tcMar>
              <w:top w:w="70" w:type="dxa"/>
              <w:left w:w="85" w:type="dxa"/>
              <w:bottom w:w="70" w:type="dxa"/>
              <w:right w:w="85" w:type="dxa"/>
            </w:tcMar>
          </w:tcPr>
          <w:p>
            <w:pPr>
              <w:spacing w:after="30" w:before="0"/>
              <w:jc w:val="left"/>
            </w:pPr>
            <w:r>
              <w:rPr>
                <w:rFonts w:ascii="Arial" w:hAnsi="Arial"/>
                <w:b/>
                <w:sz w:val="16"/>
              </w:rPr>
              <w:t xml:space="preserve">Authoring body</w:t>
            </w:r>
          </w:p>
        </w:tc>
        <w:tc>
          <w:tcPr>
            <w:vAlign w:val="center"/>
            <w:tcMar>
              <w:top w:w="70" w:type="dxa"/>
              <w:left w:w="85" w:type="dxa"/>
              <w:bottom w:w="70" w:type="dxa"/>
              <w:right w:w="85" w:type="dxa"/>
            </w:tcMar>
          </w:tcPr>
          <w:p>
            <w:pPr>
              <w:spacing w:after="30" w:before="0"/>
              <w:jc w:val="left"/>
            </w:pPr>
            <w:r>
              <w:rPr>
                <w:rFonts w:ascii="Arial" w:hAnsi="Arial"/>
                <w:b/>
                <w:sz w:val="16"/>
              </w:rPr>
              <w:t xml:space="preserve">Change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0.1</w:t>
            </w:r>
          </w:p>
        </w:tc>
        <w:tc>
          <w:tcPr>
            <w:vAlign w:val="center"/>
            <w:tcMar>
              <w:top w:w="70" w:type="dxa"/>
              <w:left w:w="85" w:type="dxa"/>
              <w:bottom w:w="70" w:type="dxa"/>
              <w:right w:w="85" w:type="dxa"/>
            </w:tcMar>
          </w:tcPr>
          <w:p>
            <w:pPr>
              <w:spacing w:after="30" w:before="0"/>
              <w:jc w:val="left"/>
            </w:pPr>
            <w:r>
              <w:rPr>
                <w:rFonts w:ascii="Arial" w:hAnsi="Arial"/>
                <w:sz w:val="16"/>
              </w:rPr>
              <w:t xml:space="preserve">July 2026</w:t>
            </w:r>
          </w:p>
        </w:tc>
        <w:tc>
          <w:tcPr>
            <w:vAlign w:val="center"/>
            <w:tcMar>
              <w:top w:w="70" w:type="dxa"/>
              <w:left w:w="85" w:type="dxa"/>
              <w:bottom w:w="70" w:type="dxa"/>
              <w:right w:w="85" w:type="dxa"/>
            </w:tcMar>
          </w:tcPr>
          <w:p>
            <w:pPr>
              <w:spacing w:after="30" w:before="0"/>
              <w:jc w:val="left"/>
            </w:pPr>
            <w:r>
              <w:rPr>
                <w:rFonts w:ascii="Arial" w:hAnsi="Arial"/>
                <w:sz w:val="16"/>
              </w:rPr>
              <w:t xml:space="preserve">Landing Zone Architecture Team</w:t>
            </w:r>
          </w:p>
        </w:tc>
        <w:tc>
          <w:tcPr>
            <w:vAlign w:val="center"/>
            <w:tcMar>
              <w:top w:w="70" w:type="dxa"/>
              <w:left w:w="85" w:type="dxa"/>
              <w:bottom w:w="70" w:type="dxa"/>
              <w:right w:w="85" w:type="dxa"/>
            </w:tcMar>
          </w:tcPr>
          <w:p>
            <w:pPr>
              <w:spacing w:after="30" w:before="0"/>
              <w:jc w:val="left"/>
            </w:pPr>
            <w:r>
              <w:rPr>
                <w:rFonts w:ascii="Arial" w:hAnsi="Arial"/>
                <w:sz w:val="16"/>
              </w:rPr>
              <w:t xml:space="preserve">Initial detailed baseline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0.8</w:t>
            </w:r>
          </w:p>
        </w:tc>
        <w:tc>
          <w:tcPr>
            <w:vAlign w:val="center"/>
            <w:tcMar>
              <w:top w:w="70" w:type="dxa"/>
              <w:left w:w="85" w:type="dxa"/>
              <w:bottom w:w="70" w:type="dxa"/>
              <w:right w:w="85" w:type="dxa"/>
            </w:tcMar>
          </w:tcPr>
          <w:p>
            <w:pPr>
              <w:spacing w:after="30" w:before="0"/>
              <w:jc w:val="left"/>
            </w:pPr>
            <w:r>
              <w:rPr>
                <w:rFonts w:ascii="Arial" w:hAnsi="Arial"/>
                <w:sz w:val="16"/>
              </w:rPr>
              <w:t xml:space="preserve">July 2026</w:t>
            </w:r>
          </w:p>
        </w:tc>
        <w:tc>
          <w:tcPr>
            <w:vAlign w:val="center"/>
            <w:tcMar>
              <w:top w:w="70" w:type="dxa"/>
              <w:left w:w="85" w:type="dxa"/>
              <w:bottom w:w="70" w:type="dxa"/>
              <w:right w:w="85" w:type="dxa"/>
            </w:tcMar>
          </w:tcPr>
          <w:p>
            <w:pPr>
              <w:spacing w:after="30" w:before="0"/>
              <w:jc w:val="left"/>
            </w:pPr>
            <w:r>
              <w:rPr>
                <w:rFonts w:ascii="Arial" w:hAnsi="Arial"/>
                <w:sz w:val="16"/>
              </w:rPr>
              <w:t xml:space="preserve">Network and Security Architecture</w:t>
            </w:r>
          </w:p>
        </w:tc>
        <w:tc>
          <w:tcPr>
            <w:vAlign w:val="center"/>
            <w:tcMar>
              <w:top w:w="70" w:type="dxa"/>
              <w:left w:w="85" w:type="dxa"/>
              <w:bottom w:w="70" w:type="dxa"/>
              <w:right w:w="85" w:type="dxa"/>
            </w:tcMar>
          </w:tcPr>
          <w:p>
            <w:pPr>
              <w:spacing w:after="30" w:before="0"/>
              <w:jc w:val="left"/>
            </w:pPr>
            <w:r>
              <w:rPr>
                <w:rFonts w:ascii="Arial" w:hAnsi="Arial"/>
                <w:sz w:val="16"/>
              </w:rPr>
              <w:t xml:space="preserve">Control and topology review</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0.9</w:t>
            </w:r>
          </w:p>
        </w:tc>
        <w:tc>
          <w:tcPr>
            <w:vAlign w:val="center"/>
            <w:tcMar>
              <w:top w:w="70" w:type="dxa"/>
              <w:left w:w="85" w:type="dxa"/>
              <w:bottom w:w="70" w:type="dxa"/>
              <w:right w:w="85" w:type="dxa"/>
            </w:tcMar>
          </w:tcPr>
          <w:p>
            <w:pPr>
              <w:spacing w:after="30" w:before="0"/>
              <w:jc w:val="left"/>
            </w:pPr>
            <w:r>
              <w:rPr>
                <w:rFonts w:ascii="Arial" w:hAnsi="Arial"/>
                <w:sz w:val="16"/>
              </w:rPr>
              <w:t xml:space="preserve">July 2026</w:t>
            </w:r>
          </w:p>
        </w:tc>
        <w:tc>
          <w:tcPr>
            <w:vAlign w:val="center"/>
            <w:tcMar>
              <w:top w:w="70" w:type="dxa"/>
              <w:left w:w="85" w:type="dxa"/>
              <w:bottom w:w="70" w:type="dxa"/>
              <w:right w:w="85" w:type="dxa"/>
            </w:tcMar>
          </w:tcPr>
          <w:p>
            <w:pPr>
              <w:spacing w:after="30" w:before="0"/>
              <w:jc w:val="left"/>
            </w:pPr>
            <w:r>
              <w:rPr>
                <w:rFonts w:ascii="Arial" w:hAnsi="Arial"/>
                <w:sz w:val="16"/>
              </w:rPr>
              <w:t xml:space="preserve">Platform Engineering</w:t>
            </w:r>
          </w:p>
        </w:tc>
        <w:tc>
          <w:tcPr>
            <w:vAlign w:val="center"/>
            <w:tcMar>
              <w:top w:w="70" w:type="dxa"/>
              <w:left w:w="85" w:type="dxa"/>
              <w:bottom w:w="70" w:type="dxa"/>
              <w:right w:w="85" w:type="dxa"/>
            </w:tcMar>
          </w:tcPr>
          <w:p>
            <w:pPr>
              <w:spacing w:after="30" w:before="0"/>
              <w:jc w:val="left"/>
            </w:pPr>
            <w:r>
              <w:rPr>
                <w:rFonts w:ascii="Arial" w:hAnsi="Arial"/>
                <w:sz w:val="16"/>
              </w:rPr>
              <w:t xml:space="preserve">Terraform and deployment validation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1.0</w:t>
            </w:r>
          </w:p>
        </w:tc>
        <w:tc>
          <w:tcPr>
            <w:vAlign w:val="center"/>
            <w:tcMar>
              <w:top w:w="70" w:type="dxa"/>
              <w:left w:w="85" w:type="dxa"/>
              <w:bottom w:w="70" w:type="dxa"/>
              <w:right w:w="85" w:type="dxa"/>
            </w:tcMar>
          </w:tcPr>
          <w:p>
            <w:pPr>
              <w:spacing w:after="30" w:before="0"/>
              <w:jc w:val="left"/>
            </w:pPr>
            <w:r>
              <w:rPr>
                <w:rFonts w:ascii="Arial" w:hAnsi="Arial"/>
                <w:sz w:val="16"/>
              </w:rPr>
              <w:t xml:space="preserve">July 2026</w:t>
            </w:r>
          </w:p>
        </w:tc>
        <w:tc>
          <w:tcPr>
            <w:vAlign w:val="center"/>
            <w:tcMar>
              <w:top w:w="70" w:type="dxa"/>
              <w:left w:w="85" w:type="dxa"/>
              <w:bottom w:w="70" w:type="dxa"/>
              <w:right w:w="85" w:type="dxa"/>
            </w:tcMar>
          </w:tcPr>
          <w:p>
            <w:pPr>
              <w:spacing w:after="30" w:before="0"/>
              <w:jc w:val="left"/>
            </w:pPr>
            <w:r>
              <w:rPr>
                <w:rFonts w:ascii="Arial" w:hAnsi="Arial"/>
                <w:sz w:val="16"/>
              </w:rPr>
              <w:t xml:space="preserve">Architecture Review Board</w:t>
            </w:r>
          </w:p>
        </w:tc>
        <w:tc>
          <w:tcPr>
            <w:vAlign w:val="center"/>
            <w:tcMar>
              <w:top w:w="70" w:type="dxa"/>
              <w:left w:w="85" w:type="dxa"/>
              <w:bottom w:w="70" w:type="dxa"/>
              <w:right w:w="85" w:type="dxa"/>
            </w:tcMar>
          </w:tcPr>
          <w:p>
            <w:pPr>
              <w:spacing w:after="30" w:before="0"/>
              <w:jc w:val="left"/>
            </w:pPr>
            <w:r>
              <w:rPr>
                <w:rFonts w:ascii="Arial" w:hAnsi="Arial"/>
                <w:sz w:val="16"/>
              </w:rPr>
              <w:t xml:space="preserve">Reference baseline issued</w:t>
            </w:r>
          </w:p>
        </w:tc>
      </w:tr>
    </w:tbl>
    <w:bookmarkEnd w:id="24"/>
    <w:bookmarkStart w:id="25" w:name="how-to-use-this-volume"/>
    <w:p>
      <w:pPr>
        <w:pStyle w:val="Heading2"/>
        <w:keepNext/>
        <w:pageBreakBefore w:val="0"/>
      </w:pPr>
      <w:r>
        <w:t xml:space="preserve">How to Use This Volume</w:t>
      </w:r>
    </w:p>
    <w:p>
      <w:pPr>
        <w:pStyle w:val="FirstParagraph"/>
      </w:pPr>
      <w:r>
        <w:t xml:space="preserve">Enterprise architects should use the hierarchy, environment and boundary decisions as the design authority for workload onboarding. Network and security teams should use the control matrices as configuration requirements. Platform engineering should use the Terraform module catalog and deployment sequence as the implementation backlog. Audit and risk teams should use the validation checklist and evidence requirements to assess whether the landing zone is fit for production.</w:t>
      </w:r>
    </w:p>
    <w:p>
      <w:pPr>
        <w:pStyle w:val="BodyText"/>
      </w:pPr>
      <w:r>
        <w:t xml:space="preserve">Product availability, quotas, pricing, supported regions, VPC Service Controls compatibility and organization-policy behavior must be validated against current Google Cloud documentation before implementation. Official references are listed in Appendix E.</w:t>
      </w:r>
    </w:p>
    <w:bookmarkEnd w:id="25"/>
    <w:bookmarkEnd w:id="26"/>
    <w:bookmarkStart w:id="33" w:name="executive-landing-zone-overview"/>
    <w:p>
      <w:pPr>
        <w:pStyle w:val="Heading1"/>
        <w:keepNext/>
        <w:pageBreakBefore w:val="0"/>
      </w:pPr>
      <w:r>
        <w:t xml:space="preserve">1. Executive Landing Zone Overview</w:t>
      </w:r>
    </w:p>
    <w:p>
      <w:pPr>
        <w:pStyle w:val="FirstParagraph"/>
      </w:pPr>
      <w:r>
        <w:t xml:space="preserve">The landing zone is the enterprise control plane for Google Cloud adoption. It establishes the resource hierarchy, identity boundaries, network topology, security guardrails, centralized telemetry and automated project creation that every workload inherits. A strong landing zone reduces delivery lead time because teams receive a pre-approved foundation. A weak landing zone simply relocates fragmented data-center practices into disconnected cloud projects.</w:t>
      </w:r>
    </w:p>
    <w:p>
      <w:pPr>
        <w:pStyle w:val="BodyText"/>
      </w:pPr>
      <w:r>
        <w:t xml:space="preserve">The recommended design uses a centrally governed, regionally segmented resource hierarchy. Production, non-production, development and sandbox environments are separated at folder, project, IAM, network and key-management layers. Shared VPC host projects centralize network control while service projects preserve workload ownership and cost attribution. Hybrid and multi-cloud routes converge through an enterprise connectivity layer using redundant Cloud Interconnect or Partner Interconnect attachments, HA VPN as backup and Network Connectivity Center where hub-and-spoke orchestration is justified.</w:t>
      </w:r>
    </w:p>
    <w:p>
      <w:pPr>
        <w:pStyle w:val="BodyText"/>
      </w:pPr>
      <w:r>
        <w:t xml:space="preserve">Human access is federated from the enterprise identity provider and granted through groups. External workforce identities use Workforce Identity Federation when synchronized Google identities are neither required nor desirable. External workloads, CI/CD systems and non-Google cloud runtimes use Workload Identity Federation and short-lived credentials instead of service-account keys. Privileged access is request-based, time-bound and approval-controlled through Privileged Access Manager or an equivalent approved process.</w:t>
      </w:r>
    </w:p>
    <w:p>
      <w:pPr>
        <w:pStyle w:val="BodyText"/>
      </w:pPr>
      <w:r>
        <w:t xml:space="preserve">Preventive controls are implemented through organization policies, hierarchical firewall policies, policy validation in CI/CD and project-factory defaults. Detective controls are implemented through Security Command Center, centralized audit logs, network telemetry, Cloud Monitoring, SIEM integration and posture checks. Restricted data projects are placed inside VPC Service Controls perimeters after dry-run validation, with precise ingress and egress rules rather than broad perimeter bridges.</w:t>
      </w:r>
    </w:p>
    <w:bookmarkStart w:id="27" w:name="design-outcomes"/>
    <w:p>
      <w:pPr>
        <w:pStyle w:val="Heading2"/>
        <w:keepNext/>
        <w:pageBreakBefore w:val="0"/>
      </w:pPr>
      <w:r>
        <w:t xml:space="preserve">1.1 Design outcomes</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Outcome</w:t>
            </w:r>
          </w:p>
        </w:tc>
        <w:tc>
          <w:tcPr>
            <w:vAlign w:val="center"/>
            <w:tcMar>
              <w:top w:w="70" w:type="dxa"/>
              <w:left w:w="85" w:type="dxa"/>
              <w:bottom w:w="70" w:type="dxa"/>
              <w:right w:w="85" w:type="dxa"/>
            </w:tcMar>
          </w:tcPr>
          <w:p>
            <w:pPr>
              <w:spacing w:after="30" w:before="0"/>
              <w:jc w:val="left"/>
            </w:pPr>
            <w:r>
              <w:rPr>
                <w:rFonts w:ascii="Arial" w:hAnsi="Arial"/>
                <w:b/>
                <w:sz w:val="16"/>
              </w:rPr>
              <w:t xml:space="preserve">Target state</w:t>
            </w:r>
          </w:p>
        </w:tc>
        <w:tc>
          <w:tcPr>
            <w:vAlign w:val="center"/>
            <w:tcMar>
              <w:top w:w="70" w:type="dxa"/>
              <w:left w:w="85" w:type="dxa"/>
              <w:bottom w:w="70" w:type="dxa"/>
              <w:right w:w="85" w:type="dxa"/>
            </w:tcMar>
          </w:tcPr>
          <w:p>
            <w:pPr>
              <w:spacing w:after="30" w:before="0"/>
              <w:jc w:val="left"/>
            </w:pPr>
            <w:r>
              <w:rPr>
                <w:rFonts w:ascii="Arial" w:hAnsi="Arial"/>
                <w:b/>
                <w:sz w:val="16"/>
              </w:rPr>
              <w:t xml:space="preserve">Executive 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Faster onboarding</w:t>
            </w:r>
          </w:p>
        </w:tc>
        <w:tc>
          <w:tcPr>
            <w:vAlign w:val="center"/>
            <w:tcMar>
              <w:top w:w="70" w:type="dxa"/>
              <w:left w:w="85" w:type="dxa"/>
              <w:bottom w:w="70" w:type="dxa"/>
              <w:right w:w="85" w:type="dxa"/>
            </w:tcMar>
          </w:tcPr>
          <w:p>
            <w:pPr>
              <w:spacing w:after="30" w:before="0"/>
              <w:jc w:val="left"/>
            </w:pPr>
            <w:r>
              <w:rPr>
                <w:rFonts w:ascii="Arial" w:hAnsi="Arial"/>
                <w:sz w:val="16"/>
              </w:rPr>
              <w:t xml:space="preserve">A standard project is delivered in less than one business day after approvals</w:t>
            </w:r>
          </w:p>
        </w:tc>
        <w:tc>
          <w:tcPr>
            <w:vAlign w:val="center"/>
            <w:tcMar>
              <w:top w:w="70" w:type="dxa"/>
              <w:left w:w="85" w:type="dxa"/>
              <w:bottom w:w="70" w:type="dxa"/>
              <w:right w:w="85" w:type="dxa"/>
            </w:tcMar>
          </w:tcPr>
          <w:p>
            <w:pPr>
              <w:spacing w:after="30" w:before="0"/>
              <w:jc w:val="left"/>
            </w:pPr>
            <w:r>
              <w:rPr>
                <w:rFonts w:ascii="Arial" w:hAnsi="Arial"/>
                <w:sz w:val="16"/>
              </w:rPr>
              <w:t xml:space="preserve">Project-factory service-level dashboard</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Reduced security variance</w:t>
            </w:r>
          </w:p>
        </w:tc>
        <w:tc>
          <w:tcPr>
            <w:vAlign w:val="center"/>
            <w:tcMar>
              <w:top w:w="70" w:type="dxa"/>
              <w:left w:w="85" w:type="dxa"/>
              <w:bottom w:w="70" w:type="dxa"/>
              <w:right w:w="85" w:type="dxa"/>
            </w:tcMar>
          </w:tcPr>
          <w:p>
            <w:pPr>
              <w:spacing w:after="30" w:before="0"/>
              <w:jc w:val="left"/>
            </w:pPr>
            <w:r>
              <w:rPr>
                <w:rFonts w:ascii="Arial" w:hAnsi="Arial"/>
                <w:sz w:val="16"/>
              </w:rPr>
              <w:t xml:space="preserve">Mandatory controls are inherited automatically and exceptions expire</w:t>
            </w:r>
          </w:p>
        </w:tc>
        <w:tc>
          <w:tcPr>
            <w:vAlign w:val="center"/>
            <w:tcMar>
              <w:top w:w="70" w:type="dxa"/>
              <w:left w:w="85" w:type="dxa"/>
              <w:bottom w:w="70" w:type="dxa"/>
              <w:right w:w="85" w:type="dxa"/>
            </w:tcMar>
          </w:tcPr>
          <w:p>
            <w:pPr>
              <w:spacing w:after="30" w:before="0"/>
              <w:jc w:val="left"/>
            </w:pPr>
            <w:r>
              <w:rPr>
                <w:rFonts w:ascii="Arial" w:hAnsi="Arial"/>
                <w:sz w:val="16"/>
              </w:rPr>
              <w:t xml:space="preserve">Policy compliance and exception register</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Private-by-default access</w:t>
            </w:r>
          </w:p>
        </w:tc>
        <w:tc>
          <w:tcPr>
            <w:vAlign w:val="center"/>
            <w:tcMar>
              <w:top w:w="70" w:type="dxa"/>
              <w:left w:w="85" w:type="dxa"/>
              <w:bottom w:w="70" w:type="dxa"/>
              <w:right w:w="85" w:type="dxa"/>
            </w:tcMar>
          </w:tcPr>
          <w:p>
            <w:pPr>
              <w:spacing w:after="30" w:before="0"/>
              <w:jc w:val="left"/>
            </w:pPr>
            <w:r>
              <w:rPr>
                <w:rFonts w:ascii="Arial" w:hAnsi="Arial"/>
                <w:sz w:val="16"/>
              </w:rPr>
              <w:t xml:space="preserve">No public IPs or public data endpoints without explicit approval</w:t>
            </w:r>
          </w:p>
        </w:tc>
        <w:tc>
          <w:tcPr>
            <w:vAlign w:val="center"/>
            <w:tcMar>
              <w:top w:w="70" w:type="dxa"/>
              <w:left w:w="85" w:type="dxa"/>
              <w:bottom w:w="70" w:type="dxa"/>
              <w:right w:w="85" w:type="dxa"/>
            </w:tcMar>
          </w:tcPr>
          <w:p>
            <w:pPr>
              <w:spacing w:after="30" w:before="0"/>
              <w:jc w:val="left"/>
            </w:pPr>
            <w:r>
              <w:rPr>
                <w:rFonts w:ascii="Arial" w:hAnsi="Arial"/>
                <w:sz w:val="16"/>
              </w:rPr>
              <w:t xml:space="preserve">Asset inventory and network posture report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Credential risk reduction</w:t>
            </w:r>
          </w:p>
        </w:tc>
        <w:tc>
          <w:tcPr>
            <w:vAlign w:val="center"/>
            <w:tcMar>
              <w:top w:w="70" w:type="dxa"/>
              <w:left w:w="85" w:type="dxa"/>
              <w:bottom w:w="70" w:type="dxa"/>
              <w:right w:w="85" w:type="dxa"/>
            </w:tcMar>
          </w:tcPr>
          <w:p>
            <w:pPr>
              <w:spacing w:after="30" w:before="0"/>
              <w:jc w:val="left"/>
            </w:pPr>
            <w:r>
              <w:rPr>
                <w:rFonts w:ascii="Arial" w:hAnsi="Arial"/>
                <w:sz w:val="16"/>
              </w:rPr>
              <w:t xml:space="preserve">No user-managed service-account keys for standard workloads</w:t>
            </w:r>
          </w:p>
        </w:tc>
        <w:tc>
          <w:tcPr>
            <w:vAlign w:val="center"/>
            <w:tcMar>
              <w:top w:w="70" w:type="dxa"/>
              <w:left w:w="85" w:type="dxa"/>
              <w:bottom w:w="70" w:type="dxa"/>
              <w:right w:w="85" w:type="dxa"/>
            </w:tcMar>
          </w:tcPr>
          <w:p>
            <w:pPr>
              <w:spacing w:after="30" w:before="0"/>
              <w:jc w:val="left"/>
            </w:pPr>
            <w:r>
              <w:rPr>
                <w:rFonts w:ascii="Arial" w:hAnsi="Arial"/>
                <w:sz w:val="16"/>
              </w:rPr>
              <w:t xml:space="preserve">IAM inventory and key-creation policy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Auditability</w:t>
            </w:r>
          </w:p>
        </w:tc>
        <w:tc>
          <w:tcPr>
            <w:vAlign w:val="center"/>
            <w:tcMar>
              <w:top w:w="70" w:type="dxa"/>
              <w:left w:w="85" w:type="dxa"/>
              <w:bottom w:w="70" w:type="dxa"/>
              <w:right w:w="85" w:type="dxa"/>
            </w:tcMar>
          </w:tcPr>
          <w:p>
            <w:pPr>
              <w:spacing w:after="30" w:before="0"/>
              <w:jc w:val="left"/>
            </w:pPr>
            <w:r>
              <w:rPr>
                <w:rFonts w:ascii="Arial" w:hAnsi="Arial"/>
                <w:sz w:val="16"/>
              </w:rPr>
              <w:t xml:space="preserve">Organization-wide audit and security events are routed centrally</w:t>
            </w:r>
          </w:p>
        </w:tc>
        <w:tc>
          <w:tcPr>
            <w:vAlign w:val="center"/>
            <w:tcMar>
              <w:top w:w="70" w:type="dxa"/>
              <w:left w:w="85" w:type="dxa"/>
              <w:bottom w:w="70" w:type="dxa"/>
              <w:right w:w="85" w:type="dxa"/>
            </w:tcMar>
          </w:tcPr>
          <w:p>
            <w:pPr>
              <w:spacing w:after="30" w:before="0"/>
              <w:jc w:val="left"/>
            </w:pPr>
            <w:r>
              <w:rPr>
                <w:rFonts w:ascii="Arial" w:hAnsi="Arial"/>
                <w:sz w:val="16"/>
              </w:rPr>
              <w:t xml:space="preserve">Log sink, retention and SIEM 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Regional compliance</w:t>
            </w:r>
          </w:p>
        </w:tc>
        <w:tc>
          <w:tcPr>
            <w:vAlign w:val="center"/>
            <w:tcMar>
              <w:top w:w="70" w:type="dxa"/>
              <w:left w:w="85" w:type="dxa"/>
              <w:bottom w:w="70" w:type="dxa"/>
              <w:right w:w="85" w:type="dxa"/>
            </w:tcMar>
          </w:tcPr>
          <w:p>
            <w:pPr>
              <w:spacing w:after="30" w:before="0"/>
              <w:jc w:val="left"/>
            </w:pPr>
            <w:r>
              <w:rPr>
                <w:rFonts w:ascii="Arial" w:hAnsi="Arial"/>
                <w:sz w:val="16"/>
              </w:rPr>
              <w:t xml:space="preserve">Projects, keys, data and networks align to approved geographies</w:t>
            </w:r>
          </w:p>
        </w:tc>
        <w:tc>
          <w:tcPr>
            <w:vAlign w:val="center"/>
            <w:tcMar>
              <w:top w:w="70" w:type="dxa"/>
              <w:left w:w="85" w:type="dxa"/>
              <w:bottom w:w="70" w:type="dxa"/>
              <w:right w:w="85" w:type="dxa"/>
            </w:tcMar>
          </w:tcPr>
          <w:p>
            <w:pPr>
              <w:spacing w:after="30" w:before="0"/>
              <w:jc w:val="left"/>
            </w:pPr>
            <w:r>
              <w:rPr>
                <w:rFonts w:ascii="Arial" w:hAnsi="Arial"/>
                <w:sz w:val="16"/>
              </w:rPr>
              <w:t xml:space="preserve">Resource-location and residency attestations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Cost ownership</w:t>
            </w:r>
          </w:p>
        </w:tc>
        <w:tc>
          <w:tcPr>
            <w:vAlign w:val="center"/>
            <w:tcMar>
              <w:top w:w="70" w:type="dxa"/>
              <w:left w:w="85" w:type="dxa"/>
              <w:bottom w:w="70" w:type="dxa"/>
              <w:right w:w="85" w:type="dxa"/>
            </w:tcMar>
          </w:tcPr>
          <w:p>
            <w:pPr>
              <w:spacing w:after="30" w:before="0"/>
              <w:jc w:val="left"/>
            </w:pPr>
            <w:r>
              <w:rPr>
                <w:rFonts w:ascii="Arial" w:hAnsi="Arial"/>
                <w:sz w:val="16"/>
              </w:rPr>
              <w:t xml:space="preserve">Every project maps to a cost center, domain and environment</w:t>
            </w:r>
          </w:p>
        </w:tc>
        <w:tc>
          <w:tcPr>
            <w:vAlign w:val="center"/>
            <w:tcMar>
              <w:top w:w="70" w:type="dxa"/>
              <w:left w:w="85" w:type="dxa"/>
              <w:bottom w:w="70" w:type="dxa"/>
              <w:right w:w="85" w:type="dxa"/>
            </w:tcMar>
          </w:tcPr>
          <w:p>
            <w:pPr>
              <w:spacing w:after="30" w:before="0"/>
              <w:jc w:val="left"/>
            </w:pPr>
            <w:r>
              <w:rPr>
                <w:rFonts w:ascii="Arial" w:hAnsi="Arial"/>
                <w:sz w:val="16"/>
              </w:rPr>
              <w:t xml:space="preserve">Billing export and label coverage dashboard</w:t>
            </w:r>
          </w:p>
        </w:tc>
      </w:tr>
    </w:tbl>
    <w:bookmarkEnd w:id="27"/>
    <w:bookmarkStart w:id="28" w:name="scope"/>
    <w:p>
      <w:pPr>
        <w:pStyle w:val="Heading2"/>
        <w:keepNext/>
        <w:pageBreakBefore w:val="0"/>
      </w:pPr>
      <w:r>
        <w:t xml:space="preserve">1.2 Scope</w:t>
      </w:r>
    </w:p>
    <w:p>
      <w:pPr>
        <w:pStyle w:val="FirstParagraph"/>
      </w:pPr>
      <w:r>
        <w:t xml:space="preserve">The landing zone includes:</w:t>
      </w:r>
    </w:p>
    <w:p>
      <w:pPr>
        <w:pStyle w:val="Compact"/>
        <w:numPr>
          <w:ilvl w:val="0"/>
          <w:numId w:val="1002"/>
        </w:numPr>
      </w:pPr>
      <w:r>
        <w:t xml:space="preserve">Google Cloud organization, folders and project boundaries.</w:t>
      </w:r>
    </w:p>
    <w:p>
      <w:pPr>
        <w:pStyle w:val="Compact"/>
        <w:numPr>
          <w:ilvl w:val="0"/>
          <w:numId w:val="1002"/>
        </w:numPr>
      </w:pPr>
      <w:r>
        <w:t xml:space="preserve">Project factory and environment-specific project patterns.</w:t>
      </w:r>
    </w:p>
    <w:p>
      <w:pPr>
        <w:pStyle w:val="Compact"/>
        <w:numPr>
          <w:ilvl w:val="0"/>
          <w:numId w:val="1002"/>
        </w:numPr>
      </w:pPr>
      <w:r>
        <w:t xml:space="preserve">Shared VPC, IP addressing, routing, private service access, DNS and edge protection.</w:t>
      </w:r>
    </w:p>
    <w:p>
      <w:pPr>
        <w:pStyle w:val="Compact"/>
        <w:numPr>
          <w:ilvl w:val="0"/>
          <w:numId w:val="1002"/>
        </w:numPr>
      </w:pPr>
      <w:r>
        <w:t xml:space="preserve">Hybrid and multi-cloud connectivity.</w:t>
      </w:r>
    </w:p>
    <w:p>
      <w:pPr>
        <w:pStyle w:val="Compact"/>
        <w:numPr>
          <w:ilvl w:val="0"/>
          <w:numId w:val="1002"/>
        </w:numPr>
      </w:pPr>
      <w:r>
        <w:t xml:space="preserve">Human, partner and workload identity federation.</w:t>
      </w:r>
    </w:p>
    <w:p>
      <w:pPr>
        <w:pStyle w:val="Compact"/>
        <w:numPr>
          <w:ilvl w:val="0"/>
          <w:numId w:val="1002"/>
        </w:numPr>
      </w:pPr>
      <w:r>
        <w:t xml:space="preserve">IAM, service accounts, privileged access and break-glass controls.</w:t>
      </w:r>
    </w:p>
    <w:p>
      <w:pPr>
        <w:pStyle w:val="Compact"/>
        <w:numPr>
          <w:ilvl w:val="0"/>
          <w:numId w:val="1002"/>
        </w:numPr>
      </w:pPr>
      <w:r>
        <w:t xml:space="preserve">Organization policies, VPC Service Controls, Security Command Center, secrets and encryption.</w:t>
      </w:r>
    </w:p>
    <w:p>
      <w:pPr>
        <w:pStyle w:val="Compact"/>
        <w:numPr>
          <w:ilvl w:val="0"/>
          <w:numId w:val="1002"/>
        </w:numPr>
      </w:pPr>
      <w:r>
        <w:t xml:space="preserve">Central logging, monitoring and security-operations integration.</w:t>
      </w:r>
    </w:p>
    <w:p>
      <w:pPr>
        <w:pStyle w:val="Compact"/>
        <w:numPr>
          <w:ilvl w:val="0"/>
          <w:numId w:val="1002"/>
        </w:numPr>
      </w:pPr>
      <w:r>
        <w:t xml:space="preserve">Naming, labels, tags and automated cost attribution.</w:t>
      </w:r>
    </w:p>
    <w:p>
      <w:pPr>
        <w:pStyle w:val="Compact"/>
        <w:numPr>
          <w:ilvl w:val="0"/>
          <w:numId w:val="1002"/>
        </w:numPr>
      </w:pPr>
      <w:r>
        <w:t xml:space="preserve">Terraform implementation, deployment sequencing and acceptance testing.</w:t>
      </w:r>
    </w:p>
    <w:bookmarkEnd w:id="28"/>
    <w:bookmarkStart w:id="29" w:name="mandatory-and-adaptable-decisions"/>
    <w:p>
      <w:pPr>
        <w:pStyle w:val="Heading2"/>
        <w:keepNext/>
        <w:pageBreakBefore w:val="0"/>
      </w:pPr>
      <w:r>
        <w:t xml:space="preserve">1.3 Mandatory and adaptable decisions</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Decision class</w:t>
            </w:r>
          </w:p>
        </w:tc>
        <w:tc>
          <w:tcPr>
            <w:vAlign w:val="center"/>
            <w:tcMar>
              <w:top w:w="70" w:type="dxa"/>
              <w:left w:w="85" w:type="dxa"/>
              <w:bottom w:w="70" w:type="dxa"/>
              <w:right w:w="85" w:type="dxa"/>
            </w:tcMar>
          </w:tcPr>
          <w:p>
            <w:pPr>
              <w:spacing w:after="30" w:before="0"/>
              <w:jc w:val="left"/>
            </w:pPr>
            <w:r>
              <w:rPr>
                <w:rFonts w:ascii="Arial" w:hAnsi="Arial"/>
                <w:b/>
                <w:sz w:val="16"/>
              </w:rPr>
              <w:t xml:space="preserve">Mandatory baseline</w:t>
            </w:r>
          </w:p>
        </w:tc>
        <w:tc>
          <w:tcPr>
            <w:vAlign w:val="center"/>
            <w:tcMar>
              <w:top w:w="70" w:type="dxa"/>
              <w:left w:w="85" w:type="dxa"/>
              <w:bottom w:w="70" w:type="dxa"/>
              <w:right w:w="85" w:type="dxa"/>
            </w:tcMar>
          </w:tcPr>
          <w:p>
            <w:pPr>
              <w:spacing w:after="30" w:before="0"/>
              <w:jc w:val="left"/>
            </w:pPr>
            <w:r>
              <w:rPr>
                <w:rFonts w:ascii="Arial" w:hAnsi="Arial"/>
                <w:b/>
                <w:sz w:val="16"/>
              </w:rPr>
              <w:t xml:space="preserve">Adaptable by geography or business unit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Identity</w:t>
            </w:r>
          </w:p>
        </w:tc>
        <w:tc>
          <w:tcPr>
            <w:vAlign w:val="center"/>
            <w:tcMar>
              <w:top w:w="70" w:type="dxa"/>
              <w:left w:w="85" w:type="dxa"/>
              <w:bottom w:w="70" w:type="dxa"/>
              <w:right w:w="85" w:type="dxa"/>
            </w:tcMar>
          </w:tcPr>
          <w:p>
            <w:pPr>
              <w:spacing w:after="30" w:before="0"/>
              <w:jc w:val="left"/>
            </w:pPr>
            <w:r>
              <w:rPr>
                <w:rFonts w:ascii="Arial" w:hAnsi="Arial"/>
                <w:sz w:val="16"/>
              </w:rPr>
              <w:t xml:space="preserve">Federated identity, group-based IAM and no standing broad privilege</w:t>
            </w:r>
          </w:p>
        </w:tc>
        <w:tc>
          <w:tcPr>
            <w:vAlign w:val="center"/>
            <w:tcMar>
              <w:top w:w="70" w:type="dxa"/>
              <w:left w:w="85" w:type="dxa"/>
              <w:bottom w:w="70" w:type="dxa"/>
              <w:right w:w="85" w:type="dxa"/>
            </w:tcMar>
          </w:tcPr>
          <w:p>
            <w:pPr>
              <w:spacing w:after="30" w:before="0"/>
              <w:jc w:val="left"/>
            </w:pPr>
            <w:r>
              <w:rPr>
                <w:rFonts w:ascii="Arial" w:hAnsi="Arial"/>
                <w:sz w:val="16"/>
              </w:rPr>
              <w:t xml:space="preserve">Identity-provider protocol and regional support processes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Network</w:t>
            </w:r>
          </w:p>
        </w:tc>
        <w:tc>
          <w:tcPr>
            <w:vAlign w:val="center"/>
            <w:tcMar>
              <w:top w:w="70" w:type="dxa"/>
              <w:left w:w="85" w:type="dxa"/>
              <w:bottom w:w="70" w:type="dxa"/>
              <w:right w:w="85" w:type="dxa"/>
            </w:tcMar>
          </w:tcPr>
          <w:p>
            <w:pPr>
              <w:spacing w:after="30" w:before="0"/>
              <w:jc w:val="left"/>
            </w:pPr>
            <w:r>
              <w:rPr>
                <w:rFonts w:ascii="Arial" w:hAnsi="Arial"/>
                <w:sz w:val="16"/>
              </w:rPr>
              <w:t xml:space="preserve">Shared VPC or explicitly approved isolated VPC; private access by default</w:t>
            </w:r>
          </w:p>
        </w:tc>
        <w:tc>
          <w:tcPr>
            <w:vAlign w:val="center"/>
            <w:tcMar>
              <w:top w:w="70" w:type="dxa"/>
              <w:left w:w="85" w:type="dxa"/>
              <w:bottom w:w="70" w:type="dxa"/>
              <w:right w:w="85" w:type="dxa"/>
            </w:tcMar>
          </w:tcPr>
          <w:p>
            <w:pPr>
              <w:spacing w:after="30" w:before="0"/>
              <w:jc w:val="left"/>
            </w:pPr>
            <w:r>
              <w:rPr>
                <w:rFonts w:ascii="Arial" w:hAnsi="Arial"/>
                <w:sz w:val="16"/>
              </w:rPr>
              <w:t xml:space="preserve">Number of host projects and hub topology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Security</w:t>
            </w:r>
          </w:p>
        </w:tc>
        <w:tc>
          <w:tcPr>
            <w:vAlign w:val="center"/>
            <w:tcMar>
              <w:top w:w="70" w:type="dxa"/>
              <w:left w:w="85" w:type="dxa"/>
              <w:bottom w:w="70" w:type="dxa"/>
              <w:right w:w="85" w:type="dxa"/>
            </w:tcMar>
          </w:tcPr>
          <w:p>
            <w:pPr>
              <w:spacing w:after="30" w:before="0"/>
              <w:jc w:val="left"/>
            </w:pPr>
            <w:r>
              <w:rPr>
                <w:rFonts w:ascii="Arial" w:hAnsi="Arial"/>
                <w:sz w:val="16"/>
              </w:rPr>
              <w:t xml:space="preserve">Organization policies, centralized logging, SCC and controlled keys</w:t>
            </w:r>
          </w:p>
        </w:tc>
        <w:tc>
          <w:tcPr>
            <w:vAlign w:val="center"/>
            <w:tcMar>
              <w:top w:w="70" w:type="dxa"/>
              <w:left w:w="85" w:type="dxa"/>
              <w:bottom w:w="70" w:type="dxa"/>
              <w:right w:w="85" w:type="dxa"/>
            </w:tcMar>
          </w:tcPr>
          <w:p>
            <w:pPr>
              <w:spacing w:after="30" w:before="0"/>
              <w:jc w:val="left"/>
            </w:pPr>
            <w:r>
              <w:rPr>
                <w:rFonts w:ascii="Arial" w:hAnsi="Arial"/>
                <w:sz w:val="16"/>
              </w:rPr>
              <w:t xml:space="preserve">Specific constraints and security service tier</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Data perimeter</w:t>
            </w:r>
          </w:p>
        </w:tc>
        <w:tc>
          <w:tcPr>
            <w:vAlign w:val="center"/>
            <w:tcMar>
              <w:top w:w="70" w:type="dxa"/>
              <w:left w:w="85" w:type="dxa"/>
              <w:bottom w:w="70" w:type="dxa"/>
              <w:right w:w="85" w:type="dxa"/>
            </w:tcMar>
          </w:tcPr>
          <w:p>
            <w:pPr>
              <w:spacing w:after="30" w:before="0"/>
              <w:jc w:val="left"/>
            </w:pPr>
            <w:r>
              <w:rPr>
                <w:rFonts w:ascii="Arial" w:hAnsi="Arial"/>
                <w:sz w:val="16"/>
              </w:rPr>
              <w:t xml:space="preserve">Restricted workloads are evaluated for VPC Service Controls</w:t>
            </w:r>
          </w:p>
        </w:tc>
        <w:tc>
          <w:tcPr>
            <w:vAlign w:val="center"/>
            <w:tcMar>
              <w:top w:w="70" w:type="dxa"/>
              <w:left w:w="85" w:type="dxa"/>
              <w:bottom w:w="70" w:type="dxa"/>
              <w:right w:w="85" w:type="dxa"/>
            </w:tcMar>
          </w:tcPr>
          <w:p>
            <w:pPr>
              <w:spacing w:after="30" w:before="0"/>
              <w:jc w:val="left"/>
            </w:pPr>
            <w:r>
              <w:rPr>
                <w:rFonts w:ascii="Arial" w:hAnsi="Arial"/>
                <w:sz w:val="16"/>
              </w:rPr>
              <w:t xml:space="preserve">Perimeter boundaries and supported service set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Automation</w:t>
            </w:r>
          </w:p>
        </w:tc>
        <w:tc>
          <w:tcPr>
            <w:vAlign w:val="center"/>
            <w:tcMar>
              <w:top w:w="70" w:type="dxa"/>
              <w:left w:w="85" w:type="dxa"/>
              <w:bottom w:w="70" w:type="dxa"/>
              <w:right w:w="85" w:type="dxa"/>
            </w:tcMar>
          </w:tcPr>
          <w:p>
            <w:pPr>
              <w:spacing w:after="30" w:before="0"/>
              <w:jc w:val="left"/>
            </w:pPr>
            <w:r>
              <w:rPr>
                <w:rFonts w:ascii="Arial" w:hAnsi="Arial"/>
                <w:sz w:val="16"/>
              </w:rPr>
              <w:t xml:space="preserve">Project creation and foundational changes use reviewed infrastructure as code</w:t>
            </w:r>
          </w:p>
        </w:tc>
        <w:tc>
          <w:tcPr>
            <w:vAlign w:val="center"/>
            <w:tcMar>
              <w:top w:w="70" w:type="dxa"/>
              <w:left w:w="85" w:type="dxa"/>
              <w:bottom w:w="70" w:type="dxa"/>
              <w:right w:w="85" w:type="dxa"/>
            </w:tcMar>
          </w:tcPr>
          <w:p>
            <w:pPr>
              <w:spacing w:after="30" w:before="0"/>
              <w:jc w:val="left"/>
            </w:pPr>
            <w:r>
              <w:rPr>
                <w:rFonts w:ascii="Arial" w:hAnsi="Arial"/>
                <w:sz w:val="16"/>
              </w:rPr>
              <w:t xml:space="preserve">Repository topology and CI/CD execution platform</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Resilience</w:t>
            </w:r>
          </w:p>
        </w:tc>
        <w:tc>
          <w:tcPr>
            <w:vAlign w:val="center"/>
            <w:tcMar>
              <w:top w:w="70" w:type="dxa"/>
              <w:left w:w="85" w:type="dxa"/>
              <w:bottom w:w="70" w:type="dxa"/>
              <w:right w:w="85" w:type="dxa"/>
            </w:tcMar>
          </w:tcPr>
          <w:p>
            <w:pPr>
              <w:spacing w:after="30" w:before="0"/>
              <w:jc w:val="left"/>
            </w:pPr>
            <w:r>
              <w:rPr>
                <w:rFonts w:ascii="Arial" w:hAnsi="Arial"/>
                <w:sz w:val="16"/>
              </w:rPr>
              <w:t xml:space="preserve">Redundant connectivity and tested recovery for critical control-plane services</w:t>
            </w:r>
          </w:p>
        </w:tc>
        <w:tc>
          <w:tcPr>
            <w:vAlign w:val="center"/>
            <w:tcMar>
              <w:top w:w="70" w:type="dxa"/>
              <w:left w:w="85" w:type="dxa"/>
              <w:bottom w:w="70" w:type="dxa"/>
              <w:right w:w="85" w:type="dxa"/>
            </w:tcMar>
          </w:tcPr>
          <w:p>
            <w:pPr>
              <w:spacing w:after="30" w:before="0"/>
              <w:jc w:val="left"/>
            </w:pPr>
            <w:r>
              <w:rPr>
                <w:rFonts w:ascii="Arial" w:hAnsi="Arial"/>
                <w:sz w:val="16"/>
              </w:rPr>
              <w:t xml:space="preserve">Regions, bandwidth and failover mode</w:t>
            </w:r>
          </w:p>
        </w:tc>
      </w:tr>
    </w:tbl>
    <w:bookmarkEnd w:id="29"/>
    <w:bookmarkStart w:id="32" w:name="fortune-100-assumptions"/>
    <w:p>
      <w:pPr>
        <w:pStyle w:val="Heading2"/>
        <w:keepNext/>
        <w:pageBreakBefore w:val="0"/>
      </w:pPr>
      <w:r>
        <w:t xml:space="preserve">1.4 Fortune 100 assumptions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Area</w:t>
            </w:r>
          </w:p>
        </w:tc>
        <w:tc>
          <w:tcPr>
            <w:vAlign w:val="center"/>
            <w:tcMar>
              <w:top w:w="70" w:type="dxa"/>
              <w:left w:w="85" w:type="dxa"/>
              <w:bottom w:w="70" w:type="dxa"/>
              <w:right w:w="85" w:type="dxa"/>
            </w:tcMar>
          </w:tcPr>
          <w:p>
            <w:pPr>
              <w:spacing w:after="30" w:before="0"/>
              <w:jc w:val="left"/>
            </w:pPr>
            <w:r>
              <w:rPr>
                <w:rFonts w:ascii="Arial" w:hAnsi="Arial"/>
                <w:b/>
                <w:sz w:val="16"/>
              </w:rPr>
              <w:t xml:space="preserve">Assumption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Organization</w:t>
            </w:r>
          </w:p>
        </w:tc>
        <w:tc>
          <w:tcPr>
            <w:vAlign w:val="center"/>
            <w:tcMar>
              <w:top w:w="70" w:type="dxa"/>
              <w:left w:w="85" w:type="dxa"/>
              <w:bottom w:w="70" w:type="dxa"/>
              <w:right w:w="85" w:type="dxa"/>
            </w:tcMar>
          </w:tcPr>
          <w:p>
            <w:pPr>
              <w:spacing w:after="30" w:before="0"/>
              <w:jc w:val="left"/>
            </w:pPr>
            <w:r>
              <w:rPr>
                <w:rFonts w:ascii="Arial" w:hAnsi="Arial"/>
                <w:sz w:val="16"/>
              </w:rPr>
              <w:t xml:space="preserve">Global enterprise with multiple legal entities, business units and regulated workloads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Regions</w:t>
            </w:r>
          </w:p>
        </w:tc>
        <w:tc>
          <w:tcPr>
            <w:vAlign w:val="center"/>
            <w:tcMar>
              <w:top w:w="70" w:type="dxa"/>
              <w:left w:w="85" w:type="dxa"/>
              <w:bottom w:w="70" w:type="dxa"/>
              <w:right w:w="85" w:type="dxa"/>
            </w:tcMar>
          </w:tcPr>
          <w:p>
            <w:pPr>
              <w:spacing w:after="30" w:before="0"/>
              <w:jc w:val="left"/>
            </w:pPr>
            <w:r>
              <w:rPr>
                <w:rFonts w:ascii="Arial" w:hAnsi="Arial"/>
                <w:sz w:val="16"/>
              </w:rPr>
              <w:t xml:space="preserve">AMER, EMEA and APAC regional groups with primary and recovery regions by workload tier</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Identity</w:t>
            </w:r>
          </w:p>
        </w:tc>
        <w:tc>
          <w:tcPr>
            <w:vAlign w:val="center"/>
            <w:tcMar>
              <w:top w:w="70" w:type="dxa"/>
              <w:left w:w="85" w:type="dxa"/>
              <w:bottom w:w="70" w:type="dxa"/>
              <w:right w:w="85" w:type="dxa"/>
            </w:tcMar>
          </w:tcPr>
          <w:p>
            <w:pPr>
              <w:spacing w:after="30" w:before="0"/>
              <w:jc w:val="left"/>
            </w:pPr>
            <w:r>
              <w:rPr>
                <w:rFonts w:ascii="Arial" w:hAnsi="Arial"/>
                <w:sz w:val="16"/>
              </w:rPr>
              <w:t xml:space="preserve">Enterprise IdP provides authoritative lifecycle events and strong authentication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Connectivity</w:t>
            </w:r>
          </w:p>
        </w:tc>
        <w:tc>
          <w:tcPr>
            <w:vAlign w:val="center"/>
            <w:tcMar>
              <w:top w:w="70" w:type="dxa"/>
              <w:left w:w="85" w:type="dxa"/>
              <w:bottom w:w="70" w:type="dxa"/>
              <w:right w:w="85" w:type="dxa"/>
            </w:tcMar>
          </w:tcPr>
          <w:p>
            <w:pPr>
              <w:spacing w:after="30" w:before="0"/>
              <w:jc w:val="left"/>
            </w:pPr>
            <w:r>
              <w:rPr>
                <w:rFonts w:ascii="Arial" w:hAnsi="Arial"/>
                <w:sz w:val="16"/>
              </w:rPr>
              <w:t xml:space="preserve">At least two major data centers and existing AWS and Azure footprints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Operations</w:t>
            </w:r>
          </w:p>
        </w:tc>
        <w:tc>
          <w:tcPr>
            <w:vAlign w:val="center"/>
            <w:tcMar>
              <w:top w:w="70" w:type="dxa"/>
              <w:left w:w="85" w:type="dxa"/>
              <w:bottom w:w="70" w:type="dxa"/>
              <w:right w:w="85" w:type="dxa"/>
            </w:tcMar>
          </w:tcPr>
          <w:p>
            <w:pPr>
              <w:spacing w:after="30" w:before="0"/>
              <w:jc w:val="left"/>
            </w:pPr>
            <w:r>
              <w:rPr>
                <w:rFonts w:ascii="Arial" w:hAnsi="Arial"/>
                <w:sz w:val="16"/>
              </w:rPr>
              <w:t xml:space="preserve">Central Cloud Center of Excellence, network operations, security operations and platform engineering</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Delivery</w:t>
            </w:r>
          </w:p>
        </w:tc>
        <w:tc>
          <w:tcPr>
            <w:vAlign w:val="center"/>
            <w:tcMar>
              <w:top w:w="70" w:type="dxa"/>
              <w:left w:w="85" w:type="dxa"/>
              <w:bottom w:w="70" w:type="dxa"/>
              <w:right w:w="85" w:type="dxa"/>
            </w:tcMar>
          </w:tcPr>
          <w:p>
            <w:pPr>
              <w:spacing w:after="30" w:before="0"/>
              <w:jc w:val="left"/>
            </w:pPr>
            <w:r>
              <w:rPr>
                <w:rFonts w:ascii="Arial" w:hAnsi="Arial"/>
                <w:sz w:val="16"/>
              </w:rPr>
              <w:t xml:space="preserve">Terraform is the primary infrastructure-as-code tool and changes flow through CI/CD</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Security</w:t>
            </w:r>
          </w:p>
        </w:tc>
        <w:tc>
          <w:tcPr>
            <w:vAlign w:val="center"/>
            <w:tcMar>
              <w:top w:w="70" w:type="dxa"/>
              <w:left w:w="85" w:type="dxa"/>
              <w:bottom w:w="70" w:type="dxa"/>
              <w:right w:w="85" w:type="dxa"/>
            </w:tcMar>
          </w:tcPr>
          <w:p>
            <w:pPr>
              <w:spacing w:after="30" w:before="0"/>
              <w:jc w:val="left"/>
            </w:pPr>
            <w:r>
              <w:rPr>
                <w:rFonts w:ascii="Arial" w:hAnsi="Arial"/>
                <w:sz w:val="16"/>
              </w:rPr>
              <w:t xml:space="preserve">Restricted data requires stronger access, perimeter, encryption and monitoring controls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Scale</w:t>
            </w:r>
          </w:p>
        </w:tc>
        <w:tc>
          <w:tcPr>
            <w:vAlign w:val="center"/>
            <w:tcMar>
              <w:top w:w="70" w:type="dxa"/>
              <w:left w:w="85" w:type="dxa"/>
              <w:bottom w:w="70" w:type="dxa"/>
              <w:right w:w="85" w:type="dxa"/>
            </w:tcMar>
          </w:tcPr>
          <w:p>
            <w:pPr>
              <w:spacing w:after="30" w:before="0"/>
              <w:jc w:val="left"/>
            </w:pPr>
            <w:r>
              <w:rPr>
                <w:rFonts w:ascii="Arial" w:hAnsi="Arial"/>
                <w:sz w:val="16"/>
              </w:rPr>
              <w:t xml:space="preserve">Hundreds to thousands of projects over the lifetime of the platform</w:t>
            </w:r>
          </w:p>
        </w:tc>
      </w:tr>
    </w:tbl>
    <w:p>
      <w:pPr>
        <w:pStyle w:val="CaptionedFigure"/>
      </w:pPr>
      <w:r>
        <w:drawing>
          <wp:inline>
            <wp:extent cx="6129020" cy="2029854"/>
            <wp:effectExtent b="0" l="0" r="0" t="0"/>
            <wp:docPr descr="Landing zone control plane" title="" id="30" name="Picture"/>
            <a:graphic>
              <a:graphicData uri="http://schemas.openxmlformats.org/drawingml/2006/picture">
                <pic:pic>
                  <pic:nvPicPr>
                    <pic:cNvPr descr="/mnt/data/Volume_02_Google_Cloud_Landing_Zone_Package/diagrams/07_security_foundation.png" id="31" name="Picture"/>
                    <pic:cNvPicPr>
                      <a:picLocks noChangeArrowheads="1" noChangeAspect="1"/>
                    </pic:cNvPicPr>
                  </pic:nvPicPr>
                  <pic:blipFill>
                    <a:blip r:embed="rId20"/>
                    <a:stretch>
                      <a:fillRect/>
                    </a:stretch>
                  </pic:blipFill>
                  <pic:spPr bwMode="auto">
                    <a:xfrm>
                      <a:off x="0" y="0"/>
                      <a:ext cx="6129020" cy="2029854"/>
                    </a:xfrm>
                    <a:prstGeom prst="rect">
                      <a:avLst/>
                    </a:prstGeom>
                    <a:noFill/>
                    <a:ln w="9525">
                      <a:noFill/>
                      <a:headEnd/>
                      <a:tailEnd/>
                    </a:ln>
                  </pic:spPr>
                </pic:pic>
              </a:graphicData>
            </a:graphic>
          </wp:inline>
        </w:drawing>
      </w:r>
    </w:p>
    <w:p>
      <w:pPr>
        <w:pStyle w:val="ImageCaption"/>
      </w:pPr>
      <w:r>
        <w:t xml:space="preserve">Landing zone control plane</w:t>
      </w:r>
    </w:p>
    <w:bookmarkEnd w:id="32"/>
    <w:bookmarkEnd w:id="33"/>
    <w:bookmarkStart w:id="51" w:name="Xf7e9b2e00dbad614d49a876ce55dc06d9a8483d"/>
    <w:p>
      <w:pPr>
        <w:pStyle w:val="Heading1"/>
        <w:keepNext/>
        <w:pageBreakBefore w:val="0"/>
      </w:pPr>
      <w:r>
        <w:t xml:space="preserve">2. Organization, Folder and Resource Hierarchy</w:t>
      </w:r>
    </w:p>
    <w:p>
      <w:pPr>
        <w:pStyle w:val="FirstParagraph"/>
      </w:pPr>
      <w:r>
        <w:t xml:space="preserve">The resource hierarchy is a security and governance structure, not merely a visual filing system. Policies inherited at organization and folder levels create the enterprise default. Projects form the primary workload, billing, API, quota and blast-radius boundary. Folders should therefore reflect durable control boundaries such as environment, regulatory geography and administrative ownership rather than temporary programs or reporting lines.</w:t>
      </w:r>
    </w:p>
    <w:bookmarkStart w:id="34" w:name="google-cloud-organization-structure"/>
    <w:p>
      <w:pPr>
        <w:pStyle w:val="Heading2"/>
        <w:keepNext/>
        <w:pageBreakBefore w:val="0"/>
      </w:pPr>
      <w:r>
        <w:t xml:space="preserve">2.1 Google Cloud organization structure</w:t>
      </w:r>
    </w:p>
    <w:p>
      <w:pPr>
        <w:pStyle w:val="FirstParagraph"/>
      </w:pPr>
      <w:r>
        <w:t xml:space="preserve">Use a single primary Google Cloud organization unless legal separation, merger transition or sovereign control requires an additional organization. One organization maximizes policy inheritance, centralized security visibility and consistent identity governance. Additional organizations introduce cross-organization sharing complexity, duplicated controls and fragmented incident response; each requires an explicit federation and exit strategy.</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Hierarchy node</w:t>
            </w:r>
          </w:p>
        </w:tc>
        <w:tc>
          <w:tcPr>
            <w:vAlign w:val="center"/>
            <w:tcMar>
              <w:top w:w="70" w:type="dxa"/>
              <w:left w:w="85" w:type="dxa"/>
              <w:bottom w:w="70" w:type="dxa"/>
              <w:right w:w="85" w:type="dxa"/>
            </w:tcMar>
          </w:tcPr>
          <w:p>
            <w:pPr>
              <w:spacing w:after="30" w:before="0"/>
              <w:jc w:val="left"/>
            </w:pPr>
            <w:r>
              <w:rPr>
                <w:rFonts w:ascii="Arial" w:hAnsi="Arial"/>
                <w:b/>
                <w:sz w:val="16"/>
              </w:rPr>
              <w:t xml:space="preserve">Purpose</w:t>
            </w:r>
          </w:p>
        </w:tc>
        <w:tc>
          <w:tcPr>
            <w:vAlign w:val="center"/>
            <w:tcMar>
              <w:top w:w="70" w:type="dxa"/>
              <w:left w:w="85" w:type="dxa"/>
              <w:bottom w:w="70" w:type="dxa"/>
              <w:right w:w="85" w:type="dxa"/>
            </w:tcMar>
          </w:tcPr>
          <w:p>
            <w:pPr>
              <w:spacing w:after="30" w:before="0"/>
              <w:jc w:val="left"/>
            </w:pPr>
            <w:r>
              <w:rPr>
                <w:rFonts w:ascii="Arial" w:hAnsi="Arial"/>
                <w:b/>
                <w:sz w:val="16"/>
              </w:rPr>
              <w:t xml:space="preserve">Primary administrators</w:t>
            </w:r>
          </w:p>
        </w:tc>
        <w:tc>
          <w:tcPr>
            <w:vAlign w:val="center"/>
            <w:tcMar>
              <w:top w:w="70" w:type="dxa"/>
              <w:left w:w="85" w:type="dxa"/>
              <w:bottom w:w="70" w:type="dxa"/>
              <w:right w:w="85" w:type="dxa"/>
            </w:tcMar>
          </w:tcPr>
          <w:p>
            <w:pPr>
              <w:spacing w:after="30" w:before="0"/>
              <w:jc w:val="left"/>
            </w:pPr>
            <w:r>
              <w:rPr>
                <w:rFonts w:ascii="Arial" w:hAnsi="Arial"/>
                <w:b/>
                <w:sz w:val="16"/>
              </w:rPr>
              <w:t xml:space="preserve">Policy role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Organization</w:t>
            </w:r>
          </w:p>
        </w:tc>
        <w:tc>
          <w:tcPr>
            <w:vAlign w:val="center"/>
            <w:tcMar>
              <w:top w:w="70" w:type="dxa"/>
              <w:left w:w="85" w:type="dxa"/>
              <w:bottom w:w="70" w:type="dxa"/>
              <w:right w:w="85" w:type="dxa"/>
            </w:tcMar>
          </w:tcPr>
          <w:p>
            <w:pPr>
              <w:spacing w:after="30" w:before="0"/>
              <w:jc w:val="left"/>
            </w:pPr>
            <w:r>
              <w:rPr>
                <w:rFonts w:ascii="Arial" w:hAnsi="Arial"/>
                <w:sz w:val="16"/>
              </w:rPr>
              <w:t xml:space="preserve">Enterprise control boundary and root for managed resources</w:t>
            </w:r>
          </w:p>
        </w:tc>
        <w:tc>
          <w:tcPr>
            <w:vAlign w:val="center"/>
            <w:tcMar>
              <w:top w:w="70" w:type="dxa"/>
              <w:left w:w="85" w:type="dxa"/>
              <w:bottom w:w="70" w:type="dxa"/>
              <w:right w:w="85" w:type="dxa"/>
            </w:tcMar>
          </w:tcPr>
          <w:p>
            <w:pPr>
              <w:spacing w:after="30" w:before="0"/>
              <w:jc w:val="left"/>
            </w:pPr>
            <w:r>
              <w:rPr>
                <w:rFonts w:ascii="Arial" w:hAnsi="Arial"/>
                <w:sz w:val="16"/>
              </w:rPr>
              <w:t xml:space="preserve">Cloud foundation administrators and security governance</w:t>
            </w:r>
          </w:p>
        </w:tc>
        <w:tc>
          <w:tcPr>
            <w:vAlign w:val="center"/>
            <w:tcMar>
              <w:top w:w="70" w:type="dxa"/>
              <w:left w:w="85" w:type="dxa"/>
              <w:bottom w:w="70" w:type="dxa"/>
              <w:right w:w="85" w:type="dxa"/>
            </w:tcMar>
          </w:tcPr>
          <w:p>
            <w:pPr>
              <w:spacing w:after="30" w:before="0"/>
              <w:jc w:val="left"/>
            </w:pPr>
            <w:r>
              <w:rPr>
                <w:rFonts w:ascii="Arial" w:hAnsi="Arial"/>
                <w:sz w:val="16"/>
              </w:rPr>
              <w:t xml:space="preserve">Enterprise constraints, logging sinks, SCC activation and access policy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Bootstrap folder</w:t>
            </w:r>
          </w:p>
        </w:tc>
        <w:tc>
          <w:tcPr>
            <w:vAlign w:val="center"/>
            <w:tcMar>
              <w:top w:w="70" w:type="dxa"/>
              <w:left w:w="85" w:type="dxa"/>
              <w:bottom w:w="70" w:type="dxa"/>
              <w:right w:w="85" w:type="dxa"/>
            </w:tcMar>
          </w:tcPr>
          <w:p>
            <w:pPr>
              <w:spacing w:after="30" w:before="0"/>
              <w:jc w:val="left"/>
            </w:pPr>
            <w:r>
              <w:rPr>
                <w:rFonts w:ascii="Arial" w:hAnsi="Arial"/>
                <w:sz w:val="16"/>
              </w:rPr>
              <w:t xml:space="preserve">Seed projects, Terraform state, automation identities and foundation pipelines</w:t>
            </w:r>
          </w:p>
        </w:tc>
        <w:tc>
          <w:tcPr>
            <w:vAlign w:val="center"/>
            <w:tcMar>
              <w:top w:w="70" w:type="dxa"/>
              <w:left w:w="85" w:type="dxa"/>
              <w:bottom w:w="70" w:type="dxa"/>
              <w:right w:w="85" w:type="dxa"/>
            </w:tcMar>
          </w:tcPr>
          <w:p>
            <w:pPr>
              <w:spacing w:after="30" w:before="0"/>
              <w:jc w:val="left"/>
            </w:pPr>
            <w:r>
              <w:rPr>
                <w:rFonts w:ascii="Arial" w:hAnsi="Arial"/>
                <w:sz w:val="16"/>
              </w:rPr>
              <w:t xml:space="preserve">Platform engineering with security oversight</w:t>
            </w:r>
          </w:p>
        </w:tc>
        <w:tc>
          <w:tcPr>
            <w:vAlign w:val="center"/>
            <w:tcMar>
              <w:top w:w="70" w:type="dxa"/>
              <w:left w:w="85" w:type="dxa"/>
              <w:bottom w:w="70" w:type="dxa"/>
              <w:right w:w="85" w:type="dxa"/>
            </w:tcMar>
          </w:tcPr>
          <w:p>
            <w:pPr>
              <w:spacing w:after="30" w:before="0"/>
              <w:jc w:val="left"/>
            </w:pPr>
            <w:r>
              <w:rPr>
                <w:rFonts w:ascii="Arial" w:hAnsi="Arial"/>
                <w:sz w:val="16"/>
              </w:rPr>
              <w:t xml:space="preserve">Highly restricted; minimal services; no workload data</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Common folder</w:t>
            </w:r>
          </w:p>
        </w:tc>
        <w:tc>
          <w:tcPr>
            <w:vAlign w:val="center"/>
            <w:tcMar>
              <w:top w:w="70" w:type="dxa"/>
              <w:left w:w="85" w:type="dxa"/>
              <w:bottom w:w="70" w:type="dxa"/>
              <w:right w:w="85" w:type="dxa"/>
            </w:tcMar>
          </w:tcPr>
          <w:p>
            <w:pPr>
              <w:spacing w:after="30" w:before="0"/>
              <w:jc w:val="left"/>
            </w:pPr>
            <w:r>
              <w:rPr>
                <w:rFonts w:ascii="Arial" w:hAnsi="Arial"/>
                <w:sz w:val="16"/>
              </w:rPr>
              <w:t xml:space="preserve">Shared network, security, logging, monitoring, artifact and platform services</w:t>
            </w:r>
          </w:p>
        </w:tc>
        <w:tc>
          <w:tcPr>
            <w:vAlign w:val="center"/>
            <w:tcMar>
              <w:top w:w="70" w:type="dxa"/>
              <w:left w:w="85" w:type="dxa"/>
              <w:bottom w:w="70" w:type="dxa"/>
              <w:right w:w="85" w:type="dxa"/>
            </w:tcMar>
          </w:tcPr>
          <w:p>
            <w:pPr>
              <w:spacing w:after="30" w:before="0"/>
              <w:jc w:val="left"/>
            </w:pPr>
            <w:r>
              <w:rPr>
                <w:rFonts w:ascii="Arial" w:hAnsi="Arial"/>
                <w:sz w:val="16"/>
              </w:rPr>
              <w:t xml:space="preserve">Central platform teams</w:t>
            </w:r>
          </w:p>
        </w:tc>
        <w:tc>
          <w:tcPr>
            <w:vAlign w:val="center"/>
            <w:tcMar>
              <w:top w:w="70" w:type="dxa"/>
              <w:left w:w="85" w:type="dxa"/>
              <w:bottom w:w="70" w:type="dxa"/>
              <w:right w:w="85" w:type="dxa"/>
            </w:tcMar>
          </w:tcPr>
          <w:p>
            <w:pPr>
              <w:spacing w:after="30" w:before="0"/>
              <w:jc w:val="left"/>
            </w:pPr>
            <w:r>
              <w:rPr>
                <w:rFonts w:ascii="Arial" w:hAnsi="Arial"/>
                <w:sz w:val="16"/>
              </w:rPr>
              <w:t xml:space="preserve">Shared-service controls and explicit cross-environment access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Environment folders</w:t>
            </w:r>
          </w:p>
        </w:tc>
        <w:tc>
          <w:tcPr>
            <w:vAlign w:val="center"/>
            <w:tcMar>
              <w:top w:w="70" w:type="dxa"/>
              <w:left w:w="85" w:type="dxa"/>
              <w:bottom w:w="70" w:type="dxa"/>
              <w:right w:w="85" w:type="dxa"/>
            </w:tcMar>
          </w:tcPr>
          <w:p>
            <w:pPr>
              <w:spacing w:after="30" w:before="0"/>
              <w:jc w:val="left"/>
            </w:pPr>
            <w:r>
              <w:rPr>
                <w:rFonts w:ascii="Arial" w:hAnsi="Arial"/>
                <w:sz w:val="16"/>
              </w:rPr>
              <w:t xml:space="preserve">Production, non-production, development and sandbox isolation</w:t>
            </w:r>
          </w:p>
        </w:tc>
        <w:tc>
          <w:tcPr>
            <w:vAlign w:val="center"/>
            <w:tcMar>
              <w:top w:w="70" w:type="dxa"/>
              <w:left w:w="85" w:type="dxa"/>
              <w:bottom w:w="70" w:type="dxa"/>
              <w:right w:w="85" w:type="dxa"/>
            </w:tcMar>
          </w:tcPr>
          <w:p>
            <w:pPr>
              <w:spacing w:after="30" w:before="0"/>
              <w:jc w:val="left"/>
            </w:pPr>
            <w:r>
              <w:rPr>
                <w:rFonts w:ascii="Arial" w:hAnsi="Arial"/>
                <w:sz w:val="16"/>
              </w:rPr>
              <w:t xml:space="preserve">Environment platform owners</w:t>
            </w:r>
          </w:p>
        </w:tc>
        <w:tc>
          <w:tcPr>
            <w:vAlign w:val="center"/>
            <w:tcMar>
              <w:top w:w="70" w:type="dxa"/>
              <w:left w:w="85" w:type="dxa"/>
              <w:bottom w:w="70" w:type="dxa"/>
              <w:right w:w="85" w:type="dxa"/>
            </w:tcMar>
          </w:tcPr>
          <w:p>
            <w:pPr>
              <w:spacing w:after="30" w:before="0"/>
              <w:jc w:val="left"/>
            </w:pPr>
            <w:r>
              <w:rPr>
                <w:rFonts w:ascii="Arial" w:hAnsi="Arial"/>
                <w:sz w:val="16"/>
              </w:rPr>
              <w:t xml:space="preserve">Environment-specific constraints, firewall delegation and budgets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Geography folders</w:t>
            </w:r>
          </w:p>
        </w:tc>
        <w:tc>
          <w:tcPr>
            <w:vAlign w:val="center"/>
            <w:tcMar>
              <w:top w:w="70" w:type="dxa"/>
              <w:left w:w="85" w:type="dxa"/>
              <w:bottom w:w="70" w:type="dxa"/>
              <w:right w:w="85" w:type="dxa"/>
            </w:tcMar>
          </w:tcPr>
          <w:p>
            <w:pPr>
              <w:spacing w:after="30" w:before="0"/>
              <w:jc w:val="left"/>
            </w:pPr>
            <w:r>
              <w:rPr>
                <w:rFonts w:ascii="Arial" w:hAnsi="Arial"/>
                <w:sz w:val="16"/>
              </w:rPr>
              <w:t xml:space="preserve">Residency and operating partition within an environment</w:t>
            </w:r>
          </w:p>
        </w:tc>
        <w:tc>
          <w:tcPr>
            <w:vAlign w:val="center"/>
            <w:tcMar>
              <w:top w:w="70" w:type="dxa"/>
              <w:left w:w="85" w:type="dxa"/>
              <w:bottom w:w="70" w:type="dxa"/>
              <w:right w:w="85" w:type="dxa"/>
            </w:tcMar>
          </w:tcPr>
          <w:p>
            <w:pPr>
              <w:spacing w:after="30" w:before="0"/>
              <w:jc w:val="left"/>
            </w:pPr>
            <w:r>
              <w:rPr>
                <w:rFonts w:ascii="Arial" w:hAnsi="Arial"/>
                <w:sz w:val="16"/>
              </w:rPr>
              <w:t xml:space="preserve">Regional platform and compliance owners</w:t>
            </w:r>
          </w:p>
        </w:tc>
        <w:tc>
          <w:tcPr>
            <w:vAlign w:val="center"/>
            <w:tcMar>
              <w:top w:w="70" w:type="dxa"/>
              <w:left w:w="85" w:type="dxa"/>
              <w:bottom w:w="70" w:type="dxa"/>
              <w:right w:w="85" w:type="dxa"/>
            </w:tcMar>
          </w:tcPr>
          <w:p>
            <w:pPr>
              <w:spacing w:after="30" w:before="0"/>
              <w:jc w:val="left"/>
            </w:pPr>
            <w:r>
              <w:rPr>
                <w:rFonts w:ascii="Arial" w:hAnsi="Arial"/>
                <w:sz w:val="16"/>
              </w:rPr>
              <w:t xml:space="preserve">Location, key, routing and data-boundary controls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Domain folders</w:t>
            </w:r>
          </w:p>
        </w:tc>
        <w:tc>
          <w:tcPr>
            <w:vAlign w:val="center"/>
            <w:tcMar>
              <w:top w:w="70" w:type="dxa"/>
              <w:left w:w="85" w:type="dxa"/>
              <w:bottom w:w="70" w:type="dxa"/>
              <w:right w:w="85" w:type="dxa"/>
            </w:tcMar>
          </w:tcPr>
          <w:p>
            <w:pPr>
              <w:spacing w:after="30" w:before="0"/>
              <w:jc w:val="left"/>
            </w:pPr>
            <w:r>
              <w:rPr>
                <w:rFonts w:ascii="Arial" w:hAnsi="Arial"/>
                <w:sz w:val="16"/>
              </w:rPr>
              <w:t xml:space="preserve">Optional grouping for large domains with durable delegated ownership</w:t>
            </w:r>
          </w:p>
        </w:tc>
        <w:tc>
          <w:tcPr>
            <w:vAlign w:val="center"/>
            <w:tcMar>
              <w:top w:w="70" w:type="dxa"/>
              <w:left w:w="85" w:type="dxa"/>
              <w:bottom w:w="70" w:type="dxa"/>
              <w:right w:w="85" w:type="dxa"/>
            </w:tcMar>
          </w:tcPr>
          <w:p>
            <w:pPr>
              <w:spacing w:after="30" w:before="0"/>
              <w:jc w:val="left"/>
            </w:pPr>
            <w:r>
              <w:rPr>
                <w:rFonts w:ascii="Arial" w:hAnsi="Arial"/>
                <w:sz w:val="16"/>
              </w:rPr>
              <w:t xml:space="preserve">Domain platform leads</w:t>
            </w:r>
          </w:p>
        </w:tc>
        <w:tc>
          <w:tcPr>
            <w:vAlign w:val="center"/>
            <w:tcMar>
              <w:top w:w="70" w:type="dxa"/>
              <w:left w:w="85" w:type="dxa"/>
              <w:bottom w:w="70" w:type="dxa"/>
              <w:right w:w="85" w:type="dxa"/>
            </w:tcMar>
          </w:tcPr>
          <w:p>
            <w:pPr>
              <w:spacing w:after="30" w:before="0"/>
              <w:jc w:val="left"/>
            </w:pPr>
            <w:r>
              <w:rPr>
                <w:rFonts w:ascii="Arial" w:hAnsi="Arial"/>
                <w:sz w:val="16"/>
              </w:rPr>
              <w:t xml:space="preserve">Delegated project creation and bounded IAM</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Projects</w:t>
            </w:r>
          </w:p>
        </w:tc>
        <w:tc>
          <w:tcPr>
            <w:vAlign w:val="center"/>
            <w:tcMar>
              <w:top w:w="70" w:type="dxa"/>
              <w:left w:w="85" w:type="dxa"/>
              <w:bottom w:w="70" w:type="dxa"/>
              <w:right w:w="85" w:type="dxa"/>
            </w:tcMar>
          </w:tcPr>
          <w:p>
            <w:pPr>
              <w:spacing w:after="30" w:before="0"/>
              <w:jc w:val="left"/>
            </w:pPr>
            <w:r>
              <w:rPr>
                <w:rFonts w:ascii="Arial" w:hAnsi="Arial"/>
                <w:sz w:val="16"/>
              </w:rPr>
              <w:t xml:space="preserve">Workload, billing, API and quota boundary</w:t>
            </w:r>
          </w:p>
        </w:tc>
        <w:tc>
          <w:tcPr>
            <w:vAlign w:val="center"/>
            <w:tcMar>
              <w:top w:w="70" w:type="dxa"/>
              <w:left w:w="85" w:type="dxa"/>
              <w:bottom w:w="70" w:type="dxa"/>
              <w:right w:w="85" w:type="dxa"/>
            </w:tcMar>
          </w:tcPr>
          <w:p>
            <w:pPr>
              <w:spacing w:after="30" w:before="0"/>
              <w:jc w:val="left"/>
            </w:pPr>
            <w:r>
              <w:rPr>
                <w:rFonts w:ascii="Arial" w:hAnsi="Arial"/>
                <w:sz w:val="16"/>
              </w:rPr>
              <w:t xml:space="preserve">Project owner group, never an individual</w:t>
            </w:r>
          </w:p>
        </w:tc>
        <w:tc>
          <w:tcPr>
            <w:vAlign w:val="center"/>
            <w:tcMar>
              <w:top w:w="70" w:type="dxa"/>
              <w:left w:w="85" w:type="dxa"/>
              <w:bottom w:w="70" w:type="dxa"/>
              <w:right w:w="85" w:type="dxa"/>
            </w:tcMar>
          </w:tcPr>
          <w:p>
            <w:pPr>
              <w:spacing w:after="30" w:before="0"/>
              <w:jc w:val="left"/>
            </w:pPr>
            <w:r>
              <w:rPr>
                <w:rFonts w:ascii="Arial" w:hAnsi="Arial"/>
                <w:sz w:val="16"/>
              </w:rPr>
              <w:t xml:space="preserve">Service enablement, IAM and workload-specific configuration</w:t>
            </w:r>
          </w:p>
        </w:tc>
      </w:tr>
    </w:tbl>
    <w:bookmarkEnd w:id="34"/>
    <w:bookmarkStart w:id="38" w:name="folder-hierarchy"/>
    <w:p>
      <w:pPr>
        <w:pStyle w:val="Heading2"/>
        <w:keepNext/>
        <w:pageBreakBefore w:val="0"/>
      </w:pPr>
      <w:r>
        <w:t xml:space="preserve">2.2 Folder hierarchy</w:t>
      </w:r>
    </w:p>
    <w:p>
      <w:pPr>
        <w:pStyle w:val="CaptionedFigure"/>
      </w:pPr>
      <w:r>
        <w:drawing>
          <wp:inline>
            <wp:extent cx="6129020" cy="1769201"/>
            <wp:effectExtent b="0" l="0" r="0" t="0"/>
            <wp:docPr descr="Organization and top-level folders" title="" id="36" name="Picture"/>
            <a:graphic>
              <a:graphicData uri="http://schemas.openxmlformats.org/drawingml/2006/picture">
                <pic:pic>
                  <pic:nvPicPr>
                    <pic:cNvPr descr="/mnt/data/Volume_02_Google_Cloud_Landing_Zone_Package/diagrams/01_organization_hierarchy.png" id="37" name="Picture"/>
                    <pic:cNvPicPr>
                      <a:picLocks noChangeArrowheads="1" noChangeAspect="1"/>
                    </pic:cNvPicPr>
                  </pic:nvPicPr>
                  <pic:blipFill>
                    <a:blip r:embed="rId35"/>
                    <a:stretch>
                      <a:fillRect/>
                    </a:stretch>
                  </pic:blipFill>
                  <pic:spPr bwMode="auto">
                    <a:xfrm>
                      <a:off x="0" y="0"/>
                      <a:ext cx="6129020" cy="1769201"/>
                    </a:xfrm>
                    <a:prstGeom prst="rect">
                      <a:avLst/>
                    </a:prstGeom>
                    <a:noFill/>
                    <a:ln w="9525">
                      <a:noFill/>
                      <a:headEnd/>
                      <a:tailEnd/>
                    </a:ln>
                  </pic:spPr>
                </pic:pic>
              </a:graphicData>
            </a:graphic>
          </wp:inline>
        </w:drawing>
      </w:r>
    </w:p>
    <w:p>
      <w:pPr>
        <w:pStyle w:val="ImageCaption"/>
      </w:pPr>
      <w:r>
        <w:t xml:space="preserve">Organization and top-level folders</w:t>
      </w:r>
    </w:p>
    <w:p>
      <w:pPr>
        <w:pStyle w:val="BodyText"/>
      </w:pPr>
      <w:r>
        <w:t xml:space="preserve">The baseline uses environment folders as the main policy boundary because production and non-production require different controls, support models and change procedures. Geography folders beneath each environment isolate regional resources and allow location policies, key projects, logging retention and local operating responsibilities to be applied consistently. Domain folders are optional and should be introduced only when a business domain owns enough projects to justify delegated administration.</w:t>
      </w:r>
    </w:p>
    <w:tbl>
      <w:tblPr>
        <w:tblStyle w:val="LightShading-Accent1"/>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Reference</w:t>
            </w:r>
          </w:p>
        </w:tc>
        <w:tc>
          <w:tcPr>
            <w:vAlign w:val="center"/>
            <w:tcMar>
              <w:top w:w="70" w:type="dxa"/>
              <w:left w:w="85" w:type="dxa"/>
              <w:bottom w:w="70" w:type="dxa"/>
              <w:right w:w="85" w:type="dxa"/>
            </w:tcMar>
          </w:tcPr>
          <w:p>
            <w:pPr>
              <w:spacing w:after="30" w:before="0"/>
              <w:jc w:val="left"/>
            </w:pPr>
            <w:r>
              <w:rPr>
                <w:rFonts w:ascii="Arial" w:hAnsi="Arial"/>
                <w:b/>
                <w:sz w:val="16"/>
              </w:rPr>
              <w:t xml:space="preserve">Folder</w:t>
            </w:r>
          </w:p>
        </w:tc>
        <w:tc>
          <w:tcPr>
            <w:vAlign w:val="center"/>
            <w:tcMar>
              <w:top w:w="70" w:type="dxa"/>
              <w:left w:w="85" w:type="dxa"/>
              <w:bottom w:w="70" w:type="dxa"/>
              <w:right w:w="85" w:type="dxa"/>
            </w:tcMar>
          </w:tcPr>
          <w:p>
            <w:pPr>
              <w:spacing w:after="30" w:before="0"/>
              <w:jc w:val="left"/>
            </w:pPr>
            <w:r>
              <w:rPr>
                <w:rFonts w:ascii="Arial" w:hAnsi="Arial"/>
                <w:b/>
                <w:sz w:val="16"/>
              </w:rPr>
              <w:t xml:space="preserve">Purpose</w:t>
            </w:r>
          </w:p>
        </w:tc>
        <w:tc>
          <w:tcPr>
            <w:vAlign w:val="center"/>
            <w:tcMar>
              <w:top w:w="70" w:type="dxa"/>
              <w:left w:w="85" w:type="dxa"/>
              <w:bottom w:w="70" w:type="dxa"/>
              <w:right w:w="85" w:type="dxa"/>
            </w:tcMar>
          </w:tcPr>
          <w:p>
            <w:pPr>
              <w:spacing w:after="30" w:before="0"/>
              <w:jc w:val="left"/>
            </w:pPr>
            <w:r>
              <w:rPr>
                <w:rFonts w:ascii="Arial" w:hAnsi="Arial"/>
                <w:b/>
                <w:sz w:val="16"/>
              </w:rPr>
              <w:t xml:space="preserve">Administration</w:t>
            </w:r>
          </w:p>
        </w:tc>
        <w:tc>
          <w:tcPr>
            <w:vAlign w:val="center"/>
            <w:tcMar>
              <w:top w:w="70" w:type="dxa"/>
              <w:left w:w="85" w:type="dxa"/>
              <w:bottom w:w="70" w:type="dxa"/>
              <w:right w:w="85" w:type="dxa"/>
            </w:tcMar>
          </w:tcPr>
          <w:p>
            <w:pPr>
              <w:spacing w:after="30" w:before="0"/>
              <w:jc w:val="left"/>
            </w:pPr>
            <w:r>
              <w:rPr>
                <w:rFonts w:ascii="Arial" w:hAnsi="Arial"/>
                <w:b/>
                <w:sz w:val="16"/>
              </w:rPr>
              <w:t xml:space="preserve">Key controls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fld-bootstrap</w:t>
            </w:r>
          </w:p>
        </w:tc>
        <w:tc>
          <w:tcPr>
            <w:vAlign w:val="center"/>
            <w:tcMar>
              <w:top w:w="70" w:type="dxa"/>
              <w:left w:w="85" w:type="dxa"/>
              <w:bottom w:w="70" w:type="dxa"/>
              <w:right w:w="85" w:type="dxa"/>
            </w:tcMar>
          </w:tcPr>
          <w:p>
            <w:pPr>
              <w:spacing w:after="30" w:before="0"/>
              <w:jc w:val="left"/>
            </w:pPr>
            <w:r>
              <w:rPr>
                <w:rFonts w:ascii="Arial" w:hAnsi="Arial"/>
                <w:sz w:val="16"/>
              </w:rPr>
              <w:t xml:space="preserve">Bootstrap</w:t>
            </w:r>
          </w:p>
        </w:tc>
        <w:tc>
          <w:tcPr>
            <w:vAlign w:val="center"/>
            <w:tcMar>
              <w:top w:w="70" w:type="dxa"/>
              <w:left w:w="85" w:type="dxa"/>
              <w:bottom w:w="70" w:type="dxa"/>
              <w:right w:w="85" w:type="dxa"/>
            </w:tcMar>
          </w:tcPr>
          <w:p>
            <w:pPr>
              <w:spacing w:after="30" w:before="0"/>
              <w:jc w:val="left"/>
            </w:pPr>
            <w:r>
              <w:rPr>
                <w:rFonts w:ascii="Arial" w:hAnsi="Arial"/>
                <w:sz w:val="16"/>
              </w:rPr>
              <w:t xml:space="preserve">Terraform state, seed project and foundation CI/CD</w:t>
            </w:r>
          </w:p>
        </w:tc>
        <w:tc>
          <w:tcPr>
            <w:vAlign w:val="center"/>
            <w:tcMar>
              <w:top w:w="70" w:type="dxa"/>
              <w:left w:w="85" w:type="dxa"/>
              <w:bottom w:w="70" w:type="dxa"/>
              <w:right w:w="85" w:type="dxa"/>
            </w:tcMar>
          </w:tcPr>
          <w:p>
            <w:pPr>
              <w:spacing w:after="30" w:before="0"/>
              <w:jc w:val="left"/>
            </w:pPr>
            <w:r>
              <w:rPr>
                <w:rFonts w:ascii="Arial" w:hAnsi="Arial"/>
                <w:sz w:val="16"/>
              </w:rPr>
              <w:t xml:space="preserve">Foundation administrators only</w:t>
            </w:r>
          </w:p>
        </w:tc>
        <w:tc>
          <w:tcPr>
            <w:vAlign w:val="center"/>
            <w:tcMar>
              <w:top w:w="70" w:type="dxa"/>
              <w:left w:w="85" w:type="dxa"/>
              <w:bottom w:w="70" w:type="dxa"/>
              <w:right w:w="85" w:type="dxa"/>
            </w:tcMar>
          </w:tcPr>
          <w:p>
            <w:pPr>
              <w:spacing w:after="30" w:before="0"/>
              <w:jc w:val="left"/>
            </w:pPr>
            <w:r>
              <w:rPr>
                <w:rFonts w:ascii="Arial" w:hAnsi="Arial"/>
                <w:sz w:val="16"/>
              </w:rPr>
              <w:t xml:space="preserve">No workload data; restricted egress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fld-common</w:t>
            </w:r>
          </w:p>
        </w:tc>
        <w:tc>
          <w:tcPr>
            <w:vAlign w:val="center"/>
            <w:tcMar>
              <w:top w:w="70" w:type="dxa"/>
              <w:left w:w="85" w:type="dxa"/>
              <w:bottom w:w="70" w:type="dxa"/>
              <w:right w:w="85" w:type="dxa"/>
            </w:tcMar>
          </w:tcPr>
          <w:p>
            <w:pPr>
              <w:spacing w:after="30" w:before="0"/>
              <w:jc w:val="left"/>
            </w:pPr>
            <w:r>
              <w:rPr>
                <w:rFonts w:ascii="Arial" w:hAnsi="Arial"/>
                <w:sz w:val="16"/>
              </w:rPr>
              <w:t xml:space="preserve">Common</w:t>
            </w:r>
          </w:p>
        </w:tc>
        <w:tc>
          <w:tcPr>
            <w:vAlign w:val="center"/>
            <w:tcMar>
              <w:top w:w="70" w:type="dxa"/>
              <w:left w:w="85" w:type="dxa"/>
              <w:bottom w:w="70" w:type="dxa"/>
              <w:right w:w="85" w:type="dxa"/>
            </w:tcMar>
          </w:tcPr>
          <w:p>
            <w:pPr>
              <w:spacing w:after="30" w:before="0"/>
              <w:jc w:val="left"/>
            </w:pPr>
            <w:r>
              <w:rPr>
                <w:rFonts w:ascii="Arial" w:hAnsi="Arial"/>
                <w:sz w:val="16"/>
              </w:rPr>
              <w:t xml:space="preserve">Shared security, networking, logging and platform services</w:t>
            </w:r>
          </w:p>
        </w:tc>
        <w:tc>
          <w:tcPr>
            <w:vAlign w:val="center"/>
            <w:tcMar>
              <w:top w:w="70" w:type="dxa"/>
              <w:left w:w="85" w:type="dxa"/>
              <w:bottom w:w="70" w:type="dxa"/>
              <w:right w:w="85" w:type="dxa"/>
            </w:tcMar>
          </w:tcPr>
          <w:p>
            <w:pPr>
              <w:spacing w:after="30" w:before="0"/>
              <w:jc w:val="left"/>
            </w:pPr>
            <w:r>
              <w:rPr>
                <w:rFonts w:ascii="Arial" w:hAnsi="Arial"/>
                <w:sz w:val="16"/>
              </w:rPr>
              <w:t xml:space="preserve">Central platform teams</w:t>
            </w:r>
          </w:p>
        </w:tc>
        <w:tc>
          <w:tcPr>
            <w:vAlign w:val="center"/>
            <w:tcMar>
              <w:top w:w="70" w:type="dxa"/>
              <w:left w:w="85" w:type="dxa"/>
              <w:bottom w:w="70" w:type="dxa"/>
              <w:right w:w="85" w:type="dxa"/>
            </w:tcMar>
          </w:tcPr>
          <w:p>
            <w:pPr>
              <w:spacing w:after="30" w:before="0"/>
              <w:jc w:val="left"/>
            </w:pPr>
            <w:r>
              <w:rPr>
                <w:rFonts w:ascii="Arial" w:hAnsi="Arial"/>
                <w:sz w:val="16"/>
              </w:rPr>
              <w:t xml:space="preserve">Cross-environment access through explicit service identities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fld-prod</w:t>
            </w:r>
          </w:p>
        </w:tc>
        <w:tc>
          <w:tcPr>
            <w:vAlign w:val="center"/>
            <w:tcMar>
              <w:top w:w="70" w:type="dxa"/>
              <w:left w:w="85" w:type="dxa"/>
              <w:bottom w:w="70" w:type="dxa"/>
              <w:right w:w="85" w:type="dxa"/>
            </w:tcMar>
          </w:tcPr>
          <w:p>
            <w:pPr>
              <w:spacing w:after="30" w:before="0"/>
              <w:jc w:val="left"/>
            </w:pPr>
            <w:r>
              <w:rPr>
                <w:rFonts w:ascii="Arial" w:hAnsi="Arial"/>
                <w:sz w:val="16"/>
              </w:rPr>
              <w:t xml:space="preserve">Production</w:t>
            </w:r>
          </w:p>
        </w:tc>
        <w:tc>
          <w:tcPr>
            <w:vAlign w:val="center"/>
            <w:tcMar>
              <w:top w:w="70" w:type="dxa"/>
              <w:left w:w="85" w:type="dxa"/>
              <w:bottom w:w="70" w:type="dxa"/>
              <w:right w:w="85" w:type="dxa"/>
            </w:tcMar>
          </w:tcPr>
          <w:p>
            <w:pPr>
              <w:spacing w:after="30" w:before="0"/>
              <w:jc w:val="left"/>
            </w:pPr>
            <w:r>
              <w:rPr>
                <w:rFonts w:ascii="Arial" w:hAnsi="Arial"/>
                <w:sz w:val="16"/>
              </w:rPr>
              <w:t xml:space="preserve">Production workloads and services</w:t>
            </w:r>
          </w:p>
        </w:tc>
        <w:tc>
          <w:tcPr>
            <w:vAlign w:val="center"/>
            <w:tcMar>
              <w:top w:w="70" w:type="dxa"/>
              <w:left w:w="85" w:type="dxa"/>
              <w:bottom w:w="70" w:type="dxa"/>
              <w:right w:w="85" w:type="dxa"/>
            </w:tcMar>
          </w:tcPr>
          <w:p>
            <w:pPr>
              <w:spacing w:after="30" w:before="0"/>
              <w:jc w:val="left"/>
            </w:pPr>
            <w:r>
              <w:rPr>
                <w:rFonts w:ascii="Arial" w:hAnsi="Arial"/>
                <w:sz w:val="16"/>
              </w:rPr>
              <w:t xml:space="preserve">Production operations and domain leads</w:t>
            </w:r>
          </w:p>
        </w:tc>
        <w:tc>
          <w:tcPr>
            <w:vAlign w:val="center"/>
            <w:tcMar>
              <w:top w:w="70" w:type="dxa"/>
              <w:left w:w="85" w:type="dxa"/>
              <w:bottom w:w="70" w:type="dxa"/>
              <w:right w:w="85" w:type="dxa"/>
            </w:tcMar>
          </w:tcPr>
          <w:p>
            <w:pPr>
              <w:spacing w:after="30" w:before="0"/>
              <w:jc w:val="left"/>
            </w:pPr>
            <w:r>
              <w:rPr>
                <w:rFonts w:ascii="Arial" w:hAnsi="Arial"/>
                <w:sz w:val="16"/>
              </w:rPr>
              <w:t xml:space="preserve">Strict change control and restricted public access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fld-nonprod</w:t>
            </w:r>
          </w:p>
        </w:tc>
        <w:tc>
          <w:tcPr>
            <w:vAlign w:val="center"/>
            <w:tcMar>
              <w:top w:w="70" w:type="dxa"/>
              <w:left w:w="85" w:type="dxa"/>
              <w:bottom w:w="70" w:type="dxa"/>
              <w:right w:w="85" w:type="dxa"/>
            </w:tcMar>
          </w:tcPr>
          <w:p>
            <w:pPr>
              <w:spacing w:after="30" w:before="0"/>
              <w:jc w:val="left"/>
            </w:pPr>
            <w:r>
              <w:rPr>
                <w:rFonts w:ascii="Arial" w:hAnsi="Arial"/>
                <w:sz w:val="16"/>
              </w:rPr>
              <w:t xml:space="preserve">Non-production</w:t>
            </w:r>
          </w:p>
        </w:tc>
        <w:tc>
          <w:tcPr>
            <w:vAlign w:val="center"/>
            <w:tcMar>
              <w:top w:w="70" w:type="dxa"/>
              <w:left w:w="85" w:type="dxa"/>
              <w:bottom w:w="70" w:type="dxa"/>
              <w:right w:w="85" w:type="dxa"/>
            </w:tcMar>
          </w:tcPr>
          <w:p>
            <w:pPr>
              <w:spacing w:after="30" w:before="0"/>
              <w:jc w:val="left"/>
            </w:pPr>
            <w:r>
              <w:rPr>
                <w:rFonts w:ascii="Arial" w:hAnsi="Arial"/>
                <w:sz w:val="16"/>
              </w:rPr>
              <w:t xml:space="preserve">Integration and pre-production validation</w:t>
            </w:r>
          </w:p>
        </w:tc>
        <w:tc>
          <w:tcPr>
            <w:vAlign w:val="center"/>
            <w:tcMar>
              <w:top w:w="70" w:type="dxa"/>
              <w:left w:w="85" w:type="dxa"/>
              <w:bottom w:w="70" w:type="dxa"/>
              <w:right w:w="85" w:type="dxa"/>
            </w:tcMar>
          </w:tcPr>
          <w:p>
            <w:pPr>
              <w:spacing w:after="30" w:before="0"/>
              <w:jc w:val="left"/>
            </w:pPr>
            <w:r>
              <w:rPr>
                <w:rFonts w:ascii="Arial" w:hAnsi="Arial"/>
                <w:sz w:val="16"/>
              </w:rPr>
              <w:t xml:space="preserve">Engineering and test teams</w:t>
            </w:r>
          </w:p>
        </w:tc>
        <w:tc>
          <w:tcPr>
            <w:vAlign w:val="center"/>
            <w:tcMar>
              <w:top w:w="70" w:type="dxa"/>
              <w:left w:w="85" w:type="dxa"/>
              <w:bottom w:w="70" w:type="dxa"/>
              <w:right w:w="85" w:type="dxa"/>
            </w:tcMar>
          </w:tcPr>
          <w:p>
            <w:pPr>
              <w:spacing w:after="30" w:before="0"/>
              <w:jc w:val="left"/>
            </w:pPr>
            <w:r>
              <w:rPr>
                <w:rFonts w:ascii="Arial" w:hAnsi="Arial"/>
                <w:sz w:val="16"/>
              </w:rPr>
              <w:t xml:space="preserve">Production-like controls with lower availability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fld-dev</w:t>
            </w:r>
          </w:p>
        </w:tc>
        <w:tc>
          <w:tcPr>
            <w:vAlign w:val="center"/>
            <w:tcMar>
              <w:top w:w="70" w:type="dxa"/>
              <w:left w:w="85" w:type="dxa"/>
              <w:bottom w:w="70" w:type="dxa"/>
              <w:right w:w="85" w:type="dxa"/>
            </w:tcMar>
          </w:tcPr>
          <w:p>
            <w:pPr>
              <w:spacing w:after="30" w:before="0"/>
              <w:jc w:val="left"/>
            </w:pPr>
            <w:r>
              <w:rPr>
                <w:rFonts w:ascii="Arial" w:hAnsi="Arial"/>
                <w:sz w:val="16"/>
              </w:rPr>
              <w:t xml:space="preserve">Development</w:t>
            </w:r>
          </w:p>
        </w:tc>
        <w:tc>
          <w:tcPr>
            <w:vAlign w:val="center"/>
            <w:tcMar>
              <w:top w:w="70" w:type="dxa"/>
              <w:left w:w="85" w:type="dxa"/>
              <w:bottom w:w="70" w:type="dxa"/>
              <w:right w:w="85" w:type="dxa"/>
            </w:tcMar>
          </w:tcPr>
          <w:p>
            <w:pPr>
              <w:spacing w:after="30" w:before="0"/>
              <w:jc w:val="left"/>
            </w:pPr>
            <w:r>
              <w:rPr>
                <w:rFonts w:ascii="Arial" w:hAnsi="Arial"/>
                <w:sz w:val="16"/>
              </w:rPr>
              <w:t xml:space="preserve">Developer integration and engineering experimentation</w:t>
            </w:r>
          </w:p>
        </w:tc>
        <w:tc>
          <w:tcPr>
            <w:vAlign w:val="center"/>
            <w:tcMar>
              <w:top w:w="70" w:type="dxa"/>
              <w:left w:w="85" w:type="dxa"/>
              <w:bottom w:w="70" w:type="dxa"/>
              <w:right w:w="85" w:type="dxa"/>
            </w:tcMar>
          </w:tcPr>
          <w:p>
            <w:pPr>
              <w:spacing w:after="30" w:before="0"/>
              <w:jc w:val="left"/>
            </w:pPr>
            <w:r>
              <w:rPr>
                <w:rFonts w:ascii="Arial" w:hAnsi="Arial"/>
                <w:sz w:val="16"/>
              </w:rPr>
              <w:t xml:space="preserve">Development teams</w:t>
            </w:r>
          </w:p>
        </w:tc>
        <w:tc>
          <w:tcPr>
            <w:vAlign w:val="center"/>
            <w:tcMar>
              <w:top w:w="70" w:type="dxa"/>
              <w:left w:w="85" w:type="dxa"/>
              <w:bottom w:w="70" w:type="dxa"/>
              <w:right w:w="85" w:type="dxa"/>
            </w:tcMar>
          </w:tcPr>
          <w:p>
            <w:pPr>
              <w:spacing w:after="30" w:before="0"/>
              <w:jc w:val="left"/>
            </w:pPr>
            <w:r>
              <w:rPr>
                <w:rFonts w:ascii="Arial" w:hAnsi="Arial"/>
                <w:sz w:val="16"/>
              </w:rPr>
              <w:t xml:space="preserve">Reduced data sensitivity and time-bound resources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fld-sandbox</w:t>
            </w:r>
          </w:p>
        </w:tc>
        <w:tc>
          <w:tcPr>
            <w:vAlign w:val="center"/>
            <w:tcMar>
              <w:top w:w="70" w:type="dxa"/>
              <w:left w:w="85" w:type="dxa"/>
              <w:bottom w:w="70" w:type="dxa"/>
              <w:right w:w="85" w:type="dxa"/>
            </w:tcMar>
          </w:tcPr>
          <w:p>
            <w:pPr>
              <w:spacing w:after="30" w:before="0"/>
              <w:jc w:val="left"/>
            </w:pPr>
            <w:r>
              <w:rPr>
                <w:rFonts w:ascii="Arial" w:hAnsi="Arial"/>
                <w:sz w:val="16"/>
              </w:rPr>
              <w:t xml:space="preserve">Sandbox</w:t>
            </w:r>
          </w:p>
        </w:tc>
        <w:tc>
          <w:tcPr>
            <w:vAlign w:val="center"/>
            <w:tcMar>
              <w:top w:w="70" w:type="dxa"/>
              <w:left w:w="85" w:type="dxa"/>
              <w:bottom w:w="70" w:type="dxa"/>
              <w:right w:w="85" w:type="dxa"/>
            </w:tcMar>
          </w:tcPr>
          <w:p>
            <w:pPr>
              <w:spacing w:after="30" w:before="0"/>
              <w:jc w:val="left"/>
            </w:pPr>
            <w:r>
              <w:rPr>
                <w:rFonts w:ascii="Arial" w:hAnsi="Arial"/>
                <w:sz w:val="16"/>
              </w:rPr>
              <w:t xml:space="preserve">Short-lived exploration and training</w:t>
            </w:r>
          </w:p>
        </w:tc>
        <w:tc>
          <w:tcPr>
            <w:vAlign w:val="center"/>
            <w:tcMar>
              <w:top w:w="70" w:type="dxa"/>
              <w:left w:w="85" w:type="dxa"/>
              <w:bottom w:w="70" w:type="dxa"/>
              <w:right w:w="85" w:type="dxa"/>
            </w:tcMar>
          </w:tcPr>
          <w:p>
            <w:pPr>
              <w:spacing w:after="30" w:before="0"/>
              <w:jc w:val="left"/>
            </w:pPr>
            <w:r>
              <w:rPr>
                <w:rFonts w:ascii="Arial" w:hAnsi="Arial"/>
                <w:sz w:val="16"/>
              </w:rPr>
              <w:t xml:space="preserve">Users through managed sandbox groups</w:t>
            </w:r>
          </w:p>
        </w:tc>
        <w:tc>
          <w:tcPr>
            <w:vAlign w:val="center"/>
            <w:tcMar>
              <w:top w:w="70" w:type="dxa"/>
              <w:left w:w="85" w:type="dxa"/>
              <w:bottom w:w="70" w:type="dxa"/>
              <w:right w:w="85" w:type="dxa"/>
            </w:tcMar>
          </w:tcPr>
          <w:p>
            <w:pPr>
              <w:spacing w:after="30" w:before="0"/>
              <w:jc w:val="left"/>
            </w:pPr>
            <w:r>
              <w:rPr>
                <w:rFonts w:ascii="Arial" w:hAnsi="Arial"/>
                <w:sz w:val="16"/>
              </w:rPr>
              <w:t xml:space="preserve">No restricted data; quotas and automatic expiry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fld-quarantine</w:t>
            </w:r>
          </w:p>
        </w:tc>
        <w:tc>
          <w:tcPr>
            <w:vAlign w:val="center"/>
            <w:tcMar>
              <w:top w:w="70" w:type="dxa"/>
              <w:left w:w="85" w:type="dxa"/>
              <w:bottom w:w="70" w:type="dxa"/>
              <w:right w:w="85" w:type="dxa"/>
            </w:tcMar>
          </w:tcPr>
          <w:p>
            <w:pPr>
              <w:spacing w:after="30" w:before="0"/>
              <w:jc w:val="left"/>
            </w:pPr>
            <w:r>
              <w:rPr>
                <w:rFonts w:ascii="Arial" w:hAnsi="Arial"/>
                <w:sz w:val="16"/>
              </w:rPr>
              <w:t xml:space="preserve">Quarantine</w:t>
            </w:r>
          </w:p>
        </w:tc>
        <w:tc>
          <w:tcPr>
            <w:vAlign w:val="center"/>
            <w:tcMar>
              <w:top w:w="70" w:type="dxa"/>
              <w:left w:w="85" w:type="dxa"/>
              <w:bottom w:w="70" w:type="dxa"/>
              <w:right w:w="85" w:type="dxa"/>
            </w:tcMar>
          </w:tcPr>
          <w:p>
            <w:pPr>
              <w:spacing w:after="30" w:before="0"/>
              <w:jc w:val="left"/>
            </w:pPr>
            <w:r>
              <w:rPr>
                <w:rFonts w:ascii="Arial" w:hAnsi="Arial"/>
                <w:sz w:val="16"/>
              </w:rPr>
              <w:t xml:space="preserve">Acquired, compromised or unassessed projects</w:t>
            </w:r>
          </w:p>
        </w:tc>
        <w:tc>
          <w:tcPr>
            <w:vAlign w:val="center"/>
            <w:tcMar>
              <w:top w:w="70" w:type="dxa"/>
              <w:left w:w="85" w:type="dxa"/>
              <w:bottom w:w="70" w:type="dxa"/>
              <w:right w:w="85" w:type="dxa"/>
            </w:tcMar>
          </w:tcPr>
          <w:p>
            <w:pPr>
              <w:spacing w:after="30" w:before="0"/>
              <w:jc w:val="left"/>
            </w:pPr>
            <w:r>
              <w:rPr>
                <w:rFonts w:ascii="Arial" w:hAnsi="Arial"/>
                <w:sz w:val="16"/>
              </w:rPr>
              <w:t xml:space="preserve">Security operations</w:t>
            </w:r>
          </w:p>
        </w:tc>
        <w:tc>
          <w:tcPr>
            <w:vAlign w:val="center"/>
            <w:tcMar>
              <w:top w:w="70" w:type="dxa"/>
              <w:left w:w="85" w:type="dxa"/>
              <w:bottom w:w="70" w:type="dxa"/>
              <w:right w:w="85" w:type="dxa"/>
            </w:tcMar>
          </w:tcPr>
          <w:p>
            <w:pPr>
              <w:spacing w:after="30" w:before="0"/>
              <w:jc w:val="left"/>
            </w:pPr>
            <w:r>
              <w:rPr>
                <w:rFonts w:ascii="Arial" w:hAnsi="Arial"/>
                <w:sz w:val="16"/>
              </w:rPr>
              <w:t xml:space="preserve">Network isolation and denied deployment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fld-retired</w:t>
            </w:r>
          </w:p>
        </w:tc>
        <w:tc>
          <w:tcPr>
            <w:vAlign w:val="center"/>
            <w:tcMar>
              <w:top w:w="70" w:type="dxa"/>
              <w:left w:w="85" w:type="dxa"/>
              <w:bottom w:w="70" w:type="dxa"/>
              <w:right w:w="85" w:type="dxa"/>
            </w:tcMar>
          </w:tcPr>
          <w:p>
            <w:pPr>
              <w:spacing w:after="30" w:before="0"/>
              <w:jc w:val="left"/>
            </w:pPr>
            <w:r>
              <w:rPr>
                <w:rFonts w:ascii="Arial" w:hAnsi="Arial"/>
                <w:sz w:val="16"/>
              </w:rPr>
              <w:t xml:space="preserve">Retired</w:t>
            </w:r>
          </w:p>
        </w:tc>
        <w:tc>
          <w:tcPr>
            <w:vAlign w:val="center"/>
            <w:tcMar>
              <w:top w:w="70" w:type="dxa"/>
              <w:left w:w="85" w:type="dxa"/>
              <w:bottom w:w="70" w:type="dxa"/>
              <w:right w:w="85" w:type="dxa"/>
            </w:tcMar>
          </w:tcPr>
          <w:p>
            <w:pPr>
              <w:spacing w:after="30" w:before="0"/>
              <w:jc w:val="left"/>
            </w:pPr>
            <w:r>
              <w:rPr>
                <w:rFonts w:ascii="Arial" w:hAnsi="Arial"/>
                <w:sz w:val="16"/>
              </w:rPr>
              <w:t xml:space="preserve">Projects retained for audit before deletion</w:t>
            </w:r>
          </w:p>
        </w:tc>
        <w:tc>
          <w:tcPr>
            <w:vAlign w:val="center"/>
            <w:tcMar>
              <w:top w:w="70" w:type="dxa"/>
              <w:left w:w="85" w:type="dxa"/>
              <w:bottom w:w="70" w:type="dxa"/>
              <w:right w:w="85" w:type="dxa"/>
            </w:tcMar>
          </w:tcPr>
          <w:p>
            <w:pPr>
              <w:spacing w:after="30" w:before="0"/>
              <w:jc w:val="left"/>
            </w:pPr>
            <w:r>
              <w:rPr>
                <w:rFonts w:ascii="Arial" w:hAnsi="Arial"/>
                <w:sz w:val="16"/>
              </w:rPr>
              <w:t xml:space="preserve">Platform operations</w:t>
            </w:r>
          </w:p>
        </w:tc>
        <w:tc>
          <w:tcPr>
            <w:vAlign w:val="center"/>
            <w:tcMar>
              <w:top w:w="70" w:type="dxa"/>
              <w:left w:w="85" w:type="dxa"/>
              <w:bottom w:w="70" w:type="dxa"/>
              <w:right w:w="85" w:type="dxa"/>
            </w:tcMar>
          </w:tcPr>
          <w:p>
            <w:pPr>
              <w:spacing w:after="30" w:before="0"/>
              <w:jc w:val="left"/>
            </w:pPr>
            <w:r>
              <w:rPr>
                <w:rFonts w:ascii="Arial" w:hAnsi="Arial"/>
                <w:sz w:val="16"/>
              </w:rPr>
              <w:t xml:space="preserve">No active workload and defined deletion schedule</w:t>
            </w:r>
          </w:p>
        </w:tc>
      </w:tr>
    </w:tbl>
    <w:bookmarkEnd w:id="38"/>
    <w:bookmarkStart w:id="45" w:name="resource-hierarchy-design-rules"/>
    <w:p>
      <w:pPr>
        <w:pStyle w:val="Heading2"/>
        <w:keepNext/>
        <w:pageBreakBefore w:val="0"/>
      </w:pPr>
      <w:r>
        <w:t xml:space="preserve">2.3 Resource hierarchy design rules</w:t>
      </w:r>
    </w:p>
    <w:bookmarkStart w:id="39" w:name="durability-over-organizational-fashion"/>
    <w:p>
      <w:pPr>
        <w:pStyle w:val="Heading3"/>
        <w:keepNext/>
        <w:pageBreakBefore w:val="0"/>
      </w:pPr>
      <w:r>
        <w:t xml:space="preserve">Durability over organizational fashion</w:t>
      </w:r>
    </w:p>
    <w:p>
      <w:pPr>
        <w:pStyle w:val="FirstParagraph"/>
      </w:pPr>
      <w:r>
        <w:t xml:space="preserve">Folder structures must remain stable through reorganizations. Use labels, billing views, catalog metadata and CMDB relationships for reporting dimensions that change frequently. Resource moves should be exceptional because inherited IAM, policies, networking and billing controls can change when a project moves.</w:t>
      </w:r>
    </w:p>
    <w:bookmarkEnd w:id="39"/>
    <w:bookmarkStart w:id="40" w:name="policy-first-design"/>
    <w:p>
      <w:pPr>
        <w:pStyle w:val="Heading3"/>
        <w:keepNext/>
        <w:pageBreakBefore w:val="0"/>
      </w:pPr>
      <w:r>
        <w:t xml:space="preserve">Policy-first design</w:t>
      </w:r>
    </w:p>
    <w:p>
      <w:pPr>
        <w:pStyle w:val="FirstParagraph"/>
      </w:pPr>
      <w:r>
        <w:t xml:space="preserve">Create folders because a distinct policy, administrative boundary or lifecycle exists. Avoid adding hierarchy layers that carry no inherited control or delegated responsibility. Every folder must have a named owner, purpose, policy inventory and lifecycle.</w:t>
      </w:r>
    </w:p>
    <w:bookmarkEnd w:id="40"/>
    <w:bookmarkStart w:id="41" w:name="no-direct-user-ownership"/>
    <w:p>
      <w:pPr>
        <w:pStyle w:val="Heading3"/>
        <w:keepNext/>
        <w:pageBreakBefore w:val="0"/>
      </w:pPr>
      <w:r>
        <w:t xml:space="preserve">No direct user ownership</w:t>
      </w:r>
    </w:p>
    <w:p>
      <w:pPr>
        <w:pStyle w:val="FirstParagraph"/>
      </w:pPr>
      <w:r>
        <w:t xml:space="preserve">Projects and folders are managed by groups and automation identities. Direct individual grants are limited to time-bound or emergency cases. Group membership is governed by the enterprise identity process and reviewed at a cadence proportional to privilege.</w:t>
      </w:r>
    </w:p>
    <w:bookmarkEnd w:id="41"/>
    <w:bookmarkStart w:id="42" w:name="controlled-inheritance"/>
    <w:p>
      <w:pPr>
        <w:pStyle w:val="Heading3"/>
        <w:keepNext/>
        <w:pageBreakBefore w:val="0"/>
      </w:pPr>
      <w:r>
        <w:t xml:space="preserve">Controlled inheritance</w:t>
      </w:r>
    </w:p>
    <w:p>
      <w:pPr>
        <w:pStyle w:val="FirstParagraph"/>
      </w:pPr>
      <w:r>
        <w:t xml:space="preserve">Use inheritance for mandatory controls and explicit exceptions for verified needs. Broad deny policies that force unmanaged shadow environments are a failure of design. Exceptions must have a named owner, business justification, compensating control, expiry date and remediation target.</w:t>
      </w:r>
    </w:p>
    <w:bookmarkEnd w:id="42"/>
    <w:bookmarkStart w:id="43" w:name="project-as-blast-radius-boundary"/>
    <w:p>
      <w:pPr>
        <w:pStyle w:val="Heading3"/>
        <w:keepNext/>
        <w:pageBreakBefore w:val="0"/>
      </w:pPr>
      <w:r>
        <w:t xml:space="preserve">Project as blast-radius boundary</w:t>
      </w:r>
    </w:p>
    <w:p>
      <w:pPr>
        <w:pStyle w:val="FirstParagraph"/>
      </w:pPr>
      <w:r>
        <w:t xml:space="preserve">Separate materially different security classes, ownership models, availability tiers and financial responsibilities into distinct projects. Avoid both extremes: one project for the entire platform and a project for every minor microservice.</w:t>
      </w:r>
    </w:p>
    <w:bookmarkEnd w:id="43"/>
    <w:bookmarkStart w:id="44" w:name="acquisition-containment"/>
    <w:p>
      <w:pPr>
        <w:pStyle w:val="Heading3"/>
        <w:keepNext/>
        <w:pageBreakBefore w:val="0"/>
      </w:pPr>
      <w:r>
        <w:t xml:space="preserve">Acquisition containment</w:t>
      </w:r>
    </w:p>
    <w:p>
      <w:pPr>
        <w:pStyle w:val="FirstParagraph"/>
      </w:pPr>
      <w:r>
        <w:t xml:space="preserve">Newly acquired resources enter a quarantine or transitional folder until identity, network, logging, policy and ownership alignment is verified. Quarantine is an operating state with explicit remediation tasks, not a permanent destination.</w:t>
      </w:r>
    </w:p>
    <w:bookmarkEnd w:id="44"/>
    <w:bookmarkEnd w:id="45"/>
    <w:bookmarkStart w:id="49" w:name="X821833f83913b091182a4bb494e31d541a5e563"/>
    <w:p>
      <w:pPr>
        <w:pStyle w:val="Heading2"/>
        <w:keepNext/>
        <w:pageBreakBefore w:val="0"/>
      </w:pPr>
      <w:r>
        <w:t xml:space="preserve">2.4 Environment, geography and project hierarchy</w:t>
      </w:r>
    </w:p>
    <w:p>
      <w:pPr>
        <w:pStyle w:val="CaptionedFigure"/>
      </w:pPr>
      <w:r>
        <w:drawing>
          <wp:inline>
            <wp:extent cx="6129020" cy="3769138"/>
            <wp:effectExtent b="0" l="0" r="0" t="0"/>
            <wp:docPr descr="Folder and project hierarchy" title="" id="47" name="Picture"/>
            <a:graphic>
              <a:graphicData uri="http://schemas.openxmlformats.org/drawingml/2006/picture">
                <pic:pic>
                  <pic:nvPicPr>
                    <pic:cNvPr descr="/mnt/data/Volume_02_Google_Cloud_Landing_Zone_Package/diagrams/02_folder_project_hierarchy.png" id="48" name="Picture"/>
                    <pic:cNvPicPr>
                      <a:picLocks noChangeArrowheads="1" noChangeAspect="1"/>
                    </pic:cNvPicPr>
                  </pic:nvPicPr>
                  <pic:blipFill>
                    <a:blip r:embed="rId46"/>
                    <a:stretch>
                      <a:fillRect/>
                    </a:stretch>
                  </pic:blipFill>
                  <pic:spPr bwMode="auto">
                    <a:xfrm>
                      <a:off x="0" y="0"/>
                      <a:ext cx="6129020" cy="3769138"/>
                    </a:xfrm>
                    <a:prstGeom prst="rect">
                      <a:avLst/>
                    </a:prstGeom>
                    <a:noFill/>
                    <a:ln w="9525">
                      <a:noFill/>
                      <a:headEnd/>
                      <a:tailEnd/>
                    </a:ln>
                  </pic:spPr>
                </pic:pic>
              </a:graphicData>
            </a:graphic>
          </wp:inline>
        </w:drawing>
      </w:r>
    </w:p>
    <w:p>
      <w:pPr>
        <w:pStyle w:val="ImageCaption"/>
      </w:pPr>
      <w:r>
        <w:t xml:space="preserve">Folder and project hierarchy</w:t>
      </w:r>
    </w:p>
    <w:p>
      <w:pPr>
        <w:pStyle w:val="BodyText"/>
      </w:pPr>
      <w:r>
        <w:t xml:space="preserve">A geography folder represents a durable policy and operational partition. It can host regional Shared VPC projects, KMS projects, logging views and domain service projects. A domain may span multiple geographies, but data and service projects remain in the geography that satisfies residency and recovery requirements.</w:t>
      </w:r>
    </w:p>
    <w:bookmarkEnd w:id="49"/>
    <w:bookmarkStart w:id="50" w:name="anti-patterns"/>
    <w:p>
      <w:pPr>
        <w:pStyle w:val="Heading2"/>
        <w:keepNext/>
        <w:pageBreakBefore w:val="0"/>
      </w:pPr>
      <w:r>
        <w:t xml:space="preserve">2.5 Anti-patterns</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Anti-pattern</w:t>
            </w:r>
          </w:p>
        </w:tc>
        <w:tc>
          <w:tcPr>
            <w:vAlign w:val="center"/>
            <w:tcMar>
              <w:top w:w="70" w:type="dxa"/>
              <w:left w:w="85" w:type="dxa"/>
              <w:bottom w:w="70" w:type="dxa"/>
              <w:right w:w="85" w:type="dxa"/>
            </w:tcMar>
          </w:tcPr>
          <w:p>
            <w:pPr>
              <w:spacing w:after="30" w:before="0"/>
              <w:jc w:val="left"/>
            </w:pPr>
            <w:r>
              <w:rPr>
                <w:rFonts w:ascii="Arial" w:hAnsi="Arial"/>
                <w:b/>
                <w:sz w:val="16"/>
              </w:rPr>
              <w:t xml:space="preserve">Why it fails</w:t>
            </w:r>
          </w:p>
        </w:tc>
        <w:tc>
          <w:tcPr>
            <w:vAlign w:val="center"/>
            <w:tcMar>
              <w:top w:w="70" w:type="dxa"/>
              <w:left w:w="85" w:type="dxa"/>
              <w:bottom w:w="70" w:type="dxa"/>
              <w:right w:w="85" w:type="dxa"/>
            </w:tcMar>
          </w:tcPr>
          <w:p>
            <w:pPr>
              <w:spacing w:after="30" w:before="0"/>
              <w:jc w:val="left"/>
            </w:pPr>
            <w:r>
              <w:rPr>
                <w:rFonts w:ascii="Arial" w:hAnsi="Arial"/>
                <w:b/>
                <w:sz w:val="16"/>
              </w:rPr>
              <w:t xml:space="preserve">Preferred correction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One project for the data platform</w:t>
            </w:r>
          </w:p>
        </w:tc>
        <w:tc>
          <w:tcPr>
            <w:vAlign w:val="center"/>
            <w:tcMar>
              <w:top w:w="70" w:type="dxa"/>
              <w:left w:w="85" w:type="dxa"/>
              <w:bottom w:w="70" w:type="dxa"/>
              <w:right w:w="85" w:type="dxa"/>
            </w:tcMar>
          </w:tcPr>
          <w:p>
            <w:pPr>
              <w:spacing w:after="30" w:before="0"/>
              <w:jc w:val="left"/>
            </w:pPr>
            <w:r>
              <w:rPr>
                <w:rFonts w:ascii="Arial" w:hAnsi="Arial"/>
                <w:sz w:val="16"/>
              </w:rPr>
              <w:t xml:space="preserve">Broad IAM, quota contention, weak cost attribution and large blast radius</w:t>
            </w:r>
          </w:p>
        </w:tc>
        <w:tc>
          <w:tcPr>
            <w:vAlign w:val="center"/>
            <w:tcMar>
              <w:top w:w="70" w:type="dxa"/>
              <w:left w:w="85" w:type="dxa"/>
              <w:bottom w:w="70" w:type="dxa"/>
              <w:right w:w="85" w:type="dxa"/>
            </w:tcMar>
          </w:tcPr>
          <w:p>
            <w:pPr>
              <w:spacing w:after="30" w:before="0"/>
              <w:jc w:val="left"/>
            </w:pPr>
            <w:r>
              <w:rPr>
                <w:rFonts w:ascii="Arial" w:hAnsi="Arial"/>
                <w:sz w:val="16"/>
              </w:rPr>
              <w:t xml:space="preserve">Separate shared platform projects from domain and environment projects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Folder per application</w:t>
            </w:r>
          </w:p>
        </w:tc>
        <w:tc>
          <w:tcPr>
            <w:vAlign w:val="center"/>
            <w:tcMar>
              <w:top w:w="70" w:type="dxa"/>
              <w:left w:w="85" w:type="dxa"/>
              <w:bottom w:w="70" w:type="dxa"/>
              <w:right w:w="85" w:type="dxa"/>
            </w:tcMar>
          </w:tcPr>
          <w:p>
            <w:pPr>
              <w:spacing w:after="30" w:before="0"/>
              <w:jc w:val="left"/>
            </w:pPr>
            <w:r>
              <w:rPr>
                <w:rFonts w:ascii="Arial" w:hAnsi="Arial"/>
                <w:sz w:val="16"/>
              </w:rPr>
              <w:t xml:space="preserve">Excessive depth and policy complexity</w:t>
            </w:r>
          </w:p>
        </w:tc>
        <w:tc>
          <w:tcPr>
            <w:vAlign w:val="center"/>
            <w:tcMar>
              <w:top w:w="70" w:type="dxa"/>
              <w:left w:w="85" w:type="dxa"/>
              <w:bottom w:w="70" w:type="dxa"/>
              <w:right w:w="85" w:type="dxa"/>
            </w:tcMar>
          </w:tcPr>
          <w:p>
            <w:pPr>
              <w:spacing w:after="30" w:before="0"/>
              <w:jc w:val="left"/>
            </w:pPr>
            <w:r>
              <w:rPr>
                <w:rFonts w:ascii="Arial" w:hAnsi="Arial"/>
                <w:sz w:val="16"/>
              </w:rPr>
              <w:t xml:space="preserve">Use projects for workload boundaries and folders for durable governance boundaries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Business-unit hierarchy only</w:t>
            </w:r>
          </w:p>
        </w:tc>
        <w:tc>
          <w:tcPr>
            <w:vAlign w:val="center"/>
            <w:tcMar>
              <w:top w:w="70" w:type="dxa"/>
              <w:left w:w="85" w:type="dxa"/>
              <w:bottom w:w="70" w:type="dxa"/>
              <w:right w:w="85" w:type="dxa"/>
            </w:tcMar>
          </w:tcPr>
          <w:p>
            <w:pPr>
              <w:spacing w:after="30" w:before="0"/>
              <w:jc w:val="left"/>
            </w:pPr>
            <w:r>
              <w:rPr>
                <w:rFonts w:ascii="Arial" w:hAnsi="Arial"/>
                <w:sz w:val="16"/>
              </w:rPr>
              <w:t xml:space="preserve">Reorganizations force resource moves and policy changes</w:t>
            </w:r>
          </w:p>
        </w:tc>
        <w:tc>
          <w:tcPr>
            <w:vAlign w:val="center"/>
            <w:tcMar>
              <w:top w:w="70" w:type="dxa"/>
              <w:left w:w="85" w:type="dxa"/>
              <w:bottom w:w="70" w:type="dxa"/>
              <w:right w:w="85" w:type="dxa"/>
            </w:tcMar>
          </w:tcPr>
          <w:p>
            <w:pPr>
              <w:spacing w:after="30" w:before="0"/>
              <w:jc w:val="left"/>
            </w:pPr>
            <w:r>
              <w:rPr>
                <w:rFonts w:ascii="Arial" w:hAnsi="Arial"/>
                <w:sz w:val="16"/>
              </w:rPr>
              <w:t xml:space="preserve">Place stable environment and geography controls above optional domain folders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Multiple unmanaged organizations</w:t>
            </w:r>
          </w:p>
        </w:tc>
        <w:tc>
          <w:tcPr>
            <w:vAlign w:val="center"/>
            <w:tcMar>
              <w:top w:w="70" w:type="dxa"/>
              <w:left w:w="85" w:type="dxa"/>
              <w:bottom w:w="70" w:type="dxa"/>
              <w:right w:w="85" w:type="dxa"/>
            </w:tcMar>
          </w:tcPr>
          <w:p>
            <w:pPr>
              <w:spacing w:after="30" w:before="0"/>
              <w:jc w:val="left"/>
            </w:pPr>
            <w:r>
              <w:rPr>
                <w:rFonts w:ascii="Arial" w:hAnsi="Arial"/>
                <w:sz w:val="16"/>
              </w:rPr>
              <w:t xml:space="preserve">Fragmented logging, policy, identity and security visibility</w:t>
            </w:r>
          </w:p>
        </w:tc>
        <w:tc>
          <w:tcPr>
            <w:vAlign w:val="center"/>
            <w:tcMar>
              <w:top w:w="70" w:type="dxa"/>
              <w:left w:w="85" w:type="dxa"/>
              <w:bottom w:w="70" w:type="dxa"/>
              <w:right w:w="85" w:type="dxa"/>
            </w:tcMar>
          </w:tcPr>
          <w:p>
            <w:pPr>
              <w:spacing w:after="30" w:before="0"/>
              <w:jc w:val="left"/>
            </w:pPr>
            <w:r>
              <w:rPr>
                <w:rFonts w:ascii="Arial" w:hAnsi="Arial"/>
                <w:sz w:val="16"/>
              </w:rPr>
              <w:t xml:space="preserve">Use one primary organization or formal cross-organization governance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Individual project owners</w:t>
            </w:r>
          </w:p>
        </w:tc>
        <w:tc>
          <w:tcPr>
            <w:vAlign w:val="center"/>
            <w:tcMar>
              <w:top w:w="70" w:type="dxa"/>
              <w:left w:w="85" w:type="dxa"/>
              <w:bottom w:w="70" w:type="dxa"/>
              <w:right w:w="85" w:type="dxa"/>
            </w:tcMar>
          </w:tcPr>
          <w:p>
            <w:pPr>
              <w:spacing w:after="30" w:before="0"/>
              <w:jc w:val="left"/>
            </w:pPr>
            <w:r>
              <w:rPr>
                <w:rFonts w:ascii="Arial" w:hAnsi="Arial"/>
                <w:sz w:val="16"/>
              </w:rPr>
              <w:t xml:space="preserve">Lifecycle and accountability risk</w:t>
            </w:r>
          </w:p>
        </w:tc>
        <w:tc>
          <w:tcPr>
            <w:vAlign w:val="center"/>
            <w:tcMar>
              <w:top w:w="70" w:type="dxa"/>
              <w:left w:w="85" w:type="dxa"/>
              <w:bottom w:w="70" w:type="dxa"/>
              <w:right w:w="85" w:type="dxa"/>
            </w:tcMar>
          </w:tcPr>
          <w:p>
            <w:pPr>
              <w:spacing w:after="30" w:before="0"/>
              <w:jc w:val="left"/>
            </w:pPr>
            <w:r>
              <w:rPr>
                <w:rFonts w:ascii="Arial" w:hAnsi="Arial"/>
                <w:sz w:val="16"/>
              </w:rPr>
              <w:t xml:space="preserve">Use role-based groups and automation identities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Manual project creation</w:t>
            </w:r>
          </w:p>
        </w:tc>
        <w:tc>
          <w:tcPr>
            <w:vAlign w:val="center"/>
            <w:tcMar>
              <w:top w:w="70" w:type="dxa"/>
              <w:left w:w="85" w:type="dxa"/>
              <w:bottom w:w="70" w:type="dxa"/>
              <w:right w:w="85" w:type="dxa"/>
            </w:tcMar>
          </w:tcPr>
          <w:p>
            <w:pPr>
              <w:spacing w:after="30" w:before="0"/>
              <w:jc w:val="left"/>
            </w:pPr>
            <w:r>
              <w:rPr>
                <w:rFonts w:ascii="Arial" w:hAnsi="Arial"/>
                <w:sz w:val="16"/>
              </w:rPr>
              <w:t xml:space="preserve">Inconsistent APIs, labels, networks and security controls</w:t>
            </w:r>
          </w:p>
        </w:tc>
        <w:tc>
          <w:tcPr>
            <w:vAlign w:val="center"/>
            <w:tcMar>
              <w:top w:w="70" w:type="dxa"/>
              <w:left w:w="85" w:type="dxa"/>
              <w:bottom w:w="70" w:type="dxa"/>
              <w:right w:w="85" w:type="dxa"/>
            </w:tcMar>
          </w:tcPr>
          <w:p>
            <w:pPr>
              <w:spacing w:after="30" w:before="0"/>
              <w:jc w:val="left"/>
            </w:pPr>
            <w:r>
              <w:rPr>
                <w:rFonts w:ascii="Arial" w:hAnsi="Arial"/>
                <w:sz w:val="16"/>
              </w:rPr>
              <w:t xml:space="preserve">Require the project factory and policy validation</w:t>
            </w:r>
          </w:p>
        </w:tc>
      </w:tr>
    </w:tbl>
    <w:bookmarkEnd w:id="50"/>
    <w:bookmarkEnd w:id="51"/>
    <w:bookmarkStart w:id="60" w:name="X39de4eeac9c20e6d99f449b6d71dbc778bd790f"/>
    <w:p>
      <w:pPr>
        <w:pStyle w:val="Heading1"/>
        <w:keepNext/>
        <w:pageBreakBefore w:val="0"/>
      </w:pPr>
      <w:r>
        <w:t xml:space="preserve">3. Project Factory, Project Types and Environment Strategy</w:t>
      </w:r>
    </w:p>
    <w:p>
      <w:pPr>
        <w:pStyle w:val="FirstParagraph"/>
      </w:pPr>
      <w:r>
        <w:t xml:space="preserve">The project factory is the landing-zone product interface. It converts approved metadata into a correctly located, billed, networked, monitored and governed Google Cloud project. It must be operated as a production service with versioned modules, automated tests, approval workflows, rollback procedures and published service levels.</w:t>
      </w:r>
    </w:p>
    <w:bookmarkStart w:id="52" w:name="project-factory-workflow"/>
    <w:p>
      <w:pPr>
        <w:pStyle w:val="Heading2"/>
        <w:keepNext/>
        <w:pageBreakBefore w:val="0"/>
      </w:pPr>
      <w:r>
        <w:t xml:space="preserve">3.1 Project-factory workflow</w:t>
      </w:r>
    </w:p>
    <w:p>
      <w:pPr>
        <w:pStyle w:val="Compact"/>
        <w:numPr>
          <w:ilvl w:val="0"/>
          <w:numId w:val="1003"/>
        </w:numPr>
      </w:pPr>
      <w:r>
        <w:t xml:space="preserve">A requester submits project metadata: business domain, application, environment, geography, data classification, cost center, owner group, support tier and requested services.</w:t>
      </w:r>
    </w:p>
    <w:p>
      <w:pPr>
        <w:pStyle w:val="Compact"/>
        <w:numPr>
          <w:ilvl w:val="0"/>
          <w:numId w:val="1003"/>
        </w:numPr>
      </w:pPr>
      <w:r>
        <w:t xml:space="preserve">Automated policy validates naming, location, service compatibility, network attachment, perimeter requirements and budget metadata.</w:t>
      </w:r>
    </w:p>
    <w:p>
      <w:pPr>
        <w:pStyle w:val="Compact"/>
        <w:numPr>
          <w:ilvl w:val="0"/>
          <w:numId w:val="1003"/>
        </w:numPr>
      </w:pPr>
      <w:r>
        <w:t xml:space="preserve">Domain, security, networking, finance and platform approvals are collected according to risk.</w:t>
      </w:r>
    </w:p>
    <w:p>
      <w:pPr>
        <w:pStyle w:val="Compact"/>
        <w:numPr>
          <w:ilvl w:val="0"/>
          <w:numId w:val="1003"/>
        </w:numPr>
      </w:pPr>
      <w:r>
        <w:t xml:space="preserve">Terraform creates the project, links billing, enables approved APIs, attaches the correct Shared VPC, applies labels, configures logging and creates baseline service accounts.</w:t>
      </w:r>
    </w:p>
    <w:p>
      <w:pPr>
        <w:pStyle w:val="Compact"/>
        <w:numPr>
          <w:ilvl w:val="0"/>
          <w:numId w:val="1003"/>
        </w:numPr>
      </w:pPr>
      <w:r>
        <w:t xml:space="preserve">Automated tests verify inherited organization policies, private networking, log routing, monitoring visibility, IAM, quotas and budget alerts.</w:t>
      </w:r>
    </w:p>
    <w:p>
      <w:pPr>
        <w:pStyle w:val="Compact"/>
        <w:numPr>
          <w:ilvl w:val="0"/>
          <w:numId w:val="1003"/>
        </w:numPr>
      </w:pPr>
      <w:r>
        <w:t xml:space="preserve">The project is registered in the CMDB and relevant catalogs. Ownership is transferred to the workload team within the approved boundaries.</w:t>
      </w:r>
    </w:p>
    <w:p>
      <w:pPr>
        <w:pStyle w:val="FirstParagraph"/>
      </w:pPr>
      <w:r>
        <w:t xml:space="preserve">The factory should expose a declarative request model rather than a collection of manual tickets. A request can originate in a service portal, Git pull request or API, but the resulting configuration must be source controlled and replayable. The factory must be idempotent: rerunning the same request should converge on the approved state rather than creating duplicate resources.</w:t>
      </w:r>
    </w:p>
    <w:bookmarkEnd w:id="52"/>
    <w:bookmarkStart w:id="53" w:name="project-types"/>
    <w:p>
      <w:pPr>
        <w:pStyle w:val="Heading2"/>
        <w:keepNext/>
        <w:pageBreakBefore w:val="0"/>
      </w:pPr>
      <w:r>
        <w:t xml:space="preserve">3.2 Project types</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Project type</w:t>
            </w:r>
          </w:p>
        </w:tc>
        <w:tc>
          <w:tcPr>
            <w:vAlign w:val="center"/>
            <w:tcMar>
              <w:top w:w="70" w:type="dxa"/>
              <w:left w:w="85" w:type="dxa"/>
              <w:bottom w:w="70" w:type="dxa"/>
              <w:right w:w="85" w:type="dxa"/>
            </w:tcMar>
          </w:tcPr>
          <w:p>
            <w:pPr>
              <w:spacing w:after="30" w:before="0"/>
              <w:jc w:val="left"/>
            </w:pPr>
            <w:r>
              <w:rPr>
                <w:rFonts w:ascii="Arial" w:hAnsi="Arial"/>
                <w:b/>
                <w:sz w:val="16"/>
              </w:rPr>
              <w:t xml:space="preserve">Purpose</w:t>
            </w:r>
          </w:p>
        </w:tc>
        <w:tc>
          <w:tcPr>
            <w:vAlign w:val="center"/>
            <w:tcMar>
              <w:top w:w="70" w:type="dxa"/>
              <w:left w:w="85" w:type="dxa"/>
              <w:bottom w:w="70" w:type="dxa"/>
              <w:right w:w="85" w:type="dxa"/>
            </w:tcMar>
          </w:tcPr>
          <w:p>
            <w:pPr>
              <w:spacing w:after="30" w:before="0"/>
              <w:jc w:val="left"/>
            </w:pPr>
            <w:r>
              <w:rPr>
                <w:rFonts w:ascii="Arial" w:hAnsi="Arial"/>
                <w:b/>
                <w:sz w:val="16"/>
              </w:rPr>
              <w:t xml:space="preserve">Placement</w:t>
            </w:r>
          </w:p>
        </w:tc>
        <w:tc>
          <w:tcPr>
            <w:vAlign w:val="center"/>
            <w:tcMar>
              <w:top w:w="70" w:type="dxa"/>
              <w:left w:w="85" w:type="dxa"/>
              <w:bottom w:w="70" w:type="dxa"/>
              <w:right w:w="85" w:type="dxa"/>
            </w:tcMar>
          </w:tcPr>
          <w:p>
            <w:pPr>
              <w:spacing w:after="30" w:before="0"/>
              <w:jc w:val="left"/>
            </w:pPr>
            <w:r>
              <w:rPr>
                <w:rFonts w:ascii="Arial" w:hAnsi="Arial"/>
                <w:b/>
                <w:sz w:val="16"/>
              </w:rPr>
              <w:t xml:space="preserve">Administration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Bootstrap seed</w:t>
            </w:r>
          </w:p>
        </w:tc>
        <w:tc>
          <w:tcPr>
            <w:vAlign w:val="center"/>
            <w:tcMar>
              <w:top w:w="70" w:type="dxa"/>
              <w:left w:w="85" w:type="dxa"/>
              <w:bottom w:w="70" w:type="dxa"/>
              <w:right w:w="85" w:type="dxa"/>
            </w:tcMar>
          </w:tcPr>
          <w:p>
            <w:pPr>
              <w:spacing w:after="30" w:before="0"/>
              <w:jc w:val="left"/>
            </w:pPr>
            <w:r>
              <w:rPr>
                <w:rFonts w:ascii="Arial" w:hAnsi="Arial"/>
                <w:sz w:val="16"/>
              </w:rPr>
              <w:t xml:space="preserve">Foundation state, deployment identities and initial CI pipeline</w:t>
            </w:r>
          </w:p>
        </w:tc>
        <w:tc>
          <w:tcPr>
            <w:vAlign w:val="center"/>
            <w:tcMar>
              <w:top w:w="70" w:type="dxa"/>
              <w:left w:w="85" w:type="dxa"/>
              <w:bottom w:w="70" w:type="dxa"/>
              <w:right w:w="85" w:type="dxa"/>
            </w:tcMar>
          </w:tcPr>
          <w:p>
            <w:pPr>
              <w:spacing w:after="30" w:before="0"/>
              <w:jc w:val="left"/>
            </w:pPr>
            <w:r>
              <w:rPr>
                <w:rFonts w:ascii="Arial" w:hAnsi="Arial"/>
                <w:sz w:val="16"/>
              </w:rPr>
              <w:t xml:space="preserve">Common/Bootstrap</w:t>
            </w:r>
          </w:p>
        </w:tc>
        <w:tc>
          <w:tcPr>
            <w:vAlign w:val="center"/>
            <w:tcMar>
              <w:top w:w="70" w:type="dxa"/>
              <w:left w:w="85" w:type="dxa"/>
              <w:bottom w:w="70" w:type="dxa"/>
              <w:right w:w="85" w:type="dxa"/>
            </w:tcMar>
          </w:tcPr>
          <w:p>
            <w:pPr>
              <w:spacing w:after="30" w:before="0"/>
              <w:jc w:val="left"/>
            </w:pPr>
            <w:r>
              <w:rPr>
                <w:rFonts w:ascii="Arial" w:hAnsi="Arial"/>
                <w:sz w:val="16"/>
              </w:rPr>
              <w:t xml:space="preserve">No workload data; tightly restricted administrators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Network host</w:t>
            </w:r>
          </w:p>
        </w:tc>
        <w:tc>
          <w:tcPr>
            <w:vAlign w:val="center"/>
            <w:tcMar>
              <w:top w:w="70" w:type="dxa"/>
              <w:left w:w="85" w:type="dxa"/>
              <w:bottom w:w="70" w:type="dxa"/>
              <w:right w:w="85" w:type="dxa"/>
            </w:tcMar>
          </w:tcPr>
          <w:p>
            <w:pPr>
              <w:spacing w:after="30" w:before="0"/>
              <w:jc w:val="left"/>
            </w:pPr>
            <w:r>
              <w:rPr>
                <w:rFonts w:ascii="Arial" w:hAnsi="Arial"/>
                <w:sz w:val="16"/>
              </w:rPr>
              <w:t xml:space="preserve">Shared VPC networks, subnets, routes, DNS and firewall policies</w:t>
            </w:r>
          </w:p>
        </w:tc>
        <w:tc>
          <w:tcPr>
            <w:vAlign w:val="center"/>
            <w:tcMar>
              <w:top w:w="70" w:type="dxa"/>
              <w:left w:w="85" w:type="dxa"/>
              <w:bottom w:w="70" w:type="dxa"/>
              <w:right w:w="85" w:type="dxa"/>
            </w:tcMar>
          </w:tcPr>
          <w:p>
            <w:pPr>
              <w:spacing w:after="30" w:before="0"/>
              <w:jc w:val="left"/>
            </w:pPr>
            <w:r>
              <w:rPr>
                <w:rFonts w:ascii="Arial" w:hAnsi="Arial"/>
                <w:sz w:val="16"/>
              </w:rPr>
              <w:t xml:space="preserve">Per environment and geography</w:t>
            </w:r>
          </w:p>
        </w:tc>
        <w:tc>
          <w:tcPr>
            <w:vAlign w:val="center"/>
            <w:tcMar>
              <w:top w:w="70" w:type="dxa"/>
              <w:left w:w="85" w:type="dxa"/>
              <w:bottom w:w="70" w:type="dxa"/>
              <w:right w:w="85" w:type="dxa"/>
            </w:tcMar>
          </w:tcPr>
          <w:p>
            <w:pPr>
              <w:spacing w:after="30" w:before="0"/>
              <w:jc w:val="left"/>
            </w:pPr>
            <w:r>
              <w:rPr>
                <w:rFonts w:ascii="Arial" w:hAnsi="Arial"/>
                <w:sz w:val="16"/>
              </w:rPr>
              <w:t xml:space="preserve">Central network administration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Connectivity</w:t>
            </w:r>
          </w:p>
        </w:tc>
        <w:tc>
          <w:tcPr>
            <w:vAlign w:val="center"/>
            <w:tcMar>
              <w:top w:w="70" w:type="dxa"/>
              <w:left w:w="85" w:type="dxa"/>
              <w:bottom w:w="70" w:type="dxa"/>
              <w:right w:w="85" w:type="dxa"/>
            </w:tcMar>
          </w:tcPr>
          <w:p>
            <w:pPr>
              <w:spacing w:after="30" w:before="0"/>
              <w:jc w:val="left"/>
            </w:pPr>
            <w:r>
              <w:rPr>
                <w:rFonts w:ascii="Arial" w:hAnsi="Arial"/>
                <w:sz w:val="16"/>
              </w:rPr>
              <w:t xml:space="preserve">Cloud Routers, Interconnect VLANs, VPN gateways and NCC hubs</w:t>
            </w:r>
          </w:p>
        </w:tc>
        <w:tc>
          <w:tcPr>
            <w:vAlign w:val="center"/>
            <w:tcMar>
              <w:top w:w="70" w:type="dxa"/>
              <w:left w:w="85" w:type="dxa"/>
              <w:bottom w:w="70" w:type="dxa"/>
              <w:right w:w="85" w:type="dxa"/>
            </w:tcMar>
          </w:tcPr>
          <w:p>
            <w:pPr>
              <w:spacing w:after="30" w:before="0"/>
              <w:jc w:val="left"/>
            </w:pPr>
            <w:r>
              <w:rPr>
                <w:rFonts w:ascii="Arial" w:hAnsi="Arial"/>
                <w:sz w:val="16"/>
              </w:rPr>
              <w:t xml:space="preserve">Common and regional</w:t>
            </w:r>
          </w:p>
        </w:tc>
        <w:tc>
          <w:tcPr>
            <w:vAlign w:val="center"/>
            <w:tcMar>
              <w:top w:w="70" w:type="dxa"/>
              <w:left w:w="85" w:type="dxa"/>
              <w:bottom w:w="70" w:type="dxa"/>
              <w:right w:w="85" w:type="dxa"/>
            </w:tcMar>
          </w:tcPr>
          <w:p>
            <w:pPr>
              <w:spacing w:after="30" w:before="0"/>
              <w:jc w:val="left"/>
            </w:pPr>
            <w:r>
              <w:rPr>
                <w:rFonts w:ascii="Arial" w:hAnsi="Arial"/>
                <w:sz w:val="16"/>
              </w:rPr>
              <w:t xml:space="preserve">Network operations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Security management</w:t>
            </w:r>
          </w:p>
        </w:tc>
        <w:tc>
          <w:tcPr>
            <w:vAlign w:val="center"/>
            <w:tcMar>
              <w:top w:w="70" w:type="dxa"/>
              <w:left w:w="85" w:type="dxa"/>
              <w:bottom w:w="70" w:type="dxa"/>
              <w:right w:w="85" w:type="dxa"/>
            </w:tcMar>
          </w:tcPr>
          <w:p>
            <w:pPr>
              <w:spacing w:after="30" w:before="0"/>
              <w:jc w:val="left"/>
            </w:pPr>
            <w:r>
              <w:rPr>
                <w:rFonts w:ascii="Arial" w:hAnsi="Arial"/>
                <w:sz w:val="16"/>
              </w:rPr>
              <w:t xml:space="preserve">SCC, security posture, access policies and automation</w:t>
            </w:r>
          </w:p>
        </w:tc>
        <w:tc>
          <w:tcPr>
            <w:vAlign w:val="center"/>
            <w:tcMar>
              <w:top w:w="70" w:type="dxa"/>
              <w:left w:w="85" w:type="dxa"/>
              <w:bottom w:w="70" w:type="dxa"/>
              <w:right w:w="85" w:type="dxa"/>
            </w:tcMar>
          </w:tcPr>
          <w:p>
            <w:pPr>
              <w:spacing w:after="30" w:before="0"/>
              <w:jc w:val="left"/>
            </w:pPr>
            <w:r>
              <w:rPr>
                <w:rFonts w:ascii="Arial" w:hAnsi="Arial"/>
                <w:sz w:val="16"/>
              </w:rPr>
              <w:t xml:space="preserve">Common</w:t>
            </w:r>
          </w:p>
        </w:tc>
        <w:tc>
          <w:tcPr>
            <w:vAlign w:val="center"/>
            <w:tcMar>
              <w:top w:w="70" w:type="dxa"/>
              <w:left w:w="85" w:type="dxa"/>
              <w:bottom w:w="70" w:type="dxa"/>
              <w:right w:w="85" w:type="dxa"/>
            </w:tcMar>
          </w:tcPr>
          <w:p>
            <w:pPr>
              <w:spacing w:after="30" w:before="0"/>
              <w:jc w:val="left"/>
            </w:pPr>
            <w:r>
              <w:rPr>
                <w:rFonts w:ascii="Arial" w:hAnsi="Arial"/>
                <w:sz w:val="16"/>
              </w:rPr>
              <w:t xml:space="preserve">Security engineering and SOC</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KMS</w:t>
            </w:r>
          </w:p>
        </w:tc>
        <w:tc>
          <w:tcPr>
            <w:vAlign w:val="center"/>
            <w:tcMar>
              <w:top w:w="70" w:type="dxa"/>
              <w:left w:w="85" w:type="dxa"/>
              <w:bottom w:w="70" w:type="dxa"/>
              <w:right w:w="85" w:type="dxa"/>
            </w:tcMar>
          </w:tcPr>
          <w:p>
            <w:pPr>
              <w:spacing w:after="30" w:before="0"/>
              <w:jc w:val="left"/>
            </w:pPr>
            <w:r>
              <w:rPr>
                <w:rFonts w:ascii="Arial" w:hAnsi="Arial"/>
                <w:sz w:val="16"/>
              </w:rPr>
              <w:t xml:space="preserve">Regional key rings, keys and HSM-protected material</w:t>
            </w:r>
          </w:p>
        </w:tc>
        <w:tc>
          <w:tcPr>
            <w:vAlign w:val="center"/>
            <w:tcMar>
              <w:top w:w="70" w:type="dxa"/>
              <w:left w:w="85" w:type="dxa"/>
              <w:bottom w:w="70" w:type="dxa"/>
              <w:right w:w="85" w:type="dxa"/>
            </w:tcMar>
          </w:tcPr>
          <w:p>
            <w:pPr>
              <w:spacing w:after="30" w:before="0"/>
              <w:jc w:val="left"/>
            </w:pPr>
            <w:r>
              <w:rPr>
                <w:rFonts w:ascii="Arial" w:hAnsi="Arial"/>
                <w:sz w:val="16"/>
              </w:rPr>
              <w:t xml:space="preserve">Per geography/environment or sensitivity</w:t>
            </w:r>
          </w:p>
        </w:tc>
        <w:tc>
          <w:tcPr>
            <w:vAlign w:val="center"/>
            <w:tcMar>
              <w:top w:w="70" w:type="dxa"/>
              <w:left w:w="85" w:type="dxa"/>
              <w:bottom w:w="70" w:type="dxa"/>
              <w:right w:w="85" w:type="dxa"/>
            </w:tcMar>
          </w:tcPr>
          <w:p>
            <w:pPr>
              <w:spacing w:after="30" w:before="0"/>
              <w:jc w:val="left"/>
            </w:pPr>
            <w:r>
              <w:rPr>
                <w:rFonts w:ascii="Arial" w:hAnsi="Arial"/>
                <w:sz w:val="16"/>
              </w:rPr>
              <w:t xml:space="preserve">Key administrators separated from key users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Central logging</w:t>
            </w:r>
          </w:p>
        </w:tc>
        <w:tc>
          <w:tcPr>
            <w:vAlign w:val="center"/>
            <w:tcMar>
              <w:top w:w="70" w:type="dxa"/>
              <w:left w:w="85" w:type="dxa"/>
              <w:bottom w:w="70" w:type="dxa"/>
              <w:right w:w="85" w:type="dxa"/>
            </w:tcMar>
          </w:tcPr>
          <w:p>
            <w:pPr>
              <w:spacing w:after="30" w:before="0"/>
              <w:jc w:val="left"/>
            </w:pPr>
            <w:r>
              <w:rPr>
                <w:rFonts w:ascii="Arial" w:hAnsi="Arial"/>
                <w:sz w:val="16"/>
              </w:rPr>
              <w:t xml:space="preserve">Aggregated log buckets, sinks and exports</w:t>
            </w:r>
          </w:p>
        </w:tc>
        <w:tc>
          <w:tcPr>
            <w:vAlign w:val="center"/>
            <w:tcMar>
              <w:top w:w="70" w:type="dxa"/>
              <w:left w:w="85" w:type="dxa"/>
              <w:bottom w:w="70" w:type="dxa"/>
              <w:right w:w="85" w:type="dxa"/>
            </w:tcMar>
          </w:tcPr>
          <w:p>
            <w:pPr>
              <w:spacing w:after="30" w:before="0"/>
              <w:jc w:val="left"/>
            </w:pPr>
            <w:r>
              <w:rPr>
                <w:rFonts w:ascii="Arial" w:hAnsi="Arial"/>
                <w:sz w:val="16"/>
              </w:rPr>
              <w:t xml:space="preserve">Common</w:t>
            </w:r>
          </w:p>
        </w:tc>
        <w:tc>
          <w:tcPr>
            <w:vAlign w:val="center"/>
            <w:tcMar>
              <w:top w:w="70" w:type="dxa"/>
              <w:left w:w="85" w:type="dxa"/>
              <w:bottom w:w="70" w:type="dxa"/>
              <w:right w:w="85" w:type="dxa"/>
            </w:tcMar>
          </w:tcPr>
          <w:p>
            <w:pPr>
              <w:spacing w:after="30" w:before="0"/>
              <w:jc w:val="left"/>
            </w:pPr>
            <w:r>
              <w:rPr>
                <w:rFonts w:ascii="Arial" w:hAnsi="Arial"/>
                <w:sz w:val="16"/>
              </w:rPr>
              <w:t xml:space="preserve">Security operations and audit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Central monitoring</w:t>
            </w:r>
          </w:p>
        </w:tc>
        <w:tc>
          <w:tcPr>
            <w:vAlign w:val="center"/>
            <w:tcMar>
              <w:top w:w="70" w:type="dxa"/>
              <w:left w:w="85" w:type="dxa"/>
              <w:bottom w:w="70" w:type="dxa"/>
              <w:right w:w="85" w:type="dxa"/>
            </w:tcMar>
          </w:tcPr>
          <w:p>
            <w:pPr>
              <w:spacing w:after="30" w:before="0"/>
              <w:jc w:val="left"/>
            </w:pPr>
            <w:r>
              <w:rPr>
                <w:rFonts w:ascii="Arial" w:hAnsi="Arial"/>
                <w:sz w:val="16"/>
              </w:rPr>
              <w:t xml:space="preserve">Metrics scopes, dashboards, uptime checks and alert routing</w:t>
            </w:r>
          </w:p>
        </w:tc>
        <w:tc>
          <w:tcPr>
            <w:vAlign w:val="center"/>
            <w:tcMar>
              <w:top w:w="70" w:type="dxa"/>
              <w:left w:w="85" w:type="dxa"/>
              <w:bottom w:w="70" w:type="dxa"/>
              <w:right w:w="85" w:type="dxa"/>
            </w:tcMar>
          </w:tcPr>
          <w:p>
            <w:pPr>
              <w:spacing w:after="30" w:before="0"/>
              <w:jc w:val="left"/>
            </w:pPr>
            <w:r>
              <w:rPr>
                <w:rFonts w:ascii="Arial" w:hAnsi="Arial"/>
                <w:sz w:val="16"/>
              </w:rPr>
              <w:t xml:space="preserve">Common or per environment</w:t>
            </w:r>
          </w:p>
        </w:tc>
        <w:tc>
          <w:tcPr>
            <w:vAlign w:val="center"/>
            <w:tcMar>
              <w:top w:w="70" w:type="dxa"/>
              <w:left w:w="85" w:type="dxa"/>
              <w:bottom w:w="70" w:type="dxa"/>
              <w:right w:w="85" w:type="dxa"/>
            </w:tcMar>
          </w:tcPr>
          <w:p>
            <w:pPr>
              <w:spacing w:after="30" w:before="0"/>
              <w:jc w:val="left"/>
            </w:pPr>
            <w:r>
              <w:rPr>
                <w:rFonts w:ascii="Arial" w:hAnsi="Arial"/>
                <w:sz w:val="16"/>
              </w:rPr>
              <w:t xml:space="preserve">SRE and platform operations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CI/CD</w:t>
            </w:r>
          </w:p>
        </w:tc>
        <w:tc>
          <w:tcPr>
            <w:vAlign w:val="center"/>
            <w:tcMar>
              <w:top w:w="70" w:type="dxa"/>
              <w:left w:w="85" w:type="dxa"/>
              <w:bottom w:w="70" w:type="dxa"/>
              <w:right w:w="85" w:type="dxa"/>
            </w:tcMar>
          </w:tcPr>
          <w:p>
            <w:pPr>
              <w:spacing w:after="30" w:before="0"/>
              <w:jc w:val="left"/>
            </w:pPr>
            <w:r>
              <w:rPr>
                <w:rFonts w:ascii="Arial" w:hAnsi="Arial"/>
                <w:sz w:val="16"/>
              </w:rPr>
              <w:t xml:space="preserve">Build pools, artifact storage and deployment automation</w:t>
            </w:r>
          </w:p>
        </w:tc>
        <w:tc>
          <w:tcPr>
            <w:vAlign w:val="center"/>
            <w:tcMar>
              <w:top w:w="70" w:type="dxa"/>
              <w:left w:w="85" w:type="dxa"/>
              <w:bottom w:w="70" w:type="dxa"/>
              <w:right w:w="85" w:type="dxa"/>
            </w:tcMar>
          </w:tcPr>
          <w:p>
            <w:pPr>
              <w:spacing w:after="30" w:before="0"/>
              <w:jc w:val="left"/>
            </w:pPr>
            <w:r>
              <w:rPr>
                <w:rFonts w:ascii="Arial" w:hAnsi="Arial"/>
                <w:sz w:val="16"/>
              </w:rPr>
              <w:t xml:space="preserve">Common or per environment</w:t>
            </w:r>
          </w:p>
        </w:tc>
        <w:tc>
          <w:tcPr>
            <w:vAlign w:val="center"/>
            <w:tcMar>
              <w:top w:w="70" w:type="dxa"/>
              <w:left w:w="85" w:type="dxa"/>
              <w:bottom w:w="70" w:type="dxa"/>
              <w:right w:w="85" w:type="dxa"/>
            </w:tcMar>
          </w:tcPr>
          <w:p>
            <w:pPr>
              <w:spacing w:after="30" w:before="0"/>
              <w:jc w:val="left"/>
            </w:pPr>
            <w:r>
              <w:rPr>
                <w:rFonts w:ascii="Arial" w:hAnsi="Arial"/>
                <w:sz w:val="16"/>
              </w:rPr>
              <w:t xml:space="preserve">Platform engineering</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Artifact</w:t>
            </w:r>
          </w:p>
        </w:tc>
        <w:tc>
          <w:tcPr>
            <w:vAlign w:val="center"/>
            <w:tcMar>
              <w:top w:w="70" w:type="dxa"/>
              <w:left w:w="85" w:type="dxa"/>
              <w:bottom w:w="70" w:type="dxa"/>
              <w:right w:w="85" w:type="dxa"/>
            </w:tcMar>
          </w:tcPr>
          <w:p>
            <w:pPr>
              <w:spacing w:after="30" w:before="0"/>
              <w:jc w:val="left"/>
            </w:pPr>
            <w:r>
              <w:rPr>
                <w:rFonts w:ascii="Arial" w:hAnsi="Arial"/>
                <w:sz w:val="16"/>
              </w:rPr>
              <w:t xml:space="preserve">Artifact Registry and trusted software artifacts</w:t>
            </w:r>
          </w:p>
        </w:tc>
        <w:tc>
          <w:tcPr>
            <w:vAlign w:val="center"/>
            <w:tcMar>
              <w:top w:w="70" w:type="dxa"/>
              <w:left w:w="85" w:type="dxa"/>
              <w:bottom w:w="70" w:type="dxa"/>
              <w:right w:w="85" w:type="dxa"/>
            </w:tcMar>
          </w:tcPr>
          <w:p>
            <w:pPr>
              <w:spacing w:after="30" w:before="0"/>
              <w:jc w:val="left"/>
            </w:pPr>
            <w:r>
              <w:rPr>
                <w:rFonts w:ascii="Arial" w:hAnsi="Arial"/>
                <w:sz w:val="16"/>
              </w:rPr>
              <w:t xml:space="preserve">Common or per environment</w:t>
            </w:r>
          </w:p>
        </w:tc>
        <w:tc>
          <w:tcPr>
            <w:vAlign w:val="center"/>
            <w:tcMar>
              <w:top w:w="70" w:type="dxa"/>
              <w:left w:w="85" w:type="dxa"/>
              <w:bottom w:w="70" w:type="dxa"/>
              <w:right w:w="85" w:type="dxa"/>
            </w:tcMar>
          </w:tcPr>
          <w:p>
            <w:pPr>
              <w:spacing w:after="30" w:before="0"/>
              <w:jc w:val="left"/>
            </w:pPr>
            <w:r>
              <w:rPr>
                <w:rFonts w:ascii="Arial" w:hAnsi="Arial"/>
                <w:sz w:val="16"/>
              </w:rPr>
              <w:t xml:space="preserve">Platform engineering and security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Data platform shared</w:t>
            </w:r>
          </w:p>
        </w:tc>
        <w:tc>
          <w:tcPr>
            <w:vAlign w:val="center"/>
            <w:tcMar>
              <w:top w:w="70" w:type="dxa"/>
              <w:left w:w="85" w:type="dxa"/>
              <w:bottom w:w="70" w:type="dxa"/>
              <w:right w:w="85" w:type="dxa"/>
            </w:tcMar>
          </w:tcPr>
          <w:p>
            <w:pPr>
              <w:spacing w:after="30" w:before="0"/>
              <w:jc w:val="left"/>
            </w:pPr>
            <w:r>
              <w:rPr>
                <w:rFonts w:ascii="Arial" w:hAnsi="Arial"/>
                <w:sz w:val="16"/>
              </w:rPr>
              <w:t xml:space="preserve">Shared ingestion, governance, orchestration and platform services</w:t>
            </w:r>
          </w:p>
        </w:tc>
        <w:tc>
          <w:tcPr>
            <w:vAlign w:val="center"/>
            <w:tcMar>
              <w:top w:w="70" w:type="dxa"/>
              <w:left w:w="85" w:type="dxa"/>
              <w:bottom w:w="70" w:type="dxa"/>
              <w:right w:w="85" w:type="dxa"/>
            </w:tcMar>
          </w:tcPr>
          <w:p>
            <w:pPr>
              <w:spacing w:after="30" w:before="0"/>
              <w:jc w:val="left"/>
            </w:pPr>
            <w:r>
              <w:rPr>
                <w:rFonts w:ascii="Arial" w:hAnsi="Arial"/>
                <w:sz w:val="16"/>
              </w:rPr>
              <w:t xml:space="preserve">Per environment/geography</w:t>
            </w:r>
          </w:p>
        </w:tc>
        <w:tc>
          <w:tcPr>
            <w:vAlign w:val="center"/>
            <w:tcMar>
              <w:top w:w="70" w:type="dxa"/>
              <w:left w:w="85" w:type="dxa"/>
              <w:bottom w:w="70" w:type="dxa"/>
              <w:right w:w="85" w:type="dxa"/>
            </w:tcMar>
          </w:tcPr>
          <w:p>
            <w:pPr>
              <w:spacing w:after="30" w:before="0"/>
              <w:jc w:val="left"/>
            </w:pPr>
            <w:r>
              <w:rPr>
                <w:rFonts w:ascii="Arial" w:hAnsi="Arial"/>
                <w:sz w:val="16"/>
              </w:rPr>
              <w:t xml:space="preserve">Data platform product team</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Domain data</w:t>
            </w:r>
          </w:p>
        </w:tc>
        <w:tc>
          <w:tcPr>
            <w:vAlign w:val="center"/>
            <w:tcMar>
              <w:top w:w="70" w:type="dxa"/>
              <w:left w:w="85" w:type="dxa"/>
              <w:bottom w:w="70" w:type="dxa"/>
              <w:right w:w="85" w:type="dxa"/>
            </w:tcMar>
          </w:tcPr>
          <w:p>
            <w:pPr>
              <w:spacing w:after="30" w:before="0"/>
              <w:jc w:val="left"/>
            </w:pPr>
            <w:r>
              <w:rPr>
                <w:rFonts w:ascii="Arial" w:hAnsi="Arial"/>
                <w:sz w:val="16"/>
              </w:rPr>
              <w:t xml:space="preserve">Business-domain data products and pipelines</w:t>
            </w:r>
          </w:p>
        </w:tc>
        <w:tc>
          <w:tcPr>
            <w:vAlign w:val="center"/>
            <w:tcMar>
              <w:top w:w="70" w:type="dxa"/>
              <w:left w:w="85" w:type="dxa"/>
              <w:bottom w:w="70" w:type="dxa"/>
              <w:right w:w="85" w:type="dxa"/>
            </w:tcMar>
          </w:tcPr>
          <w:p>
            <w:pPr>
              <w:spacing w:after="30" w:before="0"/>
              <w:jc w:val="left"/>
            </w:pPr>
            <w:r>
              <w:rPr>
                <w:rFonts w:ascii="Arial" w:hAnsi="Arial"/>
                <w:sz w:val="16"/>
              </w:rPr>
              <w:t xml:space="preserve">Per domain/environment/geography</w:t>
            </w:r>
          </w:p>
        </w:tc>
        <w:tc>
          <w:tcPr>
            <w:vAlign w:val="center"/>
            <w:tcMar>
              <w:top w:w="70" w:type="dxa"/>
              <w:left w:w="85" w:type="dxa"/>
              <w:bottom w:w="70" w:type="dxa"/>
              <w:right w:w="85" w:type="dxa"/>
            </w:tcMar>
          </w:tcPr>
          <w:p>
            <w:pPr>
              <w:spacing w:after="30" w:before="0"/>
              <w:jc w:val="left"/>
            </w:pPr>
            <w:r>
              <w:rPr>
                <w:rFonts w:ascii="Arial" w:hAnsi="Arial"/>
                <w:sz w:val="16"/>
              </w:rPr>
              <w:t xml:space="preserve">Domain data-product team</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Analytics</w:t>
            </w:r>
          </w:p>
        </w:tc>
        <w:tc>
          <w:tcPr>
            <w:vAlign w:val="center"/>
            <w:tcMar>
              <w:top w:w="70" w:type="dxa"/>
              <w:left w:w="85" w:type="dxa"/>
              <w:bottom w:w="70" w:type="dxa"/>
              <w:right w:w="85" w:type="dxa"/>
            </w:tcMar>
          </w:tcPr>
          <w:p>
            <w:pPr>
              <w:spacing w:after="30" w:before="0"/>
              <w:jc w:val="left"/>
            </w:pPr>
            <w:r>
              <w:rPr>
                <w:rFonts w:ascii="Arial" w:hAnsi="Arial"/>
                <w:sz w:val="16"/>
              </w:rPr>
              <w:t xml:space="preserve">BI, notebooks, semantic models and analytical services</w:t>
            </w:r>
          </w:p>
        </w:tc>
        <w:tc>
          <w:tcPr>
            <w:vAlign w:val="center"/>
            <w:tcMar>
              <w:top w:w="70" w:type="dxa"/>
              <w:left w:w="85" w:type="dxa"/>
              <w:bottom w:w="70" w:type="dxa"/>
              <w:right w:w="85" w:type="dxa"/>
            </w:tcMar>
          </w:tcPr>
          <w:p>
            <w:pPr>
              <w:spacing w:after="30" w:before="0"/>
              <w:jc w:val="left"/>
            </w:pPr>
            <w:r>
              <w:rPr>
                <w:rFonts w:ascii="Arial" w:hAnsi="Arial"/>
                <w:sz w:val="16"/>
              </w:rPr>
              <w:t xml:space="preserve">Per domain/environment</w:t>
            </w:r>
          </w:p>
        </w:tc>
        <w:tc>
          <w:tcPr>
            <w:vAlign w:val="center"/>
            <w:tcMar>
              <w:top w:w="70" w:type="dxa"/>
              <w:left w:w="85" w:type="dxa"/>
              <w:bottom w:w="70" w:type="dxa"/>
              <w:right w:w="85" w:type="dxa"/>
            </w:tcMar>
          </w:tcPr>
          <w:p>
            <w:pPr>
              <w:spacing w:after="30" w:before="0"/>
              <w:jc w:val="left"/>
            </w:pPr>
            <w:r>
              <w:rPr>
                <w:rFonts w:ascii="Arial" w:hAnsi="Arial"/>
                <w:sz w:val="16"/>
              </w:rPr>
              <w:t xml:space="preserve">Analytics team</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AI/ML</w:t>
            </w:r>
          </w:p>
        </w:tc>
        <w:tc>
          <w:tcPr>
            <w:vAlign w:val="center"/>
            <w:tcMar>
              <w:top w:w="70" w:type="dxa"/>
              <w:left w:w="85" w:type="dxa"/>
              <w:bottom w:w="70" w:type="dxa"/>
              <w:right w:w="85" w:type="dxa"/>
            </w:tcMar>
          </w:tcPr>
          <w:p>
            <w:pPr>
              <w:spacing w:after="30" w:before="0"/>
              <w:jc w:val="left"/>
            </w:pPr>
            <w:r>
              <w:rPr>
                <w:rFonts w:ascii="Arial" w:hAnsi="Arial"/>
                <w:sz w:val="16"/>
              </w:rPr>
              <w:t xml:space="preserve">Vertex AI training, registry, endpoints and AI governance</w:t>
            </w:r>
          </w:p>
        </w:tc>
        <w:tc>
          <w:tcPr>
            <w:vAlign w:val="center"/>
            <w:tcMar>
              <w:top w:w="70" w:type="dxa"/>
              <w:left w:w="85" w:type="dxa"/>
              <w:bottom w:w="70" w:type="dxa"/>
              <w:right w:w="85" w:type="dxa"/>
            </w:tcMar>
          </w:tcPr>
          <w:p>
            <w:pPr>
              <w:spacing w:after="30" w:before="0"/>
              <w:jc w:val="left"/>
            </w:pPr>
            <w:r>
              <w:rPr>
                <w:rFonts w:ascii="Arial" w:hAnsi="Arial"/>
                <w:sz w:val="16"/>
              </w:rPr>
              <w:t xml:space="preserve">Per domain/environment/geography</w:t>
            </w:r>
          </w:p>
        </w:tc>
        <w:tc>
          <w:tcPr>
            <w:vAlign w:val="center"/>
            <w:tcMar>
              <w:top w:w="70" w:type="dxa"/>
              <w:left w:w="85" w:type="dxa"/>
              <w:bottom w:w="70" w:type="dxa"/>
              <w:right w:w="85" w:type="dxa"/>
            </w:tcMar>
          </w:tcPr>
          <w:p>
            <w:pPr>
              <w:spacing w:after="30" w:before="0"/>
              <w:jc w:val="left"/>
            </w:pPr>
            <w:r>
              <w:rPr>
                <w:rFonts w:ascii="Arial" w:hAnsi="Arial"/>
                <w:sz w:val="16"/>
              </w:rPr>
              <w:t xml:space="preserve">AI platform and model owners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Application service</w:t>
            </w:r>
          </w:p>
        </w:tc>
        <w:tc>
          <w:tcPr>
            <w:vAlign w:val="center"/>
            <w:tcMar>
              <w:top w:w="70" w:type="dxa"/>
              <w:left w:w="85" w:type="dxa"/>
              <w:bottom w:w="70" w:type="dxa"/>
              <w:right w:w="85" w:type="dxa"/>
            </w:tcMar>
          </w:tcPr>
          <w:p>
            <w:pPr>
              <w:spacing w:after="30" w:before="0"/>
              <w:jc w:val="left"/>
            </w:pPr>
            <w:r>
              <w:rPr>
                <w:rFonts w:ascii="Arial" w:hAnsi="Arial"/>
                <w:sz w:val="16"/>
              </w:rPr>
              <w:t xml:space="preserve">Operational application components attached to the shared network</w:t>
            </w:r>
          </w:p>
        </w:tc>
        <w:tc>
          <w:tcPr>
            <w:vAlign w:val="center"/>
            <w:tcMar>
              <w:top w:w="70" w:type="dxa"/>
              <w:left w:w="85" w:type="dxa"/>
              <w:bottom w:w="70" w:type="dxa"/>
              <w:right w:w="85" w:type="dxa"/>
            </w:tcMar>
          </w:tcPr>
          <w:p>
            <w:pPr>
              <w:spacing w:after="30" w:before="0"/>
              <w:jc w:val="left"/>
            </w:pPr>
            <w:r>
              <w:rPr>
                <w:rFonts w:ascii="Arial" w:hAnsi="Arial"/>
                <w:sz w:val="16"/>
              </w:rPr>
              <w:t xml:space="preserve">Per application/environment</w:t>
            </w:r>
          </w:p>
        </w:tc>
        <w:tc>
          <w:tcPr>
            <w:vAlign w:val="center"/>
            <w:tcMar>
              <w:top w:w="70" w:type="dxa"/>
              <w:left w:w="85" w:type="dxa"/>
              <w:bottom w:w="70" w:type="dxa"/>
              <w:right w:w="85" w:type="dxa"/>
            </w:tcMar>
          </w:tcPr>
          <w:p>
            <w:pPr>
              <w:spacing w:after="30" w:before="0"/>
              <w:jc w:val="left"/>
            </w:pPr>
            <w:r>
              <w:rPr>
                <w:rFonts w:ascii="Arial" w:hAnsi="Arial"/>
                <w:sz w:val="16"/>
              </w:rPr>
              <w:t xml:space="preserve">Application team</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Sandbox</w:t>
            </w:r>
          </w:p>
        </w:tc>
        <w:tc>
          <w:tcPr>
            <w:vAlign w:val="center"/>
            <w:tcMar>
              <w:top w:w="70" w:type="dxa"/>
              <w:left w:w="85" w:type="dxa"/>
              <w:bottom w:w="70" w:type="dxa"/>
              <w:right w:w="85" w:type="dxa"/>
            </w:tcMar>
          </w:tcPr>
          <w:p>
            <w:pPr>
              <w:spacing w:after="30" w:before="0"/>
              <w:jc w:val="left"/>
            </w:pPr>
            <w:r>
              <w:rPr>
                <w:rFonts w:ascii="Arial" w:hAnsi="Arial"/>
                <w:sz w:val="16"/>
              </w:rPr>
              <w:t xml:space="preserve">Time-bound individual or team experimentation</w:t>
            </w:r>
          </w:p>
        </w:tc>
        <w:tc>
          <w:tcPr>
            <w:vAlign w:val="center"/>
            <w:tcMar>
              <w:top w:w="70" w:type="dxa"/>
              <w:left w:w="85" w:type="dxa"/>
              <w:bottom w:w="70" w:type="dxa"/>
              <w:right w:w="85" w:type="dxa"/>
            </w:tcMar>
          </w:tcPr>
          <w:p>
            <w:pPr>
              <w:spacing w:after="30" w:before="0"/>
              <w:jc w:val="left"/>
            </w:pPr>
            <w:r>
              <w:rPr>
                <w:rFonts w:ascii="Arial" w:hAnsi="Arial"/>
                <w:sz w:val="16"/>
              </w:rPr>
              <w:t xml:space="preserve">Sandbox folder</w:t>
            </w:r>
          </w:p>
        </w:tc>
        <w:tc>
          <w:tcPr>
            <w:vAlign w:val="center"/>
            <w:tcMar>
              <w:top w:w="70" w:type="dxa"/>
              <w:left w:w="85" w:type="dxa"/>
              <w:bottom w:w="70" w:type="dxa"/>
              <w:right w:w="85" w:type="dxa"/>
            </w:tcMar>
          </w:tcPr>
          <w:p>
            <w:pPr>
              <w:spacing w:after="30" w:before="0"/>
              <w:jc w:val="left"/>
            </w:pPr>
            <w:r>
              <w:rPr>
                <w:rFonts w:ascii="Arial" w:hAnsi="Arial"/>
                <w:sz w:val="16"/>
              </w:rPr>
              <w:t xml:space="preserve">Automatic expiry; no restricted data</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Quarantine</w:t>
            </w:r>
          </w:p>
        </w:tc>
        <w:tc>
          <w:tcPr>
            <w:vAlign w:val="center"/>
            <w:tcMar>
              <w:top w:w="70" w:type="dxa"/>
              <w:left w:w="85" w:type="dxa"/>
              <w:bottom w:w="70" w:type="dxa"/>
              <w:right w:w="85" w:type="dxa"/>
            </w:tcMar>
          </w:tcPr>
          <w:p>
            <w:pPr>
              <w:spacing w:after="30" w:before="0"/>
              <w:jc w:val="left"/>
            </w:pPr>
            <w:r>
              <w:rPr>
                <w:rFonts w:ascii="Arial" w:hAnsi="Arial"/>
                <w:sz w:val="16"/>
              </w:rPr>
              <w:t xml:space="preserve">Isolated project under investigation or acquisition onboarding</w:t>
            </w:r>
          </w:p>
        </w:tc>
        <w:tc>
          <w:tcPr>
            <w:vAlign w:val="center"/>
            <w:tcMar>
              <w:top w:w="70" w:type="dxa"/>
              <w:left w:w="85" w:type="dxa"/>
              <w:bottom w:w="70" w:type="dxa"/>
              <w:right w:w="85" w:type="dxa"/>
            </w:tcMar>
          </w:tcPr>
          <w:p>
            <w:pPr>
              <w:spacing w:after="30" w:before="0"/>
              <w:jc w:val="left"/>
            </w:pPr>
            <w:r>
              <w:rPr>
                <w:rFonts w:ascii="Arial" w:hAnsi="Arial"/>
                <w:sz w:val="16"/>
              </w:rPr>
              <w:t xml:space="preserve">Quarantine folder</w:t>
            </w:r>
          </w:p>
        </w:tc>
        <w:tc>
          <w:tcPr>
            <w:vAlign w:val="center"/>
            <w:tcMar>
              <w:top w:w="70" w:type="dxa"/>
              <w:left w:w="85" w:type="dxa"/>
              <w:bottom w:w="70" w:type="dxa"/>
              <w:right w:w="85" w:type="dxa"/>
            </w:tcMar>
          </w:tcPr>
          <w:p>
            <w:pPr>
              <w:spacing w:after="30" w:before="0"/>
              <w:jc w:val="left"/>
            </w:pPr>
            <w:r>
              <w:rPr>
                <w:rFonts w:ascii="Arial" w:hAnsi="Arial"/>
                <w:sz w:val="16"/>
              </w:rPr>
              <w:t xml:space="preserve">Security operations only</w:t>
            </w:r>
          </w:p>
        </w:tc>
      </w:tr>
    </w:tbl>
    <w:bookmarkEnd w:id="53"/>
    <w:bookmarkStart w:id="54" w:name="shared-services-projects"/>
    <w:p>
      <w:pPr>
        <w:pStyle w:val="Heading2"/>
        <w:keepNext/>
        <w:pageBreakBefore w:val="0"/>
      </w:pPr>
      <w:r>
        <w:t xml:space="preserve">3.3 Shared-services projects</w:t>
      </w:r>
    </w:p>
    <w:p>
      <w:pPr>
        <w:pStyle w:val="FirstParagraph"/>
      </w:pPr>
      <w:r>
        <w:t xml:space="preserve">Shared services reduce duplication but increase dependency concentration. Each shared service therefore requires explicit SLOs, versioned interfaces, tenancy controls, recovery procedures and capacity management. The common folder must not become a miscellaneous location for resources with unclear ownership.</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Shared service</w:t>
            </w:r>
          </w:p>
        </w:tc>
        <w:tc>
          <w:tcPr>
            <w:vAlign w:val="center"/>
            <w:tcMar>
              <w:top w:w="70" w:type="dxa"/>
              <w:left w:w="85" w:type="dxa"/>
              <w:bottom w:w="70" w:type="dxa"/>
              <w:right w:w="85" w:type="dxa"/>
            </w:tcMar>
          </w:tcPr>
          <w:p>
            <w:pPr>
              <w:spacing w:after="30" w:before="0"/>
              <w:jc w:val="left"/>
            </w:pPr>
            <w:r>
              <w:rPr>
                <w:rFonts w:ascii="Arial" w:hAnsi="Arial"/>
                <w:b/>
                <w:sz w:val="16"/>
              </w:rPr>
              <w:t xml:space="preserve">Recommended project boundary</w:t>
            </w:r>
          </w:p>
        </w:tc>
        <w:tc>
          <w:tcPr>
            <w:vAlign w:val="center"/>
            <w:tcMar>
              <w:top w:w="70" w:type="dxa"/>
              <w:left w:w="85" w:type="dxa"/>
              <w:bottom w:w="70" w:type="dxa"/>
              <w:right w:w="85" w:type="dxa"/>
            </w:tcMar>
          </w:tcPr>
          <w:p>
            <w:pPr>
              <w:spacing w:after="30" w:before="0"/>
              <w:jc w:val="left"/>
            </w:pPr>
            <w:r>
              <w:rPr>
                <w:rFonts w:ascii="Arial" w:hAnsi="Arial"/>
                <w:b/>
                <w:sz w:val="16"/>
              </w:rPr>
              <w:t xml:space="preserve">Availability target</w:t>
            </w:r>
          </w:p>
        </w:tc>
        <w:tc>
          <w:tcPr>
            <w:vAlign w:val="center"/>
            <w:tcMar>
              <w:top w:w="70" w:type="dxa"/>
              <w:left w:w="85" w:type="dxa"/>
              <w:bottom w:w="70" w:type="dxa"/>
              <w:right w:w="85" w:type="dxa"/>
            </w:tcMar>
          </w:tcPr>
          <w:p>
            <w:pPr>
              <w:spacing w:after="30" w:before="0"/>
              <w:jc w:val="left"/>
            </w:pPr>
            <w:r>
              <w:rPr>
                <w:rFonts w:ascii="Arial" w:hAnsi="Arial"/>
                <w:b/>
                <w:sz w:val="16"/>
              </w:rPr>
              <w:t xml:space="preserve">Consumer model</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Network and connectivity</w:t>
            </w:r>
          </w:p>
        </w:tc>
        <w:tc>
          <w:tcPr>
            <w:vAlign w:val="center"/>
            <w:tcMar>
              <w:top w:w="70" w:type="dxa"/>
              <w:left w:w="85" w:type="dxa"/>
              <w:bottom w:w="70" w:type="dxa"/>
              <w:right w:w="85" w:type="dxa"/>
            </w:tcMar>
          </w:tcPr>
          <w:p>
            <w:pPr>
              <w:spacing w:after="30" w:before="0"/>
              <w:jc w:val="left"/>
            </w:pPr>
            <w:r>
              <w:rPr>
                <w:rFonts w:ascii="Arial" w:hAnsi="Arial"/>
                <w:sz w:val="16"/>
              </w:rPr>
              <w:t xml:space="preserve">Separate host and connectivity projects per environment/geography</w:t>
            </w:r>
          </w:p>
        </w:tc>
        <w:tc>
          <w:tcPr>
            <w:vAlign w:val="center"/>
            <w:tcMar>
              <w:top w:w="70" w:type="dxa"/>
              <w:left w:w="85" w:type="dxa"/>
              <w:bottom w:w="70" w:type="dxa"/>
              <w:right w:w="85" w:type="dxa"/>
            </w:tcMar>
          </w:tcPr>
          <w:p>
            <w:pPr>
              <w:spacing w:after="30" w:before="0"/>
              <w:jc w:val="left"/>
            </w:pPr>
            <w:r>
              <w:rPr>
                <w:rFonts w:ascii="Arial" w:hAnsi="Arial"/>
                <w:sz w:val="16"/>
              </w:rPr>
              <w:t xml:space="preserve">Tier 0</w:t>
            </w:r>
          </w:p>
        </w:tc>
        <w:tc>
          <w:tcPr>
            <w:vAlign w:val="center"/>
            <w:tcMar>
              <w:top w:w="70" w:type="dxa"/>
              <w:left w:w="85" w:type="dxa"/>
              <w:bottom w:w="70" w:type="dxa"/>
              <w:right w:w="85" w:type="dxa"/>
            </w:tcMar>
          </w:tcPr>
          <w:p>
            <w:pPr>
              <w:spacing w:after="30" w:before="0"/>
              <w:jc w:val="left"/>
            </w:pPr>
            <w:r>
              <w:rPr>
                <w:rFonts w:ascii="Arial" w:hAnsi="Arial"/>
                <w:sz w:val="16"/>
              </w:rPr>
              <w:t xml:space="preserve">Subnet attachment, routes and private endpoints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KMS and HSM</w:t>
            </w:r>
          </w:p>
        </w:tc>
        <w:tc>
          <w:tcPr>
            <w:vAlign w:val="center"/>
            <w:tcMar>
              <w:top w:w="70" w:type="dxa"/>
              <w:left w:w="85" w:type="dxa"/>
              <w:bottom w:w="70" w:type="dxa"/>
              <w:right w:w="85" w:type="dxa"/>
            </w:tcMar>
          </w:tcPr>
          <w:p>
            <w:pPr>
              <w:spacing w:after="30" w:before="0"/>
              <w:jc w:val="left"/>
            </w:pPr>
            <w:r>
              <w:rPr>
                <w:rFonts w:ascii="Arial" w:hAnsi="Arial"/>
                <w:sz w:val="16"/>
              </w:rPr>
              <w:t xml:space="preserve">Separate key projects by geography and criticality</w:t>
            </w:r>
          </w:p>
        </w:tc>
        <w:tc>
          <w:tcPr>
            <w:vAlign w:val="center"/>
            <w:tcMar>
              <w:top w:w="70" w:type="dxa"/>
              <w:left w:w="85" w:type="dxa"/>
              <w:bottom w:w="70" w:type="dxa"/>
              <w:right w:w="85" w:type="dxa"/>
            </w:tcMar>
          </w:tcPr>
          <w:p>
            <w:pPr>
              <w:spacing w:after="30" w:before="0"/>
              <w:jc w:val="left"/>
            </w:pPr>
            <w:r>
              <w:rPr>
                <w:rFonts w:ascii="Arial" w:hAnsi="Arial"/>
                <w:sz w:val="16"/>
              </w:rPr>
              <w:t xml:space="preserve">Tier 0</w:t>
            </w:r>
          </w:p>
        </w:tc>
        <w:tc>
          <w:tcPr>
            <w:vAlign w:val="center"/>
            <w:tcMar>
              <w:top w:w="70" w:type="dxa"/>
              <w:left w:w="85" w:type="dxa"/>
              <w:bottom w:w="70" w:type="dxa"/>
              <w:right w:w="85" w:type="dxa"/>
            </w:tcMar>
          </w:tcPr>
          <w:p>
            <w:pPr>
              <w:spacing w:after="30" w:before="0"/>
              <w:jc w:val="left"/>
            </w:pPr>
            <w:r>
              <w:rPr>
                <w:rFonts w:ascii="Arial" w:hAnsi="Arial"/>
                <w:sz w:val="16"/>
              </w:rPr>
              <w:t xml:space="preserve">Service agents receive only encrypt/decrypt permissions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Logging</w:t>
            </w:r>
          </w:p>
        </w:tc>
        <w:tc>
          <w:tcPr>
            <w:vAlign w:val="center"/>
            <w:tcMar>
              <w:top w:w="70" w:type="dxa"/>
              <w:left w:w="85" w:type="dxa"/>
              <w:bottom w:w="70" w:type="dxa"/>
              <w:right w:w="85" w:type="dxa"/>
            </w:tcMar>
          </w:tcPr>
          <w:p>
            <w:pPr>
              <w:spacing w:after="30" w:before="0"/>
              <w:jc w:val="left"/>
            </w:pPr>
            <w:r>
              <w:rPr>
                <w:rFonts w:ascii="Arial" w:hAnsi="Arial"/>
                <w:sz w:val="16"/>
              </w:rPr>
              <w:t xml:space="preserve">Central storage project plus environment views</w:t>
            </w:r>
          </w:p>
        </w:tc>
        <w:tc>
          <w:tcPr>
            <w:vAlign w:val="center"/>
            <w:tcMar>
              <w:top w:w="70" w:type="dxa"/>
              <w:left w:w="85" w:type="dxa"/>
              <w:bottom w:w="70" w:type="dxa"/>
              <w:right w:w="85" w:type="dxa"/>
            </w:tcMar>
          </w:tcPr>
          <w:p>
            <w:pPr>
              <w:spacing w:after="30" w:before="0"/>
              <w:jc w:val="left"/>
            </w:pPr>
            <w:r>
              <w:rPr>
                <w:rFonts w:ascii="Arial" w:hAnsi="Arial"/>
                <w:sz w:val="16"/>
              </w:rPr>
              <w:t xml:space="preserve">Tier 0/1</w:t>
            </w:r>
          </w:p>
        </w:tc>
        <w:tc>
          <w:tcPr>
            <w:vAlign w:val="center"/>
            <w:tcMar>
              <w:top w:w="70" w:type="dxa"/>
              <w:left w:w="85" w:type="dxa"/>
              <w:bottom w:w="70" w:type="dxa"/>
              <w:right w:w="85" w:type="dxa"/>
            </w:tcMar>
          </w:tcPr>
          <w:p>
            <w:pPr>
              <w:spacing w:after="30" w:before="0"/>
              <w:jc w:val="left"/>
            </w:pPr>
            <w:r>
              <w:rPr>
                <w:rFonts w:ascii="Arial" w:hAnsi="Arial"/>
                <w:sz w:val="16"/>
              </w:rPr>
              <w:t xml:space="preserve">Aggregated sinks and controlled log views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Monitoring</w:t>
            </w:r>
          </w:p>
        </w:tc>
        <w:tc>
          <w:tcPr>
            <w:vAlign w:val="center"/>
            <w:tcMar>
              <w:top w:w="70" w:type="dxa"/>
              <w:left w:w="85" w:type="dxa"/>
              <w:bottom w:w="70" w:type="dxa"/>
              <w:right w:w="85" w:type="dxa"/>
            </w:tcMar>
          </w:tcPr>
          <w:p>
            <w:pPr>
              <w:spacing w:after="30" w:before="0"/>
              <w:jc w:val="left"/>
            </w:pPr>
            <w:r>
              <w:rPr>
                <w:rFonts w:ascii="Arial" w:hAnsi="Arial"/>
                <w:sz w:val="16"/>
              </w:rPr>
              <w:t xml:space="preserve">Central metrics scope with delegated dashboards</w:t>
            </w:r>
          </w:p>
        </w:tc>
        <w:tc>
          <w:tcPr>
            <w:vAlign w:val="center"/>
            <w:tcMar>
              <w:top w:w="70" w:type="dxa"/>
              <w:left w:w="85" w:type="dxa"/>
              <w:bottom w:w="70" w:type="dxa"/>
              <w:right w:w="85" w:type="dxa"/>
            </w:tcMar>
          </w:tcPr>
          <w:p>
            <w:pPr>
              <w:spacing w:after="30" w:before="0"/>
              <w:jc w:val="left"/>
            </w:pPr>
            <w:r>
              <w:rPr>
                <w:rFonts w:ascii="Arial" w:hAnsi="Arial"/>
                <w:sz w:val="16"/>
              </w:rPr>
              <w:t xml:space="preserve">Tier 1</w:t>
            </w:r>
          </w:p>
        </w:tc>
        <w:tc>
          <w:tcPr>
            <w:vAlign w:val="center"/>
            <w:tcMar>
              <w:top w:w="70" w:type="dxa"/>
              <w:left w:w="85" w:type="dxa"/>
              <w:bottom w:w="70" w:type="dxa"/>
              <w:right w:w="85" w:type="dxa"/>
            </w:tcMar>
          </w:tcPr>
          <w:p>
            <w:pPr>
              <w:spacing w:after="30" w:before="0"/>
              <w:jc w:val="left"/>
            </w:pPr>
            <w:r>
              <w:rPr>
                <w:rFonts w:ascii="Arial" w:hAnsi="Arial"/>
                <w:sz w:val="16"/>
              </w:rPr>
              <w:t xml:space="preserve">Read visibility to workload telemetry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CI/CD</w:t>
            </w:r>
          </w:p>
        </w:tc>
        <w:tc>
          <w:tcPr>
            <w:vAlign w:val="center"/>
            <w:tcMar>
              <w:top w:w="70" w:type="dxa"/>
              <w:left w:w="85" w:type="dxa"/>
              <w:bottom w:w="70" w:type="dxa"/>
              <w:right w:w="85" w:type="dxa"/>
            </w:tcMar>
          </w:tcPr>
          <w:p>
            <w:pPr>
              <w:spacing w:after="30" w:before="0"/>
              <w:jc w:val="left"/>
            </w:pPr>
            <w:r>
              <w:rPr>
                <w:rFonts w:ascii="Arial" w:hAnsi="Arial"/>
                <w:sz w:val="16"/>
              </w:rPr>
              <w:t xml:space="preserve">Foundation pipeline separate from workload pipelines</w:t>
            </w:r>
          </w:p>
        </w:tc>
        <w:tc>
          <w:tcPr>
            <w:vAlign w:val="center"/>
            <w:tcMar>
              <w:top w:w="70" w:type="dxa"/>
              <w:left w:w="85" w:type="dxa"/>
              <w:bottom w:w="70" w:type="dxa"/>
              <w:right w:w="85" w:type="dxa"/>
            </w:tcMar>
          </w:tcPr>
          <w:p>
            <w:pPr>
              <w:spacing w:after="30" w:before="0"/>
              <w:jc w:val="left"/>
            </w:pPr>
            <w:r>
              <w:rPr>
                <w:rFonts w:ascii="Arial" w:hAnsi="Arial"/>
                <w:sz w:val="16"/>
              </w:rPr>
              <w:t xml:space="preserve">Tier 0</w:t>
            </w:r>
          </w:p>
        </w:tc>
        <w:tc>
          <w:tcPr>
            <w:vAlign w:val="center"/>
            <w:tcMar>
              <w:top w:w="70" w:type="dxa"/>
              <w:left w:w="85" w:type="dxa"/>
              <w:bottom w:w="70" w:type="dxa"/>
              <w:right w:w="85" w:type="dxa"/>
            </w:tcMar>
          </w:tcPr>
          <w:p>
            <w:pPr>
              <w:spacing w:after="30" w:before="0"/>
              <w:jc w:val="left"/>
            </w:pPr>
            <w:r>
              <w:rPr>
                <w:rFonts w:ascii="Arial" w:hAnsi="Arial"/>
                <w:sz w:val="16"/>
              </w:rPr>
              <w:t xml:space="preserve">Federated deployment identities and approved roles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Artifact Registry</w:t>
            </w:r>
          </w:p>
        </w:tc>
        <w:tc>
          <w:tcPr>
            <w:vAlign w:val="center"/>
            <w:tcMar>
              <w:top w:w="70" w:type="dxa"/>
              <w:left w:w="85" w:type="dxa"/>
              <w:bottom w:w="70" w:type="dxa"/>
              <w:right w:w="85" w:type="dxa"/>
            </w:tcMar>
          </w:tcPr>
          <w:p>
            <w:pPr>
              <w:spacing w:after="30" w:before="0"/>
              <w:jc w:val="left"/>
            </w:pPr>
            <w:r>
              <w:rPr>
                <w:rFonts w:ascii="Arial" w:hAnsi="Arial"/>
                <w:sz w:val="16"/>
              </w:rPr>
              <w:t xml:space="preserve">Environment or trust-zone repositories</w:t>
            </w:r>
          </w:p>
        </w:tc>
        <w:tc>
          <w:tcPr>
            <w:vAlign w:val="center"/>
            <w:tcMar>
              <w:top w:w="70" w:type="dxa"/>
              <w:left w:w="85" w:type="dxa"/>
              <w:bottom w:w="70" w:type="dxa"/>
              <w:right w:w="85" w:type="dxa"/>
            </w:tcMar>
          </w:tcPr>
          <w:p>
            <w:pPr>
              <w:spacing w:after="30" w:before="0"/>
              <w:jc w:val="left"/>
            </w:pPr>
            <w:r>
              <w:rPr>
                <w:rFonts w:ascii="Arial" w:hAnsi="Arial"/>
                <w:sz w:val="16"/>
              </w:rPr>
              <w:t xml:space="preserve">Tier 1</w:t>
            </w:r>
          </w:p>
        </w:tc>
        <w:tc>
          <w:tcPr>
            <w:vAlign w:val="center"/>
            <w:tcMar>
              <w:top w:w="70" w:type="dxa"/>
              <w:left w:w="85" w:type="dxa"/>
              <w:bottom w:w="70" w:type="dxa"/>
              <w:right w:w="85" w:type="dxa"/>
            </w:tcMar>
          </w:tcPr>
          <w:p>
            <w:pPr>
              <w:spacing w:after="30" w:before="0"/>
              <w:jc w:val="left"/>
            </w:pPr>
            <w:r>
              <w:rPr>
                <w:rFonts w:ascii="Arial" w:hAnsi="Arial"/>
                <w:sz w:val="16"/>
              </w:rPr>
              <w:t xml:space="preserve">Immutable artifacts and vulnerability controls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Security automation</w:t>
            </w:r>
          </w:p>
        </w:tc>
        <w:tc>
          <w:tcPr>
            <w:vAlign w:val="center"/>
            <w:tcMar>
              <w:top w:w="70" w:type="dxa"/>
              <w:left w:w="85" w:type="dxa"/>
              <w:bottom w:w="70" w:type="dxa"/>
              <w:right w:w="85" w:type="dxa"/>
            </w:tcMar>
          </w:tcPr>
          <w:p>
            <w:pPr>
              <w:spacing w:after="30" w:before="0"/>
              <w:jc w:val="left"/>
            </w:pPr>
            <w:r>
              <w:rPr>
                <w:rFonts w:ascii="Arial" w:hAnsi="Arial"/>
                <w:sz w:val="16"/>
              </w:rPr>
              <w:t xml:space="preserve">SCC findings, posture and remediation automation</w:t>
            </w:r>
          </w:p>
        </w:tc>
        <w:tc>
          <w:tcPr>
            <w:vAlign w:val="center"/>
            <w:tcMar>
              <w:top w:w="70" w:type="dxa"/>
              <w:left w:w="85" w:type="dxa"/>
              <w:bottom w:w="70" w:type="dxa"/>
              <w:right w:w="85" w:type="dxa"/>
            </w:tcMar>
          </w:tcPr>
          <w:p>
            <w:pPr>
              <w:spacing w:after="30" w:before="0"/>
              <w:jc w:val="left"/>
            </w:pPr>
            <w:r>
              <w:rPr>
                <w:rFonts w:ascii="Arial" w:hAnsi="Arial"/>
                <w:sz w:val="16"/>
              </w:rPr>
              <w:t xml:space="preserve">Tier 0/1</w:t>
            </w:r>
          </w:p>
        </w:tc>
        <w:tc>
          <w:tcPr>
            <w:vAlign w:val="center"/>
            <w:tcMar>
              <w:top w:w="70" w:type="dxa"/>
              <w:left w:w="85" w:type="dxa"/>
              <w:bottom w:w="70" w:type="dxa"/>
              <w:right w:w="85" w:type="dxa"/>
            </w:tcMar>
          </w:tcPr>
          <w:p>
            <w:pPr>
              <w:spacing w:after="30" w:before="0"/>
              <w:jc w:val="left"/>
            </w:pPr>
            <w:r>
              <w:rPr>
                <w:rFonts w:ascii="Arial" w:hAnsi="Arial"/>
                <w:sz w:val="16"/>
              </w:rPr>
              <w:t xml:space="preserve">Findings routed to SOC and ticketing</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Data platform shared</w:t>
            </w:r>
          </w:p>
        </w:tc>
        <w:tc>
          <w:tcPr>
            <w:vAlign w:val="center"/>
            <w:tcMar>
              <w:top w:w="70" w:type="dxa"/>
              <w:left w:w="85" w:type="dxa"/>
              <w:bottom w:w="70" w:type="dxa"/>
              <w:right w:w="85" w:type="dxa"/>
            </w:tcMar>
          </w:tcPr>
          <w:p>
            <w:pPr>
              <w:spacing w:after="30" w:before="0"/>
              <w:jc w:val="left"/>
            </w:pPr>
            <w:r>
              <w:rPr>
                <w:rFonts w:ascii="Arial" w:hAnsi="Arial"/>
                <w:sz w:val="16"/>
              </w:rPr>
              <w:t xml:space="preserve">Catalog, ingestion templates and orchestration control services</w:t>
            </w:r>
          </w:p>
        </w:tc>
        <w:tc>
          <w:tcPr>
            <w:vAlign w:val="center"/>
            <w:tcMar>
              <w:top w:w="70" w:type="dxa"/>
              <w:left w:w="85" w:type="dxa"/>
              <w:bottom w:w="70" w:type="dxa"/>
              <w:right w:w="85" w:type="dxa"/>
            </w:tcMar>
          </w:tcPr>
          <w:p>
            <w:pPr>
              <w:spacing w:after="30" w:before="0"/>
              <w:jc w:val="left"/>
            </w:pPr>
            <w:r>
              <w:rPr>
                <w:rFonts w:ascii="Arial" w:hAnsi="Arial"/>
                <w:sz w:val="16"/>
              </w:rPr>
              <w:t xml:space="preserve">Tier 1</w:t>
            </w:r>
          </w:p>
        </w:tc>
        <w:tc>
          <w:tcPr>
            <w:vAlign w:val="center"/>
            <w:tcMar>
              <w:top w:w="70" w:type="dxa"/>
              <w:left w:w="85" w:type="dxa"/>
              <w:bottom w:w="70" w:type="dxa"/>
              <w:right w:w="85" w:type="dxa"/>
            </w:tcMar>
          </w:tcPr>
          <w:p>
            <w:pPr>
              <w:spacing w:after="30" w:before="0"/>
              <w:jc w:val="left"/>
            </w:pPr>
            <w:r>
              <w:rPr>
                <w:rFonts w:ascii="Arial" w:hAnsi="Arial"/>
                <w:sz w:val="16"/>
              </w:rPr>
              <w:t xml:space="preserve">Published platform APIs and templates</w:t>
            </w:r>
          </w:p>
        </w:tc>
      </w:tr>
    </w:tbl>
    <w:bookmarkEnd w:id="54"/>
    <w:bookmarkStart w:id="55" w:name="environment-model"/>
    <w:p>
      <w:pPr>
        <w:pStyle w:val="Heading2"/>
        <w:keepNext/>
        <w:pageBreakBefore w:val="0"/>
      </w:pPr>
      <w:r>
        <w:t xml:space="preserve">3.4 Environment model</w:t>
      </w:r>
    </w:p>
    <w:tbl>
      <w:tblPr>
        <w:tblStyle w:val="LightShading-Accent1"/>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Environment</w:t>
            </w:r>
          </w:p>
        </w:tc>
        <w:tc>
          <w:tcPr>
            <w:vAlign w:val="center"/>
            <w:tcMar>
              <w:top w:w="70" w:type="dxa"/>
              <w:left w:w="85" w:type="dxa"/>
              <w:bottom w:w="70" w:type="dxa"/>
              <w:right w:w="85" w:type="dxa"/>
            </w:tcMar>
          </w:tcPr>
          <w:p>
            <w:pPr>
              <w:spacing w:after="30" w:before="0"/>
              <w:jc w:val="left"/>
            </w:pPr>
            <w:r>
              <w:rPr>
                <w:rFonts w:ascii="Arial" w:hAnsi="Arial"/>
                <w:b/>
                <w:sz w:val="16"/>
              </w:rPr>
              <w:t xml:space="preserve">Purpose</w:t>
            </w:r>
          </w:p>
        </w:tc>
        <w:tc>
          <w:tcPr>
            <w:vAlign w:val="center"/>
            <w:tcMar>
              <w:top w:w="70" w:type="dxa"/>
              <w:left w:w="85" w:type="dxa"/>
              <w:bottom w:w="70" w:type="dxa"/>
              <w:right w:w="85" w:type="dxa"/>
            </w:tcMar>
          </w:tcPr>
          <w:p>
            <w:pPr>
              <w:spacing w:after="30" w:before="0"/>
              <w:jc w:val="left"/>
            </w:pPr>
            <w:r>
              <w:rPr>
                <w:rFonts w:ascii="Arial" w:hAnsi="Arial"/>
                <w:b/>
                <w:sz w:val="16"/>
              </w:rPr>
              <w:t xml:space="preserve">Access</w:t>
            </w:r>
          </w:p>
        </w:tc>
        <w:tc>
          <w:tcPr>
            <w:vAlign w:val="center"/>
            <w:tcMar>
              <w:top w:w="70" w:type="dxa"/>
              <w:left w:w="85" w:type="dxa"/>
              <w:bottom w:w="70" w:type="dxa"/>
              <w:right w:w="85" w:type="dxa"/>
            </w:tcMar>
          </w:tcPr>
          <w:p>
            <w:pPr>
              <w:spacing w:after="30" w:before="0"/>
              <w:jc w:val="left"/>
            </w:pPr>
            <w:r>
              <w:rPr>
                <w:rFonts w:ascii="Arial" w:hAnsi="Arial"/>
                <w:b/>
                <w:sz w:val="16"/>
              </w:rPr>
              <w:t xml:space="preserve">Support</w:t>
            </w:r>
          </w:p>
        </w:tc>
        <w:tc>
          <w:tcPr>
            <w:vAlign w:val="center"/>
            <w:tcMar>
              <w:top w:w="70" w:type="dxa"/>
              <w:left w:w="85" w:type="dxa"/>
              <w:bottom w:w="70" w:type="dxa"/>
              <w:right w:w="85" w:type="dxa"/>
            </w:tcMar>
          </w:tcPr>
          <w:p>
            <w:pPr>
              <w:spacing w:after="30" w:before="0"/>
              <w:jc w:val="left"/>
            </w:pPr>
            <w:r>
              <w:rPr>
                <w:rFonts w:ascii="Arial" w:hAnsi="Arial"/>
                <w:b/>
                <w:sz w:val="16"/>
              </w:rPr>
              <w:t xml:space="preserve">Control posture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Development</w:t>
            </w:r>
          </w:p>
        </w:tc>
        <w:tc>
          <w:tcPr>
            <w:vAlign w:val="center"/>
            <w:tcMar>
              <w:top w:w="70" w:type="dxa"/>
              <w:left w:w="85" w:type="dxa"/>
              <w:bottom w:w="70" w:type="dxa"/>
              <w:right w:w="85" w:type="dxa"/>
            </w:tcMar>
          </w:tcPr>
          <w:p>
            <w:pPr>
              <w:spacing w:after="30" w:before="0"/>
              <w:jc w:val="left"/>
            </w:pPr>
            <w:r>
              <w:rPr>
                <w:rFonts w:ascii="Arial" w:hAnsi="Arial"/>
                <w:sz w:val="16"/>
              </w:rPr>
              <w:t xml:space="preserve">Feature development, unit testing and integration with synthetic or masked data</w:t>
            </w:r>
          </w:p>
        </w:tc>
        <w:tc>
          <w:tcPr>
            <w:vAlign w:val="center"/>
            <w:tcMar>
              <w:top w:w="70" w:type="dxa"/>
              <w:left w:w="85" w:type="dxa"/>
              <w:bottom w:w="70" w:type="dxa"/>
              <w:right w:w="85" w:type="dxa"/>
            </w:tcMar>
          </w:tcPr>
          <w:p>
            <w:pPr>
              <w:spacing w:after="30" w:before="0"/>
              <w:jc w:val="left"/>
            </w:pPr>
            <w:r>
              <w:rPr>
                <w:rFonts w:ascii="Arial" w:hAnsi="Arial"/>
                <w:sz w:val="16"/>
              </w:rPr>
              <w:t xml:space="preserve">Developer groups and automation</w:t>
            </w:r>
          </w:p>
        </w:tc>
        <w:tc>
          <w:tcPr>
            <w:vAlign w:val="center"/>
            <w:tcMar>
              <w:top w:w="70" w:type="dxa"/>
              <w:left w:w="85" w:type="dxa"/>
              <w:bottom w:w="70" w:type="dxa"/>
              <w:right w:w="85" w:type="dxa"/>
            </w:tcMar>
          </w:tcPr>
          <w:p>
            <w:pPr>
              <w:spacing w:after="30" w:before="0"/>
              <w:jc w:val="left"/>
            </w:pPr>
            <w:r>
              <w:rPr>
                <w:rFonts w:ascii="Arial" w:hAnsi="Arial"/>
                <w:sz w:val="16"/>
              </w:rPr>
              <w:t xml:space="preserve">Business hours</w:t>
            </w:r>
          </w:p>
        </w:tc>
        <w:tc>
          <w:tcPr>
            <w:vAlign w:val="center"/>
            <w:tcMar>
              <w:top w:w="70" w:type="dxa"/>
              <w:left w:w="85" w:type="dxa"/>
              <w:bottom w:w="70" w:type="dxa"/>
              <w:right w:w="85" w:type="dxa"/>
            </w:tcMar>
          </w:tcPr>
          <w:p>
            <w:pPr>
              <w:spacing w:after="30" w:before="0"/>
              <w:jc w:val="left"/>
            </w:pPr>
            <w:r>
              <w:rPr>
                <w:rFonts w:ascii="Arial" w:hAnsi="Arial"/>
                <w:sz w:val="16"/>
              </w:rPr>
              <w:t xml:space="preserve">Small quotas and automatic shutdown where possible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Test</w:t>
            </w:r>
          </w:p>
        </w:tc>
        <w:tc>
          <w:tcPr>
            <w:vAlign w:val="center"/>
            <w:tcMar>
              <w:top w:w="70" w:type="dxa"/>
              <w:left w:w="85" w:type="dxa"/>
              <w:bottom w:w="70" w:type="dxa"/>
              <w:right w:w="85" w:type="dxa"/>
            </w:tcMar>
          </w:tcPr>
          <w:p>
            <w:pPr>
              <w:spacing w:after="30" w:before="0"/>
              <w:jc w:val="left"/>
            </w:pPr>
            <w:r>
              <w:rPr>
                <w:rFonts w:ascii="Arial" w:hAnsi="Arial"/>
                <w:sz w:val="16"/>
              </w:rPr>
              <w:t xml:space="preserve">System integration, security and data-quality validation</w:t>
            </w:r>
          </w:p>
        </w:tc>
        <w:tc>
          <w:tcPr>
            <w:vAlign w:val="center"/>
            <w:tcMar>
              <w:top w:w="70" w:type="dxa"/>
              <w:left w:w="85" w:type="dxa"/>
              <w:bottom w:w="70" w:type="dxa"/>
              <w:right w:w="85" w:type="dxa"/>
            </w:tcMar>
          </w:tcPr>
          <w:p>
            <w:pPr>
              <w:spacing w:after="30" w:before="0"/>
              <w:jc w:val="left"/>
            </w:pPr>
            <w:r>
              <w:rPr>
                <w:rFonts w:ascii="Arial" w:hAnsi="Arial"/>
                <w:sz w:val="16"/>
              </w:rPr>
              <w:t xml:space="preserve">Test engineers and deployment identities</w:t>
            </w:r>
          </w:p>
        </w:tc>
        <w:tc>
          <w:tcPr>
            <w:vAlign w:val="center"/>
            <w:tcMar>
              <w:top w:w="70" w:type="dxa"/>
              <w:left w:w="85" w:type="dxa"/>
              <w:bottom w:w="70" w:type="dxa"/>
              <w:right w:w="85" w:type="dxa"/>
            </w:tcMar>
          </w:tcPr>
          <w:p>
            <w:pPr>
              <w:spacing w:after="30" w:before="0"/>
              <w:jc w:val="left"/>
            </w:pPr>
            <w:r>
              <w:rPr>
                <w:rFonts w:ascii="Arial" w:hAnsi="Arial"/>
                <w:sz w:val="16"/>
              </w:rPr>
              <w:t xml:space="preserve">Business hours plus release windows</w:t>
            </w:r>
          </w:p>
        </w:tc>
        <w:tc>
          <w:tcPr>
            <w:vAlign w:val="center"/>
            <w:tcMar>
              <w:top w:w="70" w:type="dxa"/>
              <w:left w:w="85" w:type="dxa"/>
              <w:bottom w:w="70" w:type="dxa"/>
              <w:right w:w="85" w:type="dxa"/>
            </w:tcMar>
          </w:tcPr>
          <w:p>
            <w:pPr>
              <w:spacing w:after="30" w:before="0"/>
              <w:jc w:val="left"/>
            </w:pPr>
            <w:r>
              <w:rPr>
                <w:rFonts w:ascii="Arial" w:hAnsi="Arial"/>
                <w:sz w:val="16"/>
              </w:rPr>
              <w:t xml:space="preserve">Production-like configuration at reduced scale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Staging</w:t>
            </w:r>
          </w:p>
        </w:tc>
        <w:tc>
          <w:tcPr>
            <w:vAlign w:val="center"/>
            <w:tcMar>
              <w:top w:w="70" w:type="dxa"/>
              <w:left w:w="85" w:type="dxa"/>
              <w:bottom w:w="70" w:type="dxa"/>
              <w:right w:w="85" w:type="dxa"/>
            </w:tcMar>
          </w:tcPr>
          <w:p>
            <w:pPr>
              <w:spacing w:after="30" w:before="0"/>
              <w:jc w:val="left"/>
            </w:pPr>
            <w:r>
              <w:rPr>
                <w:rFonts w:ascii="Arial" w:hAnsi="Arial"/>
                <w:sz w:val="16"/>
              </w:rPr>
              <w:t xml:space="preserve">Production rehearsal, performance testing and release validation</w:t>
            </w:r>
          </w:p>
        </w:tc>
        <w:tc>
          <w:tcPr>
            <w:vAlign w:val="center"/>
            <w:tcMar>
              <w:top w:w="70" w:type="dxa"/>
              <w:left w:w="85" w:type="dxa"/>
              <w:bottom w:w="70" w:type="dxa"/>
              <w:right w:w="85" w:type="dxa"/>
            </w:tcMar>
          </w:tcPr>
          <w:p>
            <w:pPr>
              <w:spacing w:after="30" w:before="0"/>
              <w:jc w:val="left"/>
            </w:pPr>
            <w:r>
              <w:rPr>
                <w:rFonts w:ascii="Arial" w:hAnsi="Arial"/>
                <w:sz w:val="16"/>
              </w:rPr>
              <w:t xml:space="preserve">Restricted engineering and operations</w:t>
            </w:r>
          </w:p>
        </w:tc>
        <w:tc>
          <w:tcPr>
            <w:vAlign w:val="center"/>
            <w:tcMar>
              <w:top w:w="70" w:type="dxa"/>
              <w:left w:w="85" w:type="dxa"/>
              <w:bottom w:w="70" w:type="dxa"/>
              <w:right w:w="85" w:type="dxa"/>
            </w:tcMar>
          </w:tcPr>
          <w:p>
            <w:pPr>
              <w:spacing w:after="30" w:before="0"/>
              <w:jc w:val="left"/>
            </w:pPr>
            <w:r>
              <w:rPr>
                <w:rFonts w:ascii="Arial" w:hAnsi="Arial"/>
                <w:sz w:val="16"/>
              </w:rPr>
              <w:t xml:space="preserve">Extended support during releases</w:t>
            </w:r>
          </w:p>
        </w:tc>
        <w:tc>
          <w:tcPr>
            <w:vAlign w:val="center"/>
            <w:tcMar>
              <w:top w:w="70" w:type="dxa"/>
              <w:left w:w="85" w:type="dxa"/>
              <w:bottom w:w="70" w:type="dxa"/>
              <w:right w:w="85" w:type="dxa"/>
            </w:tcMar>
          </w:tcPr>
          <w:p>
            <w:pPr>
              <w:spacing w:after="30" w:before="0"/>
              <w:jc w:val="left"/>
            </w:pPr>
            <w:r>
              <w:rPr>
                <w:rFonts w:ascii="Arial" w:hAnsi="Arial"/>
                <w:sz w:val="16"/>
              </w:rPr>
              <w:t xml:space="preserve">Production topology and controls with smaller capacity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Production</w:t>
            </w:r>
          </w:p>
        </w:tc>
        <w:tc>
          <w:tcPr>
            <w:vAlign w:val="center"/>
            <w:tcMar>
              <w:top w:w="70" w:type="dxa"/>
              <w:left w:w="85" w:type="dxa"/>
              <w:bottom w:w="70" w:type="dxa"/>
              <w:right w:w="85" w:type="dxa"/>
            </w:tcMar>
          </w:tcPr>
          <w:p>
            <w:pPr>
              <w:spacing w:after="30" w:before="0"/>
              <w:jc w:val="left"/>
            </w:pPr>
            <w:r>
              <w:rPr>
                <w:rFonts w:ascii="Arial" w:hAnsi="Arial"/>
                <w:sz w:val="16"/>
              </w:rPr>
              <w:t xml:space="preserve">Business operations and governed data products</w:t>
            </w:r>
          </w:p>
        </w:tc>
        <w:tc>
          <w:tcPr>
            <w:vAlign w:val="center"/>
            <w:tcMar>
              <w:top w:w="70" w:type="dxa"/>
              <w:left w:w="85" w:type="dxa"/>
              <w:bottom w:w="70" w:type="dxa"/>
              <w:right w:w="85" w:type="dxa"/>
            </w:tcMar>
          </w:tcPr>
          <w:p>
            <w:pPr>
              <w:spacing w:after="30" w:before="0"/>
              <w:jc w:val="left"/>
            </w:pPr>
            <w:r>
              <w:rPr>
                <w:rFonts w:ascii="Arial" w:hAnsi="Arial"/>
                <w:sz w:val="16"/>
              </w:rPr>
              <w:t xml:space="preserve">Operations, approved domain teams and automation</w:t>
            </w:r>
          </w:p>
        </w:tc>
        <w:tc>
          <w:tcPr>
            <w:vAlign w:val="center"/>
            <w:tcMar>
              <w:top w:w="70" w:type="dxa"/>
              <w:left w:w="85" w:type="dxa"/>
              <w:bottom w:w="70" w:type="dxa"/>
              <w:right w:w="85" w:type="dxa"/>
            </w:tcMar>
          </w:tcPr>
          <w:p>
            <w:pPr>
              <w:spacing w:after="30" w:before="0"/>
              <w:jc w:val="left"/>
            </w:pPr>
            <w:r>
              <w:rPr>
                <w:rFonts w:ascii="Arial" w:hAnsi="Arial"/>
                <w:sz w:val="16"/>
              </w:rPr>
              <w:t xml:space="preserve">24x7 for Tier 0/1</w:t>
            </w:r>
          </w:p>
        </w:tc>
        <w:tc>
          <w:tcPr>
            <w:vAlign w:val="center"/>
            <w:tcMar>
              <w:top w:w="70" w:type="dxa"/>
              <w:left w:w="85" w:type="dxa"/>
              <w:bottom w:w="70" w:type="dxa"/>
              <w:right w:w="85" w:type="dxa"/>
            </w:tcMar>
          </w:tcPr>
          <w:p>
            <w:pPr>
              <w:spacing w:after="30" w:before="0"/>
              <w:jc w:val="left"/>
            </w:pPr>
            <w:r>
              <w:rPr>
                <w:rFonts w:ascii="Arial" w:hAnsi="Arial"/>
                <w:sz w:val="16"/>
              </w:rPr>
              <w:t xml:space="preserve">Strict change, capacity and recovery controls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Sandbox</w:t>
            </w:r>
          </w:p>
        </w:tc>
        <w:tc>
          <w:tcPr>
            <w:vAlign w:val="center"/>
            <w:tcMar>
              <w:top w:w="70" w:type="dxa"/>
              <w:left w:w="85" w:type="dxa"/>
              <w:bottom w:w="70" w:type="dxa"/>
              <w:right w:w="85" w:type="dxa"/>
            </w:tcMar>
          </w:tcPr>
          <w:p>
            <w:pPr>
              <w:spacing w:after="30" w:before="0"/>
              <w:jc w:val="left"/>
            </w:pPr>
            <w:r>
              <w:rPr>
                <w:rFonts w:ascii="Arial" w:hAnsi="Arial"/>
                <w:sz w:val="16"/>
              </w:rPr>
              <w:t xml:space="preserve">Training, experimentation and short-lived proofs of concept</w:t>
            </w:r>
          </w:p>
        </w:tc>
        <w:tc>
          <w:tcPr>
            <w:vAlign w:val="center"/>
            <w:tcMar>
              <w:top w:w="70" w:type="dxa"/>
              <w:left w:w="85" w:type="dxa"/>
              <w:bottom w:w="70" w:type="dxa"/>
              <w:right w:w="85" w:type="dxa"/>
            </w:tcMar>
          </w:tcPr>
          <w:p>
            <w:pPr>
              <w:spacing w:after="30" w:before="0"/>
              <w:jc w:val="left"/>
            </w:pPr>
            <w:r>
              <w:rPr>
                <w:rFonts w:ascii="Arial" w:hAnsi="Arial"/>
                <w:sz w:val="16"/>
              </w:rPr>
              <w:t xml:space="preserve">Named users through managed sandbox groups</w:t>
            </w:r>
          </w:p>
        </w:tc>
        <w:tc>
          <w:tcPr>
            <w:vAlign w:val="center"/>
            <w:tcMar>
              <w:top w:w="70" w:type="dxa"/>
              <w:left w:w="85" w:type="dxa"/>
              <w:bottom w:w="70" w:type="dxa"/>
              <w:right w:w="85" w:type="dxa"/>
            </w:tcMar>
          </w:tcPr>
          <w:p>
            <w:pPr>
              <w:spacing w:after="30" w:before="0"/>
              <w:jc w:val="left"/>
            </w:pPr>
            <w:r>
              <w:rPr>
                <w:rFonts w:ascii="Arial" w:hAnsi="Arial"/>
                <w:sz w:val="16"/>
              </w:rPr>
              <w:t xml:space="preserve">Best effort</w:t>
            </w:r>
          </w:p>
        </w:tc>
        <w:tc>
          <w:tcPr>
            <w:vAlign w:val="center"/>
            <w:tcMar>
              <w:top w:w="70" w:type="dxa"/>
              <w:left w:w="85" w:type="dxa"/>
              <w:bottom w:w="70" w:type="dxa"/>
              <w:right w:w="85" w:type="dxa"/>
            </w:tcMar>
          </w:tcPr>
          <w:p>
            <w:pPr>
              <w:spacing w:after="30" w:before="0"/>
              <w:jc w:val="left"/>
            </w:pPr>
            <w:r>
              <w:rPr>
                <w:rFonts w:ascii="Arial" w:hAnsi="Arial"/>
                <w:sz w:val="16"/>
              </w:rPr>
              <w:t xml:space="preserve">No restricted data; budget and expiry enforcement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Disaster recovery</w:t>
            </w:r>
          </w:p>
        </w:tc>
        <w:tc>
          <w:tcPr>
            <w:vAlign w:val="center"/>
            <w:tcMar>
              <w:top w:w="70" w:type="dxa"/>
              <w:left w:w="85" w:type="dxa"/>
              <w:bottom w:w="70" w:type="dxa"/>
              <w:right w:w="85" w:type="dxa"/>
            </w:tcMar>
          </w:tcPr>
          <w:p>
            <w:pPr>
              <w:spacing w:after="30" w:before="0"/>
              <w:jc w:val="left"/>
            </w:pPr>
            <w:r>
              <w:rPr>
                <w:rFonts w:ascii="Arial" w:hAnsi="Arial"/>
                <w:sz w:val="16"/>
              </w:rPr>
              <w:t xml:space="preserve">Regional recovery components and replicated configuration</w:t>
            </w:r>
          </w:p>
        </w:tc>
        <w:tc>
          <w:tcPr>
            <w:vAlign w:val="center"/>
            <w:tcMar>
              <w:top w:w="70" w:type="dxa"/>
              <w:left w:w="85" w:type="dxa"/>
              <w:bottom w:w="70" w:type="dxa"/>
              <w:right w:w="85" w:type="dxa"/>
            </w:tcMar>
          </w:tcPr>
          <w:p>
            <w:pPr>
              <w:spacing w:after="30" w:before="0"/>
              <w:jc w:val="left"/>
            </w:pPr>
            <w:r>
              <w:rPr>
                <w:rFonts w:ascii="Arial" w:hAnsi="Arial"/>
                <w:sz w:val="16"/>
              </w:rPr>
              <w:t xml:space="preserve">Operations and recovery automation</w:t>
            </w:r>
          </w:p>
        </w:tc>
        <w:tc>
          <w:tcPr>
            <w:vAlign w:val="center"/>
            <w:tcMar>
              <w:top w:w="70" w:type="dxa"/>
              <w:left w:w="85" w:type="dxa"/>
              <w:bottom w:w="70" w:type="dxa"/>
              <w:right w:w="85" w:type="dxa"/>
            </w:tcMar>
          </w:tcPr>
          <w:p>
            <w:pPr>
              <w:spacing w:after="30" w:before="0"/>
              <w:jc w:val="left"/>
            </w:pPr>
            <w:r>
              <w:rPr>
                <w:rFonts w:ascii="Arial" w:hAnsi="Arial"/>
                <w:sz w:val="16"/>
              </w:rPr>
              <w:t xml:space="preserve">Activated during tests or incidents</w:t>
            </w:r>
          </w:p>
        </w:tc>
        <w:tc>
          <w:tcPr>
            <w:vAlign w:val="center"/>
            <w:tcMar>
              <w:top w:w="70" w:type="dxa"/>
              <w:left w:w="85" w:type="dxa"/>
              <w:bottom w:w="70" w:type="dxa"/>
              <w:right w:w="85" w:type="dxa"/>
            </w:tcMar>
          </w:tcPr>
          <w:p>
            <w:pPr>
              <w:spacing w:after="30" w:before="0"/>
              <w:jc w:val="left"/>
            </w:pPr>
            <w:r>
              <w:rPr>
                <w:rFonts w:ascii="Arial" w:hAnsi="Arial"/>
                <w:sz w:val="16"/>
              </w:rPr>
              <w:t xml:space="preserve">Capacity aligned to RTO and failover design</w:t>
            </w:r>
          </w:p>
        </w:tc>
      </w:tr>
    </w:tbl>
    <w:p>
      <w:pPr>
        <w:pStyle w:val="BodyText"/>
      </w:pPr>
      <w:r>
        <w:t xml:space="preserve">Environment promotion applies to code and policy, not to manually configured resources. Terraform modules, organization-policy bundles, firewall policies and monitoring definitions are promoted through versioned releases. Environment-specific values are externalized in reviewed configuration. Direct production changes are denied except through a controlled break-glass process and must be reconciled back into source control.</w:t>
      </w:r>
    </w:p>
    <w:bookmarkEnd w:id="55"/>
    <w:bookmarkStart w:id="56" w:name="development-environment"/>
    <w:p>
      <w:pPr>
        <w:pStyle w:val="Heading2"/>
        <w:keepNext/>
        <w:pageBreakBefore w:val="0"/>
      </w:pPr>
      <w:r>
        <w:t xml:space="preserve">3.5 Development environment</w:t>
      </w:r>
    </w:p>
    <w:p>
      <w:pPr>
        <w:pStyle w:val="FirstParagraph"/>
      </w:pPr>
      <w:r>
        <w:t xml:space="preserve">Development projects are optimized for engineering speed without weakening the enterprise boundary. They use synthetic, masked or low-sensitivity data. Developers receive broader service-level roles inside their project but no network-host, organization-policy or perimeter-administration privileges. Resource quotas and default budgets are intentionally small. Temporary resources are deleted automatically based on labels and expiration dates.</w:t>
      </w:r>
    </w:p>
    <w:p>
      <w:pPr>
        <w:pStyle w:val="BodyText"/>
      </w:pPr>
      <w:r>
        <w:t xml:space="preserve">Development should be sufficiently similar to production to expose policy and network incompatibilities early. It should not be a completely disconnected environment in which developers rely on public endpoints, service-account keys and manually created resources that will be prohibited later.</w:t>
      </w:r>
    </w:p>
    <w:bookmarkEnd w:id="56"/>
    <w:bookmarkStart w:id="57" w:name="test-and-staging-environments"/>
    <w:p>
      <w:pPr>
        <w:pStyle w:val="Heading2"/>
        <w:keepNext/>
        <w:pageBreakBefore w:val="0"/>
      </w:pPr>
      <w:r>
        <w:t xml:space="preserve">3.6 Test and staging environments</w:t>
      </w:r>
    </w:p>
    <w:p>
      <w:pPr>
        <w:pStyle w:val="FirstParagraph"/>
      </w:pPr>
      <w:r>
        <w:t xml:space="preserve">Test validates integration, security, data quality and operational procedures. Staging is the production rehearsal environment and should use the same topology, organization policies, private connectivity, identity model, encryption approach and deployment pipeline as production. Capacity may be smaller, but differences must be explicit and documented.</w:t>
      </w:r>
    </w:p>
    <w:p>
      <w:pPr>
        <w:pStyle w:val="BodyText"/>
      </w:pPr>
      <w:r>
        <w:t xml:space="preserve">Tests should include service-perimeter access, key disable and restore, route failover, log delivery, monitoring, privileged access, project-factory onboarding and rollback. Staging cannot be considered production-like if it bypasses the controls most likely to cause production deployment failures.</w:t>
      </w:r>
    </w:p>
    <w:bookmarkEnd w:id="57"/>
    <w:bookmarkStart w:id="58" w:name="production-environment"/>
    <w:p>
      <w:pPr>
        <w:pStyle w:val="Heading2"/>
        <w:keepNext/>
        <w:pageBreakBefore w:val="0"/>
      </w:pPr>
      <w:r>
        <w:t xml:space="preserve">3.7 Production environment</w:t>
      </w:r>
    </w:p>
    <w:p>
      <w:pPr>
        <w:pStyle w:val="FirstParagraph"/>
      </w:pPr>
      <w:r>
        <w:t xml:space="preserve">Production projects require named service ownership, support tier, SLOs, runbooks, capacity plan, DR classification and a reviewed exception register. Production IAM is granted through automation or time-bound entitlements. Production networks use private access and controlled egress. Public exposure is implemented only through approved edge projects, load balancers and Cloud Armor policies.</w:t>
      </w:r>
    </w:p>
    <w:p>
      <w:pPr>
        <w:pStyle w:val="BodyText"/>
      </w:pPr>
      <w:r>
        <w:t xml:space="preserve">Changes require an approved plan, automated tests and post-deployment validation. Emergency changes are allowed only through break-glass procedures and must be reconciled into source control after the incident.</w:t>
      </w:r>
    </w:p>
    <w:bookmarkEnd w:id="58"/>
    <w:bookmarkStart w:id="59" w:name="sandbox-environment"/>
    <w:p>
      <w:pPr>
        <w:pStyle w:val="Heading2"/>
        <w:keepNext/>
        <w:pageBreakBefore w:val="0"/>
      </w:pPr>
      <w:r>
        <w:t xml:space="preserve">3.8 Sandbox environment</w:t>
      </w:r>
    </w:p>
    <w:p>
      <w:pPr>
        <w:pStyle w:val="FirstParagraph"/>
      </w:pPr>
      <w:r>
        <w:t xml:space="preserve">Sandbox projects are isolated from production networks and restricted data. They use low budgets, restrictive quotas and automatic expiration. The sandbox is not a route around architecture governance: it is a safe place to learn, test APIs and evaluate services with public, synthetic or explicitly approved data.</w:t>
      </w:r>
    </w:p>
    <w:p>
      <w:pPr>
        <w:pStyle w:val="BodyText"/>
      </w:pPr>
      <w:r>
        <w:t xml:space="preserve">Mandatory sandbox controls include:</w:t>
      </w:r>
    </w:p>
    <w:p>
      <w:pPr>
        <w:pStyle w:val="Compact"/>
        <w:numPr>
          <w:ilvl w:val="0"/>
          <w:numId w:val="1004"/>
        </w:numPr>
      </w:pPr>
      <w:r>
        <w:t xml:space="preserve">Dedicated sandbox folders and projects.</w:t>
      </w:r>
    </w:p>
    <w:p>
      <w:pPr>
        <w:pStyle w:val="Compact"/>
        <w:numPr>
          <w:ilvl w:val="0"/>
          <w:numId w:val="1004"/>
        </w:numPr>
      </w:pPr>
      <w:r>
        <w:t xml:space="preserve">No production or restricted datasets.</w:t>
      </w:r>
    </w:p>
    <w:p>
      <w:pPr>
        <w:pStyle w:val="Compact"/>
        <w:numPr>
          <w:ilvl w:val="0"/>
          <w:numId w:val="1004"/>
        </w:numPr>
      </w:pPr>
      <w:r>
        <w:t xml:space="preserve">No service-account keys or broad external identities.</w:t>
      </w:r>
    </w:p>
    <w:p>
      <w:pPr>
        <w:pStyle w:val="Compact"/>
        <w:numPr>
          <w:ilvl w:val="0"/>
          <w:numId w:val="1004"/>
        </w:numPr>
      </w:pPr>
      <w:r>
        <w:t xml:space="preserve">No direct connectivity to production networks.</w:t>
      </w:r>
    </w:p>
    <w:p>
      <w:pPr>
        <w:pStyle w:val="Compact"/>
        <w:numPr>
          <w:ilvl w:val="0"/>
          <w:numId w:val="1004"/>
        </w:numPr>
      </w:pPr>
      <w:r>
        <w:t xml:space="preserve">Budget alerts and automatic cleanup.</w:t>
      </w:r>
    </w:p>
    <w:p>
      <w:pPr>
        <w:pStyle w:val="Compact"/>
        <w:numPr>
          <w:ilvl w:val="0"/>
          <w:numId w:val="1004"/>
        </w:numPr>
      </w:pPr>
      <w:r>
        <w:t xml:space="preserve">A maximum lifetime unless renewed by an owner.</w:t>
      </w:r>
    </w:p>
    <w:bookmarkEnd w:id="59"/>
    <w:bookmarkEnd w:id="60"/>
    <w:bookmarkStart w:id="99" w:name="enterprise-network-architecture"/>
    <w:p>
      <w:pPr>
        <w:pStyle w:val="Heading1"/>
        <w:keepNext/>
        <w:pageBreakBefore w:val="0"/>
      </w:pPr>
      <w:r>
        <w:t xml:space="preserve">4. Enterprise Network Architecture</w:t>
      </w:r>
    </w:p>
    <w:p>
      <w:pPr>
        <w:pStyle w:val="FirstParagraph"/>
      </w:pPr>
      <w:r>
        <w:t xml:space="preserve">The network architecture centralizes routing, policy, private service access and hybrid connectivity while allowing service projects to retain workload ownership. The baseline uses Shared VPC host projects per environment and geography, service projects for workloads, global dynamic routing where appropriate, centralized DNS and private endpoints for Google APIs. A connectivity hub provides controlled reachability between on-premises, multi-cloud and environment spokes.</w:t>
      </w:r>
    </w:p>
    <w:bookmarkStart w:id="64" w:name="shared-vpc-design"/>
    <w:p>
      <w:pPr>
        <w:pStyle w:val="Heading2"/>
        <w:keepNext/>
        <w:pageBreakBefore w:val="0"/>
      </w:pPr>
      <w:r>
        <w:t xml:space="preserve">4.1 Shared VPC design</w:t>
      </w:r>
    </w:p>
    <w:p>
      <w:pPr>
        <w:pStyle w:val="CaptionedFigure"/>
      </w:pPr>
      <w:r>
        <w:drawing>
          <wp:inline>
            <wp:extent cx="6129020" cy="2199847"/>
            <wp:effectExtent b="0" l="0" r="0" t="0"/>
            <wp:docPr descr="Shared VPC design" title="" id="62" name="Picture"/>
            <a:graphic>
              <a:graphicData uri="http://schemas.openxmlformats.org/drawingml/2006/picture">
                <pic:pic>
                  <pic:nvPicPr>
                    <pic:cNvPr descr="/mnt/data/Volume_02_Google_Cloud_Landing_Zone_Package/diagrams/03_shared_vpc.png" id="63" name="Picture"/>
                    <pic:cNvPicPr>
                      <a:picLocks noChangeArrowheads="1" noChangeAspect="1"/>
                    </pic:cNvPicPr>
                  </pic:nvPicPr>
                  <pic:blipFill>
                    <a:blip r:embed="rId61"/>
                    <a:stretch>
                      <a:fillRect/>
                    </a:stretch>
                  </pic:blipFill>
                  <pic:spPr bwMode="auto">
                    <a:xfrm>
                      <a:off x="0" y="0"/>
                      <a:ext cx="6129020" cy="2199847"/>
                    </a:xfrm>
                    <a:prstGeom prst="rect">
                      <a:avLst/>
                    </a:prstGeom>
                    <a:noFill/>
                    <a:ln w="9525">
                      <a:noFill/>
                      <a:headEnd/>
                      <a:tailEnd/>
                    </a:ln>
                  </pic:spPr>
                </pic:pic>
              </a:graphicData>
            </a:graphic>
          </wp:inline>
        </w:drawing>
      </w:r>
    </w:p>
    <w:p>
      <w:pPr>
        <w:pStyle w:val="ImageCaption"/>
      </w:pPr>
      <w:r>
        <w:t xml:space="preserve">Shared VPC design</w:t>
      </w:r>
    </w:p>
    <w:p>
      <w:pPr>
        <w:pStyle w:val="BodyText"/>
      </w:pPr>
      <w:r>
        <w:t xml:space="preserve">Shared VPC separates network administration from workload administration. Network teams own networks, subnets, routes, firewall policies, DNS and private endpoints in host projects. Workload teams deploy resources in service projects and receive</w:t>
      </w:r>
      <w:r>
        <w:t xml:space="preserve"> </w:t>
      </w:r>
      <w:r>
        <w:rPr>
          <w:rStyle w:val="VerbatimChar"/>
        </w:rPr>
        <w:t xml:space="preserve">compute.networkUser</w:t>
      </w:r>
      <w:r>
        <w:t xml:space="preserve"> </w:t>
      </w:r>
      <w:r>
        <w:t xml:space="preserve">only on approved subnets. Subnet-level grants are preferred over host-project-wide grants because they limit future access as networks expand.</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Design element</w:t>
            </w:r>
          </w:p>
        </w:tc>
        <w:tc>
          <w:tcPr>
            <w:vAlign w:val="center"/>
            <w:tcMar>
              <w:top w:w="70" w:type="dxa"/>
              <w:left w:w="85" w:type="dxa"/>
              <w:bottom w:w="70" w:type="dxa"/>
              <w:right w:w="85" w:type="dxa"/>
            </w:tcMar>
          </w:tcPr>
          <w:p>
            <w:pPr>
              <w:spacing w:after="30" w:before="0"/>
              <w:jc w:val="left"/>
            </w:pPr>
            <w:r>
              <w:rPr>
                <w:rFonts w:ascii="Arial" w:hAnsi="Arial"/>
                <w:b/>
                <w:sz w:val="16"/>
              </w:rPr>
              <w:t xml:space="preserve">Baseline decision</w:t>
            </w:r>
          </w:p>
        </w:tc>
        <w:tc>
          <w:tcPr>
            <w:vAlign w:val="center"/>
            <w:tcMar>
              <w:top w:w="70" w:type="dxa"/>
              <w:left w:w="85" w:type="dxa"/>
              <w:bottom w:w="70" w:type="dxa"/>
              <w:right w:w="85" w:type="dxa"/>
            </w:tcMar>
          </w:tcPr>
          <w:p>
            <w:pPr>
              <w:spacing w:after="30" w:before="0"/>
              <w:jc w:val="left"/>
            </w:pPr>
            <w:r>
              <w:rPr>
                <w:rFonts w:ascii="Arial" w:hAnsi="Arial"/>
                <w:b/>
                <w:sz w:val="16"/>
              </w:rPr>
              <w:t xml:space="preserve">Rationale</w:t>
            </w:r>
          </w:p>
        </w:tc>
        <w:tc>
          <w:tcPr>
            <w:vAlign w:val="center"/>
            <w:tcMar>
              <w:top w:w="70" w:type="dxa"/>
              <w:left w:w="85" w:type="dxa"/>
              <w:bottom w:w="70" w:type="dxa"/>
              <w:right w:w="85" w:type="dxa"/>
            </w:tcMar>
          </w:tcPr>
          <w:p>
            <w:pPr>
              <w:spacing w:after="30" w:before="0"/>
              <w:jc w:val="left"/>
            </w:pPr>
            <w:r>
              <w:rPr>
                <w:rFonts w:ascii="Arial" w:hAnsi="Arial"/>
                <w:b/>
                <w:sz w:val="16"/>
              </w:rPr>
              <w:t xml:space="preserve">Exception trigger</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Host-project count</w:t>
            </w:r>
          </w:p>
        </w:tc>
        <w:tc>
          <w:tcPr>
            <w:vAlign w:val="center"/>
            <w:tcMar>
              <w:top w:w="70" w:type="dxa"/>
              <w:left w:w="85" w:type="dxa"/>
              <w:bottom w:w="70" w:type="dxa"/>
              <w:right w:w="85" w:type="dxa"/>
            </w:tcMar>
          </w:tcPr>
          <w:p>
            <w:pPr>
              <w:spacing w:after="30" w:before="0"/>
              <w:jc w:val="left"/>
            </w:pPr>
            <w:r>
              <w:rPr>
                <w:rFonts w:ascii="Arial" w:hAnsi="Arial"/>
                <w:sz w:val="16"/>
              </w:rPr>
              <w:t xml:space="preserve">One host project per environment and regulatory geography</w:t>
            </w:r>
          </w:p>
        </w:tc>
        <w:tc>
          <w:tcPr>
            <w:vAlign w:val="center"/>
            <w:tcMar>
              <w:top w:w="70" w:type="dxa"/>
              <w:left w:w="85" w:type="dxa"/>
              <w:bottom w:w="70" w:type="dxa"/>
              <w:right w:w="85" w:type="dxa"/>
            </w:tcMar>
          </w:tcPr>
          <w:p>
            <w:pPr>
              <w:spacing w:after="30" w:before="0"/>
              <w:jc w:val="left"/>
            </w:pPr>
            <w:r>
              <w:rPr>
                <w:rFonts w:ascii="Arial" w:hAnsi="Arial"/>
                <w:sz w:val="16"/>
              </w:rPr>
              <w:t xml:space="preserve">Limits blast radius and residency complexity while preserving central control</w:t>
            </w:r>
          </w:p>
        </w:tc>
        <w:tc>
          <w:tcPr>
            <w:vAlign w:val="center"/>
            <w:tcMar>
              <w:top w:w="70" w:type="dxa"/>
              <w:left w:w="85" w:type="dxa"/>
              <w:bottom w:w="70" w:type="dxa"/>
              <w:right w:w="85" w:type="dxa"/>
            </w:tcMar>
          </w:tcPr>
          <w:p>
            <w:pPr>
              <w:spacing w:after="30" w:before="0"/>
              <w:jc w:val="left"/>
            </w:pPr>
            <w:r>
              <w:rPr>
                <w:rFonts w:ascii="Arial" w:hAnsi="Arial"/>
                <w:sz w:val="16"/>
              </w:rPr>
              <w:t xml:space="preserve">Very small geography with no regulated workloads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Network count</w:t>
            </w:r>
          </w:p>
        </w:tc>
        <w:tc>
          <w:tcPr>
            <w:vAlign w:val="center"/>
            <w:tcMar>
              <w:top w:w="70" w:type="dxa"/>
              <w:left w:w="85" w:type="dxa"/>
              <w:bottom w:w="70" w:type="dxa"/>
              <w:right w:w="85" w:type="dxa"/>
            </w:tcMar>
          </w:tcPr>
          <w:p>
            <w:pPr>
              <w:spacing w:after="30" w:before="0"/>
              <w:jc w:val="left"/>
            </w:pPr>
            <w:r>
              <w:rPr>
                <w:rFonts w:ascii="Arial" w:hAnsi="Arial"/>
                <w:sz w:val="16"/>
              </w:rPr>
              <w:t xml:space="preserve">One primary custom-mode VPC per host project; additional restricted VPC only when isolation requires it</w:t>
            </w:r>
          </w:p>
        </w:tc>
        <w:tc>
          <w:tcPr>
            <w:vAlign w:val="center"/>
            <w:tcMar>
              <w:top w:w="70" w:type="dxa"/>
              <w:left w:w="85" w:type="dxa"/>
              <w:bottom w:w="70" w:type="dxa"/>
              <w:right w:w="85" w:type="dxa"/>
            </w:tcMar>
          </w:tcPr>
          <w:p>
            <w:pPr>
              <w:spacing w:after="30" w:before="0"/>
              <w:jc w:val="left"/>
            </w:pPr>
            <w:r>
              <w:rPr>
                <w:rFonts w:ascii="Arial" w:hAnsi="Arial"/>
                <w:sz w:val="16"/>
              </w:rPr>
              <w:t xml:space="preserve">Reduces route and policy complexity</w:t>
            </w:r>
          </w:p>
        </w:tc>
        <w:tc>
          <w:tcPr>
            <w:vAlign w:val="center"/>
            <w:tcMar>
              <w:top w:w="70" w:type="dxa"/>
              <w:left w:w="85" w:type="dxa"/>
              <w:bottom w:w="70" w:type="dxa"/>
              <w:right w:w="85" w:type="dxa"/>
            </w:tcMar>
          </w:tcPr>
          <w:p>
            <w:pPr>
              <w:spacing w:after="30" w:before="0"/>
              <w:jc w:val="left"/>
            </w:pPr>
            <w:r>
              <w:rPr>
                <w:rFonts w:ascii="Arial" w:hAnsi="Arial"/>
                <w:sz w:val="16"/>
              </w:rPr>
              <w:t xml:space="preserve">Distinct trust zone or incompatible routing requirements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Service projects</w:t>
            </w:r>
          </w:p>
        </w:tc>
        <w:tc>
          <w:tcPr>
            <w:vAlign w:val="center"/>
            <w:tcMar>
              <w:top w:w="70" w:type="dxa"/>
              <w:left w:w="85" w:type="dxa"/>
              <w:bottom w:w="70" w:type="dxa"/>
              <w:right w:w="85" w:type="dxa"/>
            </w:tcMar>
          </w:tcPr>
          <w:p>
            <w:pPr>
              <w:spacing w:after="30" w:before="0"/>
              <w:jc w:val="left"/>
            </w:pPr>
            <w:r>
              <w:rPr>
                <w:rFonts w:ascii="Arial" w:hAnsi="Arial"/>
                <w:sz w:val="16"/>
              </w:rPr>
              <w:t xml:space="preserve">Separate by domain, application, environment and material security class</w:t>
            </w:r>
          </w:p>
        </w:tc>
        <w:tc>
          <w:tcPr>
            <w:vAlign w:val="center"/>
            <w:tcMar>
              <w:top w:w="70" w:type="dxa"/>
              <w:left w:w="85" w:type="dxa"/>
              <w:bottom w:w="70" w:type="dxa"/>
              <w:right w:w="85" w:type="dxa"/>
            </w:tcMar>
          </w:tcPr>
          <w:p>
            <w:pPr>
              <w:spacing w:after="30" w:before="0"/>
              <w:jc w:val="left"/>
            </w:pPr>
            <w:r>
              <w:rPr>
                <w:rFonts w:ascii="Arial" w:hAnsi="Arial"/>
                <w:sz w:val="16"/>
              </w:rPr>
              <w:t xml:space="preserve">Preserves IAM, quota and cost boundaries</w:t>
            </w:r>
          </w:p>
        </w:tc>
        <w:tc>
          <w:tcPr>
            <w:vAlign w:val="center"/>
            <w:tcMar>
              <w:top w:w="70" w:type="dxa"/>
              <w:left w:w="85" w:type="dxa"/>
              <w:bottom w:w="70" w:type="dxa"/>
              <w:right w:w="85" w:type="dxa"/>
            </w:tcMar>
          </w:tcPr>
          <w:p>
            <w:pPr>
              <w:spacing w:after="30" w:before="0"/>
              <w:jc w:val="left"/>
            </w:pPr>
            <w:r>
              <w:rPr>
                <w:rFonts w:ascii="Arial" w:hAnsi="Arial"/>
                <w:sz w:val="16"/>
              </w:rPr>
              <w:t xml:space="preserve">Tiny tightly coupled components with the same owner and lifecycle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Subnet IAM</w:t>
            </w:r>
          </w:p>
        </w:tc>
        <w:tc>
          <w:tcPr>
            <w:vAlign w:val="center"/>
            <w:tcMar>
              <w:top w:w="70" w:type="dxa"/>
              <w:left w:w="85" w:type="dxa"/>
              <w:bottom w:w="70" w:type="dxa"/>
              <w:right w:w="85" w:type="dxa"/>
            </w:tcMar>
          </w:tcPr>
          <w:p>
            <w:pPr>
              <w:spacing w:after="30" w:before="0"/>
              <w:jc w:val="left"/>
            </w:pPr>
            <w:r>
              <w:rPr>
                <w:rFonts w:ascii="Arial" w:hAnsi="Arial"/>
                <w:sz w:val="16"/>
              </w:rPr>
              <w:t xml:space="preserve">Grant network user at subnet level</w:t>
            </w:r>
          </w:p>
        </w:tc>
        <w:tc>
          <w:tcPr>
            <w:vAlign w:val="center"/>
            <w:tcMar>
              <w:top w:w="70" w:type="dxa"/>
              <w:left w:w="85" w:type="dxa"/>
              <w:bottom w:w="70" w:type="dxa"/>
              <w:right w:w="85" w:type="dxa"/>
            </w:tcMar>
          </w:tcPr>
          <w:p>
            <w:pPr>
              <w:spacing w:after="30" w:before="0"/>
              <w:jc w:val="left"/>
            </w:pPr>
            <w:r>
              <w:rPr>
                <w:rFonts w:ascii="Arial" w:hAnsi="Arial"/>
                <w:sz w:val="16"/>
              </w:rPr>
              <w:t xml:space="preserve">Least privilege and predictable future access</w:t>
            </w:r>
          </w:p>
        </w:tc>
        <w:tc>
          <w:tcPr>
            <w:vAlign w:val="center"/>
            <w:tcMar>
              <w:top w:w="70" w:type="dxa"/>
              <w:left w:w="85" w:type="dxa"/>
              <w:bottom w:w="70" w:type="dxa"/>
              <w:right w:w="85" w:type="dxa"/>
            </w:tcMar>
          </w:tcPr>
          <w:p>
            <w:pPr>
              <w:spacing w:after="30" w:before="0"/>
              <w:jc w:val="left"/>
            </w:pPr>
            <w:r>
              <w:rPr>
                <w:rFonts w:ascii="Arial" w:hAnsi="Arial"/>
                <w:sz w:val="16"/>
              </w:rPr>
              <w:t xml:space="preserve">Platform service requiring every subnet in a host project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Default network</w:t>
            </w:r>
          </w:p>
        </w:tc>
        <w:tc>
          <w:tcPr>
            <w:vAlign w:val="center"/>
            <w:tcMar>
              <w:top w:w="70" w:type="dxa"/>
              <w:left w:w="85" w:type="dxa"/>
              <w:bottom w:w="70" w:type="dxa"/>
              <w:right w:w="85" w:type="dxa"/>
            </w:tcMar>
          </w:tcPr>
          <w:p>
            <w:pPr>
              <w:spacing w:after="30" w:before="0"/>
              <w:jc w:val="left"/>
            </w:pPr>
            <w:r>
              <w:rPr>
                <w:rFonts w:ascii="Arial" w:hAnsi="Arial"/>
                <w:sz w:val="16"/>
              </w:rPr>
              <w:t xml:space="preserve">Do not create or retain default networks</w:t>
            </w:r>
          </w:p>
        </w:tc>
        <w:tc>
          <w:tcPr>
            <w:vAlign w:val="center"/>
            <w:tcMar>
              <w:top w:w="70" w:type="dxa"/>
              <w:left w:w="85" w:type="dxa"/>
              <w:bottom w:w="70" w:type="dxa"/>
              <w:right w:w="85" w:type="dxa"/>
            </w:tcMar>
          </w:tcPr>
          <w:p>
            <w:pPr>
              <w:spacing w:after="30" w:before="0"/>
              <w:jc w:val="left"/>
            </w:pPr>
            <w:r>
              <w:rPr>
                <w:rFonts w:ascii="Arial" w:hAnsi="Arial"/>
                <w:sz w:val="16"/>
              </w:rPr>
              <w:t xml:space="preserve">Avoids permissive defaults and unmanaged topology</w:t>
            </w:r>
          </w:p>
        </w:tc>
        <w:tc>
          <w:tcPr>
            <w:vAlign w:val="center"/>
            <w:tcMar>
              <w:top w:w="70" w:type="dxa"/>
              <w:left w:w="85" w:type="dxa"/>
              <w:bottom w:w="70" w:type="dxa"/>
              <w:right w:w="85" w:type="dxa"/>
            </w:tcMar>
          </w:tcPr>
          <w:p>
            <w:pPr>
              <w:spacing w:after="30" w:before="0"/>
              <w:jc w:val="left"/>
            </w:pPr>
            <w:r>
              <w:rPr>
                <w:rFonts w:ascii="Arial" w:hAnsi="Arial"/>
                <w:sz w:val="16"/>
              </w:rPr>
              <w:t xml:space="preserve">None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Routing mode</w:t>
            </w:r>
          </w:p>
        </w:tc>
        <w:tc>
          <w:tcPr>
            <w:vAlign w:val="center"/>
            <w:tcMar>
              <w:top w:w="70" w:type="dxa"/>
              <w:left w:w="85" w:type="dxa"/>
              <w:bottom w:w="70" w:type="dxa"/>
              <w:right w:w="85" w:type="dxa"/>
            </w:tcMar>
          </w:tcPr>
          <w:p>
            <w:pPr>
              <w:spacing w:after="30" w:before="0"/>
              <w:jc w:val="left"/>
            </w:pPr>
            <w:r>
              <w:rPr>
                <w:rFonts w:ascii="Arial" w:hAnsi="Arial"/>
                <w:sz w:val="16"/>
              </w:rPr>
              <w:t xml:space="preserve">Global for enterprise connected networks and regional for isolated local networks</w:t>
            </w:r>
          </w:p>
        </w:tc>
        <w:tc>
          <w:tcPr>
            <w:vAlign w:val="center"/>
            <w:tcMar>
              <w:top w:w="70" w:type="dxa"/>
              <w:left w:w="85" w:type="dxa"/>
              <w:bottom w:w="70" w:type="dxa"/>
              <w:right w:w="85" w:type="dxa"/>
            </w:tcMar>
          </w:tcPr>
          <w:p>
            <w:pPr>
              <w:spacing w:after="30" w:before="0"/>
              <w:jc w:val="left"/>
            </w:pPr>
            <w:r>
              <w:rPr>
                <w:rFonts w:ascii="Arial" w:hAnsi="Arial"/>
                <w:sz w:val="16"/>
              </w:rPr>
              <w:t xml:space="preserve">Enables predictable multi-region route propagation</w:t>
            </w:r>
          </w:p>
        </w:tc>
        <w:tc>
          <w:tcPr>
            <w:vAlign w:val="center"/>
            <w:tcMar>
              <w:top w:w="70" w:type="dxa"/>
              <w:left w:w="85" w:type="dxa"/>
              <w:bottom w:w="70" w:type="dxa"/>
              <w:right w:w="85" w:type="dxa"/>
            </w:tcMar>
          </w:tcPr>
          <w:p>
            <w:pPr>
              <w:spacing w:after="30" w:before="0"/>
              <w:jc w:val="left"/>
            </w:pPr>
            <w:r>
              <w:rPr>
                <w:rFonts w:ascii="Arial" w:hAnsi="Arial"/>
                <w:sz w:val="16"/>
              </w:rPr>
              <w:t xml:space="preserve">Regulatory requirement to prevent inter-region routing</w:t>
            </w:r>
          </w:p>
        </w:tc>
      </w:tr>
    </w:tbl>
    <w:bookmarkEnd w:id="64"/>
    <w:bookmarkStart w:id="65" w:name="host-project-design"/>
    <w:p>
      <w:pPr>
        <w:pStyle w:val="Heading2"/>
        <w:keepNext/>
        <w:pageBreakBefore w:val="0"/>
      </w:pPr>
      <w:r>
        <w:t xml:space="preserve">4.2 Host-project design</w:t>
      </w:r>
    </w:p>
    <w:p>
      <w:pPr>
        <w:pStyle w:val="FirstParagraph"/>
      </w:pPr>
      <w:r>
        <w:t xml:space="preserve">Host projects contain only network control-plane resources and approved network appliances. They should not contain business applications, data processing jobs or user-managed compute. This separation prevents workload administrators from changing routing or firewall controls and keeps network lifecycle independent of service-project lifecycle.</w:t>
      </w:r>
    </w:p>
    <w:p>
      <w:pPr>
        <w:pStyle w:val="BodyText"/>
      </w:pPr>
      <w:r>
        <w:t xml:space="preserve">A host project contains:</w:t>
      </w:r>
    </w:p>
    <w:p>
      <w:pPr>
        <w:pStyle w:val="Compact"/>
        <w:numPr>
          <w:ilvl w:val="0"/>
          <w:numId w:val="1005"/>
        </w:numPr>
      </w:pPr>
      <w:r>
        <w:t xml:space="preserve">Shared VPC networks and regional subnets.</w:t>
      </w:r>
    </w:p>
    <w:p>
      <w:pPr>
        <w:pStyle w:val="Compact"/>
        <w:numPr>
          <w:ilvl w:val="0"/>
          <w:numId w:val="1005"/>
        </w:numPr>
      </w:pPr>
      <w:r>
        <w:t xml:space="preserve">Cloud Routers and dynamic routing configuration.</w:t>
      </w:r>
    </w:p>
    <w:p>
      <w:pPr>
        <w:pStyle w:val="Compact"/>
        <w:numPr>
          <w:ilvl w:val="0"/>
          <w:numId w:val="1005"/>
        </w:numPr>
      </w:pPr>
      <w:r>
        <w:t xml:space="preserve">Private Service Connect endpoints and service attachments owned by the network team.</w:t>
      </w:r>
    </w:p>
    <w:p>
      <w:pPr>
        <w:pStyle w:val="Compact"/>
        <w:numPr>
          <w:ilvl w:val="0"/>
          <w:numId w:val="1005"/>
        </w:numPr>
      </w:pPr>
      <w:r>
        <w:t xml:space="preserve">Cloud DNS policies, forwarding zones and private zones.</w:t>
      </w:r>
    </w:p>
    <w:p>
      <w:pPr>
        <w:pStyle w:val="Compact"/>
        <w:numPr>
          <w:ilvl w:val="0"/>
          <w:numId w:val="1005"/>
        </w:numPr>
      </w:pPr>
      <w:r>
        <w:t xml:space="preserve">Hierarchical and network firewall-policy associations.</w:t>
      </w:r>
    </w:p>
    <w:p>
      <w:pPr>
        <w:pStyle w:val="Compact"/>
        <w:numPr>
          <w:ilvl w:val="0"/>
          <w:numId w:val="1005"/>
        </w:numPr>
      </w:pPr>
      <w:r>
        <w:t xml:space="preserve">Cloud NAT gateways for approved egress.</w:t>
      </w:r>
    </w:p>
    <w:p>
      <w:pPr>
        <w:pStyle w:val="Compact"/>
        <w:numPr>
          <w:ilvl w:val="0"/>
          <w:numId w:val="1005"/>
        </w:numPr>
      </w:pPr>
      <w:r>
        <w:t xml:space="preserve">VPC Flow Logs and network telemetry settings.</w:t>
      </w:r>
    </w:p>
    <w:p>
      <w:pPr>
        <w:pStyle w:val="Compact"/>
        <w:numPr>
          <w:ilvl w:val="0"/>
          <w:numId w:val="1005"/>
        </w:numPr>
      </w:pPr>
      <w:r>
        <w:t xml:space="preserve">Proxy-only subnets required by supported managed load balancers.</w:t>
      </w:r>
    </w:p>
    <w:p>
      <w:pPr>
        <w:pStyle w:val="FirstParagraph"/>
      </w:pPr>
      <w:r>
        <w:t xml:space="preserve">Host projects must have a more restrictive IAM model than workload projects. Workload owners can request subnets and firewall intents through approved interfaces, but they do not receive permissions to change the host network directly.</w:t>
      </w:r>
    </w:p>
    <w:bookmarkEnd w:id="65"/>
    <w:bookmarkStart w:id="66" w:name="service-project-design"/>
    <w:p>
      <w:pPr>
        <w:pStyle w:val="Heading2"/>
        <w:keepNext/>
        <w:pageBreakBefore w:val="0"/>
      </w:pPr>
      <w:r>
        <w:t xml:space="preserve">4.3 Service-project design</w:t>
      </w:r>
    </w:p>
    <w:p>
      <w:pPr>
        <w:pStyle w:val="FirstParagraph"/>
      </w:pPr>
      <w:r>
        <w:t xml:space="preserve">A service project owns billable workload resources and remains the primary operational and cost boundary. It attaches to one Shared VPC host project for its environment and geography. The project factory enables only approved services, grants subnet access to required service agents, registers the project in monitoring and logging scopes, and places it inside a VPC Service Controls perimeter when required.</w:t>
      </w:r>
    </w:p>
    <w:p>
      <w:pPr>
        <w:pStyle w:val="BodyText"/>
      </w:pPr>
      <w:r>
        <w:t xml:space="preserve">A service project can use its own standalone VPC only when isolation, service compatibility or legal requirements cannot be met through the approved Shared VPC pattern. Standalone networks must still use central IPAM, logging, DNS, private access, firewall and connectivity standards.</w:t>
      </w:r>
    </w:p>
    <w:bookmarkEnd w:id="66"/>
    <w:bookmarkStart w:id="68" w:name="ip-addressing-strategy"/>
    <w:p>
      <w:pPr>
        <w:pStyle w:val="Heading2"/>
        <w:keepNext/>
        <w:pageBreakBefore w:val="0"/>
      </w:pPr>
      <w:r>
        <w:t xml:space="preserve">4.4 IP-addressing strategy</w:t>
      </w:r>
    </w:p>
    <w:p>
      <w:pPr>
        <w:pStyle w:val="FirstParagraph"/>
      </w:pPr>
      <w:r>
        <w:t xml:space="preserve">Address space is allocated from enterprise IPAM and remains non-overlapping with on-premises and other clouds. Contiguous blocks are reserved by geography and environment so routes can be summarized. Secondary ranges are allocated only for services that require them and are sized based on measured growth.</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Allocation</w:t>
            </w:r>
          </w:p>
        </w:tc>
        <w:tc>
          <w:tcPr>
            <w:vAlign w:val="center"/>
            <w:tcMar>
              <w:top w:w="70" w:type="dxa"/>
              <w:left w:w="85" w:type="dxa"/>
              <w:bottom w:w="70" w:type="dxa"/>
              <w:right w:w="85" w:type="dxa"/>
            </w:tcMar>
          </w:tcPr>
          <w:p>
            <w:pPr>
              <w:spacing w:after="30" w:before="0"/>
              <w:jc w:val="left"/>
            </w:pPr>
            <w:r>
              <w:rPr>
                <w:rFonts w:ascii="Arial" w:hAnsi="Arial"/>
                <w:b/>
                <w:sz w:val="16"/>
              </w:rPr>
              <w:t xml:space="preserve">Enterprise block</w:t>
            </w:r>
          </w:p>
        </w:tc>
        <w:tc>
          <w:tcPr>
            <w:vAlign w:val="center"/>
            <w:tcMar>
              <w:top w:w="70" w:type="dxa"/>
              <w:left w:w="85" w:type="dxa"/>
              <w:bottom w:w="70" w:type="dxa"/>
              <w:right w:w="85" w:type="dxa"/>
            </w:tcMar>
          </w:tcPr>
          <w:p>
            <w:pPr>
              <w:spacing w:after="30" w:before="0"/>
              <w:jc w:val="left"/>
            </w:pPr>
            <w:r>
              <w:rPr>
                <w:rFonts w:ascii="Arial" w:hAnsi="Arial"/>
                <w:b/>
                <w:sz w:val="16"/>
              </w:rPr>
              <w:t xml:space="preserve">Typical regional allocation</w:t>
            </w:r>
          </w:p>
        </w:tc>
        <w:tc>
          <w:tcPr>
            <w:vAlign w:val="center"/>
            <w:tcMar>
              <w:top w:w="70" w:type="dxa"/>
              <w:left w:w="85" w:type="dxa"/>
              <w:bottom w:w="70" w:type="dxa"/>
              <w:right w:w="85" w:type="dxa"/>
            </w:tcMar>
          </w:tcPr>
          <w:p>
            <w:pPr>
              <w:spacing w:after="30" w:before="0"/>
              <w:jc w:val="left"/>
            </w:pPr>
            <w:r>
              <w:rPr>
                <w:rFonts w:ascii="Arial" w:hAnsi="Arial"/>
                <w:b/>
                <w:sz w:val="16"/>
              </w:rPr>
              <w:t xml:space="preserve">Use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AMER production</w:t>
            </w:r>
          </w:p>
        </w:tc>
        <w:tc>
          <w:tcPr>
            <w:vAlign w:val="center"/>
            <w:tcMar>
              <w:top w:w="70" w:type="dxa"/>
              <w:left w:w="85" w:type="dxa"/>
              <w:bottom w:w="70" w:type="dxa"/>
              <w:right w:w="85" w:type="dxa"/>
            </w:tcMar>
          </w:tcPr>
          <w:p>
            <w:pPr>
              <w:spacing w:after="30" w:before="0"/>
              <w:jc w:val="left"/>
            </w:pPr>
            <w:r>
              <w:rPr>
                <w:rFonts w:ascii="Arial" w:hAnsi="Arial"/>
                <w:sz w:val="16"/>
              </w:rPr>
              <w:t xml:space="preserve">10.16.0.0/12</w:t>
            </w:r>
          </w:p>
        </w:tc>
        <w:tc>
          <w:tcPr>
            <w:vAlign w:val="center"/>
            <w:tcMar>
              <w:top w:w="70" w:type="dxa"/>
              <w:left w:w="85" w:type="dxa"/>
              <w:bottom w:w="70" w:type="dxa"/>
              <w:right w:w="85" w:type="dxa"/>
            </w:tcMar>
          </w:tcPr>
          <w:p>
            <w:pPr>
              <w:spacing w:after="30" w:before="0"/>
              <w:jc w:val="left"/>
            </w:pPr>
            <w:r>
              <w:rPr>
                <w:rFonts w:ascii="Arial" w:hAnsi="Arial"/>
                <w:sz w:val="16"/>
              </w:rPr>
              <w:t xml:space="preserve">10.16.0.0/16 per region</w:t>
            </w:r>
          </w:p>
        </w:tc>
        <w:tc>
          <w:tcPr>
            <w:vAlign w:val="center"/>
            <w:tcMar>
              <w:top w:w="70" w:type="dxa"/>
              <w:left w:w="85" w:type="dxa"/>
              <w:bottom w:w="70" w:type="dxa"/>
              <w:right w:w="85" w:type="dxa"/>
            </w:tcMar>
          </w:tcPr>
          <w:p>
            <w:pPr>
              <w:spacing w:after="30" w:before="0"/>
              <w:jc w:val="left"/>
            </w:pPr>
            <w:r>
              <w:rPr>
                <w:rFonts w:ascii="Arial" w:hAnsi="Arial"/>
                <w:sz w:val="16"/>
              </w:rPr>
              <w:t xml:space="preserve">Regional platform, data, application and restricted subnets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EMEA production</w:t>
            </w:r>
          </w:p>
        </w:tc>
        <w:tc>
          <w:tcPr>
            <w:vAlign w:val="center"/>
            <w:tcMar>
              <w:top w:w="70" w:type="dxa"/>
              <w:left w:w="85" w:type="dxa"/>
              <w:bottom w:w="70" w:type="dxa"/>
              <w:right w:w="85" w:type="dxa"/>
            </w:tcMar>
          </w:tcPr>
          <w:p>
            <w:pPr>
              <w:spacing w:after="30" w:before="0"/>
              <w:jc w:val="left"/>
            </w:pPr>
            <w:r>
              <w:rPr>
                <w:rFonts w:ascii="Arial" w:hAnsi="Arial"/>
                <w:sz w:val="16"/>
              </w:rPr>
              <w:t xml:space="preserve">10.32.0.0/12</w:t>
            </w:r>
          </w:p>
        </w:tc>
        <w:tc>
          <w:tcPr>
            <w:vAlign w:val="center"/>
            <w:tcMar>
              <w:top w:w="70" w:type="dxa"/>
              <w:left w:w="85" w:type="dxa"/>
              <w:bottom w:w="70" w:type="dxa"/>
              <w:right w:w="85" w:type="dxa"/>
            </w:tcMar>
          </w:tcPr>
          <w:p>
            <w:pPr>
              <w:spacing w:after="30" w:before="0"/>
              <w:jc w:val="left"/>
            </w:pPr>
            <w:r>
              <w:rPr>
                <w:rFonts w:ascii="Arial" w:hAnsi="Arial"/>
                <w:sz w:val="16"/>
              </w:rPr>
              <w:t xml:space="preserve">10.32.0.0/16 per region</w:t>
            </w:r>
          </w:p>
        </w:tc>
        <w:tc>
          <w:tcPr>
            <w:vAlign w:val="center"/>
            <w:tcMar>
              <w:top w:w="70" w:type="dxa"/>
              <w:left w:w="85" w:type="dxa"/>
              <w:bottom w:w="70" w:type="dxa"/>
              <w:right w:w="85" w:type="dxa"/>
            </w:tcMar>
          </w:tcPr>
          <w:p>
            <w:pPr>
              <w:spacing w:after="30" w:before="0"/>
              <w:jc w:val="left"/>
            </w:pPr>
            <w:r>
              <w:rPr>
                <w:rFonts w:ascii="Arial" w:hAnsi="Arial"/>
                <w:sz w:val="16"/>
              </w:rPr>
              <w:t xml:space="preserve">Residency-aligned workloads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APAC production</w:t>
            </w:r>
          </w:p>
        </w:tc>
        <w:tc>
          <w:tcPr>
            <w:vAlign w:val="center"/>
            <w:tcMar>
              <w:top w:w="70" w:type="dxa"/>
              <w:left w:w="85" w:type="dxa"/>
              <w:bottom w:w="70" w:type="dxa"/>
              <w:right w:w="85" w:type="dxa"/>
            </w:tcMar>
          </w:tcPr>
          <w:p>
            <w:pPr>
              <w:spacing w:after="30" w:before="0"/>
              <w:jc w:val="left"/>
            </w:pPr>
            <w:r>
              <w:rPr>
                <w:rFonts w:ascii="Arial" w:hAnsi="Arial"/>
                <w:sz w:val="16"/>
              </w:rPr>
              <w:t xml:space="preserve">10.48.0.0/12</w:t>
            </w:r>
          </w:p>
        </w:tc>
        <w:tc>
          <w:tcPr>
            <w:vAlign w:val="center"/>
            <w:tcMar>
              <w:top w:w="70" w:type="dxa"/>
              <w:left w:w="85" w:type="dxa"/>
              <w:bottom w:w="70" w:type="dxa"/>
              <w:right w:w="85" w:type="dxa"/>
            </w:tcMar>
          </w:tcPr>
          <w:p>
            <w:pPr>
              <w:spacing w:after="30" w:before="0"/>
              <w:jc w:val="left"/>
            </w:pPr>
            <w:r>
              <w:rPr>
                <w:rFonts w:ascii="Arial" w:hAnsi="Arial"/>
                <w:sz w:val="16"/>
              </w:rPr>
              <w:t xml:space="preserve">10.48.0.0/16 per region</w:t>
            </w:r>
          </w:p>
        </w:tc>
        <w:tc>
          <w:tcPr>
            <w:vAlign w:val="center"/>
            <w:tcMar>
              <w:top w:w="70" w:type="dxa"/>
              <w:left w:w="85" w:type="dxa"/>
              <w:bottom w:w="70" w:type="dxa"/>
              <w:right w:w="85" w:type="dxa"/>
            </w:tcMar>
          </w:tcPr>
          <w:p>
            <w:pPr>
              <w:spacing w:after="30" w:before="0"/>
              <w:jc w:val="left"/>
            </w:pPr>
            <w:r>
              <w:rPr>
                <w:rFonts w:ascii="Arial" w:hAnsi="Arial"/>
                <w:sz w:val="16"/>
              </w:rPr>
              <w:t xml:space="preserve">Residency-aligned workloads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Global non-production</w:t>
            </w:r>
          </w:p>
        </w:tc>
        <w:tc>
          <w:tcPr>
            <w:vAlign w:val="center"/>
            <w:tcMar>
              <w:top w:w="70" w:type="dxa"/>
              <w:left w:w="85" w:type="dxa"/>
              <w:bottom w:w="70" w:type="dxa"/>
              <w:right w:w="85" w:type="dxa"/>
            </w:tcMar>
          </w:tcPr>
          <w:p>
            <w:pPr>
              <w:spacing w:after="30" w:before="0"/>
              <w:jc w:val="left"/>
            </w:pPr>
            <w:r>
              <w:rPr>
                <w:rFonts w:ascii="Arial" w:hAnsi="Arial"/>
                <w:sz w:val="16"/>
              </w:rPr>
              <w:t xml:space="preserve">10.64.0.0/12</w:t>
            </w:r>
          </w:p>
        </w:tc>
        <w:tc>
          <w:tcPr>
            <w:vAlign w:val="center"/>
            <w:tcMar>
              <w:top w:w="70" w:type="dxa"/>
              <w:left w:w="85" w:type="dxa"/>
              <w:bottom w:w="70" w:type="dxa"/>
              <w:right w:w="85" w:type="dxa"/>
            </w:tcMar>
          </w:tcPr>
          <w:p>
            <w:pPr>
              <w:spacing w:after="30" w:before="0"/>
              <w:jc w:val="left"/>
            </w:pPr>
            <w:r>
              <w:rPr>
                <w:rFonts w:ascii="Arial" w:hAnsi="Arial"/>
                <w:sz w:val="16"/>
              </w:rPr>
              <w:t xml:space="preserve">/17 or /18 per region/environment</w:t>
            </w:r>
          </w:p>
        </w:tc>
        <w:tc>
          <w:tcPr>
            <w:vAlign w:val="center"/>
            <w:tcMar>
              <w:top w:w="70" w:type="dxa"/>
              <w:left w:w="85" w:type="dxa"/>
              <w:bottom w:w="70" w:type="dxa"/>
              <w:right w:w="85" w:type="dxa"/>
            </w:tcMar>
          </w:tcPr>
          <w:p>
            <w:pPr>
              <w:spacing w:after="30" w:before="0"/>
              <w:jc w:val="left"/>
            </w:pPr>
            <w:r>
              <w:rPr>
                <w:rFonts w:ascii="Arial" w:hAnsi="Arial"/>
                <w:sz w:val="16"/>
              </w:rPr>
              <w:t xml:space="preserve">Integration, test and staging</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Development</w:t>
            </w:r>
          </w:p>
        </w:tc>
        <w:tc>
          <w:tcPr>
            <w:vAlign w:val="center"/>
            <w:tcMar>
              <w:top w:w="70" w:type="dxa"/>
              <w:left w:w="85" w:type="dxa"/>
              <w:bottom w:w="70" w:type="dxa"/>
              <w:right w:w="85" w:type="dxa"/>
            </w:tcMar>
          </w:tcPr>
          <w:p>
            <w:pPr>
              <w:spacing w:after="30" w:before="0"/>
              <w:jc w:val="left"/>
            </w:pPr>
            <w:r>
              <w:rPr>
                <w:rFonts w:ascii="Arial" w:hAnsi="Arial"/>
                <w:sz w:val="16"/>
              </w:rPr>
              <w:t xml:space="preserve">10.80.0.0/12</w:t>
            </w:r>
          </w:p>
        </w:tc>
        <w:tc>
          <w:tcPr>
            <w:vAlign w:val="center"/>
            <w:tcMar>
              <w:top w:w="70" w:type="dxa"/>
              <w:left w:w="85" w:type="dxa"/>
              <w:bottom w:w="70" w:type="dxa"/>
              <w:right w:w="85" w:type="dxa"/>
            </w:tcMar>
          </w:tcPr>
          <w:p>
            <w:pPr>
              <w:spacing w:after="30" w:before="0"/>
              <w:jc w:val="left"/>
            </w:pPr>
            <w:r>
              <w:rPr>
                <w:rFonts w:ascii="Arial" w:hAnsi="Arial"/>
                <w:sz w:val="16"/>
              </w:rPr>
              <w:t xml:space="preserve">/18 per region</w:t>
            </w:r>
          </w:p>
        </w:tc>
        <w:tc>
          <w:tcPr>
            <w:vAlign w:val="center"/>
            <w:tcMar>
              <w:top w:w="70" w:type="dxa"/>
              <w:left w:w="85" w:type="dxa"/>
              <w:bottom w:w="70" w:type="dxa"/>
              <w:right w:w="85" w:type="dxa"/>
            </w:tcMar>
          </w:tcPr>
          <w:p>
            <w:pPr>
              <w:spacing w:after="30" w:before="0"/>
              <w:jc w:val="left"/>
            </w:pPr>
            <w:r>
              <w:rPr>
                <w:rFonts w:ascii="Arial" w:hAnsi="Arial"/>
                <w:sz w:val="16"/>
              </w:rPr>
              <w:t xml:space="preserve">Development and ephemeral workloads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Sandbox</w:t>
            </w:r>
          </w:p>
        </w:tc>
        <w:tc>
          <w:tcPr>
            <w:vAlign w:val="center"/>
            <w:tcMar>
              <w:top w:w="70" w:type="dxa"/>
              <w:left w:w="85" w:type="dxa"/>
              <w:bottom w:w="70" w:type="dxa"/>
              <w:right w:w="85" w:type="dxa"/>
            </w:tcMar>
          </w:tcPr>
          <w:p>
            <w:pPr>
              <w:spacing w:after="30" w:before="0"/>
              <w:jc w:val="left"/>
            </w:pPr>
            <w:r>
              <w:rPr>
                <w:rFonts w:ascii="Arial" w:hAnsi="Arial"/>
                <w:sz w:val="16"/>
              </w:rPr>
              <w:t xml:space="preserve">10.96.0.0/13</w:t>
            </w:r>
          </w:p>
        </w:tc>
        <w:tc>
          <w:tcPr>
            <w:vAlign w:val="center"/>
            <w:tcMar>
              <w:top w:w="70" w:type="dxa"/>
              <w:left w:w="85" w:type="dxa"/>
              <w:bottom w:w="70" w:type="dxa"/>
              <w:right w:w="85" w:type="dxa"/>
            </w:tcMar>
          </w:tcPr>
          <w:p>
            <w:pPr>
              <w:spacing w:after="30" w:before="0"/>
              <w:jc w:val="left"/>
            </w:pPr>
            <w:r>
              <w:rPr>
                <w:rFonts w:ascii="Arial" w:hAnsi="Arial"/>
                <w:sz w:val="16"/>
              </w:rPr>
              <w:t xml:space="preserve">/20 per region</w:t>
            </w:r>
          </w:p>
        </w:tc>
        <w:tc>
          <w:tcPr>
            <w:vAlign w:val="center"/>
            <w:tcMar>
              <w:top w:w="70" w:type="dxa"/>
              <w:left w:w="85" w:type="dxa"/>
              <w:bottom w:w="70" w:type="dxa"/>
              <w:right w:w="85" w:type="dxa"/>
            </w:tcMar>
          </w:tcPr>
          <w:p>
            <w:pPr>
              <w:spacing w:after="30" w:before="0"/>
              <w:jc w:val="left"/>
            </w:pPr>
            <w:r>
              <w:rPr>
                <w:rFonts w:ascii="Arial" w:hAnsi="Arial"/>
                <w:sz w:val="16"/>
              </w:rPr>
              <w:t xml:space="preserve">Restricted scale and short-lived resources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Connectivity and transit</w:t>
            </w:r>
          </w:p>
        </w:tc>
        <w:tc>
          <w:tcPr>
            <w:vAlign w:val="center"/>
            <w:tcMar>
              <w:top w:w="70" w:type="dxa"/>
              <w:left w:w="85" w:type="dxa"/>
              <w:bottom w:w="70" w:type="dxa"/>
              <w:right w:w="85" w:type="dxa"/>
            </w:tcMar>
          </w:tcPr>
          <w:p>
            <w:pPr>
              <w:spacing w:after="30" w:before="0"/>
              <w:jc w:val="left"/>
            </w:pPr>
            <w:r>
              <w:rPr>
                <w:rFonts w:ascii="Arial" w:hAnsi="Arial"/>
                <w:sz w:val="16"/>
              </w:rPr>
              <w:t xml:space="preserve">10.104.0.0/16</w:t>
            </w:r>
          </w:p>
        </w:tc>
        <w:tc>
          <w:tcPr>
            <w:vAlign w:val="center"/>
            <w:tcMar>
              <w:top w:w="70" w:type="dxa"/>
              <w:left w:w="85" w:type="dxa"/>
              <w:bottom w:w="70" w:type="dxa"/>
              <w:right w:w="85" w:type="dxa"/>
            </w:tcMar>
          </w:tcPr>
          <w:p>
            <w:pPr>
              <w:spacing w:after="30" w:before="0"/>
              <w:jc w:val="left"/>
            </w:pPr>
            <w:r>
              <w:rPr>
                <w:rFonts w:ascii="Arial" w:hAnsi="Arial"/>
                <w:sz w:val="16"/>
              </w:rPr>
              <w:t xml:space="preserve">/24 per attachment or service</w:t>
            </w:r>
          </w:p>
        </w:tc>
        <w:tc>
          <w:tcPr>
            <w:vAlign w:val="center"/>
            <w:tcMar>
              <w:top w:w="70" w:type="dxa"/>
              <w:left w:w="85" w:type="dxa"/>
              <w:bottom w:w="70" w:type="dxa"/>
              <w:right w:w="85" w:type="dxa"/>
            </w:tcMar>
          </w:tcPr>
          <w:p>
            <w:pPr>
              <w:spacing w:after="30" w:before="0"/>
              <w:jc w:val="left"/>
            </w:pPr>
            <w:r>
              <w:rPr>
                <w:rFonts w:ascii="Arial" w:hAnsi="Arial"/>
                <w:sz w:val="16"/>
              </w:rPr>
              <w:t xml:space="preserve">Routers, appliances, proxy and endpoint ranges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Future reserve</w:t>
            </w:r>
          </w:p>
        </w:tc>
        <w:tc>
          <w:tcPr>
            <w:vAlign w:val="center"/>
            <w:tcMar>
              <w:top w:w="70" w:type="dxa"/>
              <w:left w:w="85" w:type="dxa"/>
              <w:bottom w:w="70" w:type="dxa"/>
              <w:right w:w="85" w:type="dxa"/>
            </w:tcMar>
          </w:tcPr>
          <w:p>
            <w:pPr>
              <w:spacing w:after="30" w:before="0"/>
              <w:jc w:val="left"/>
            </w:pPr>
            <w:r>
              <w:rPr>
                <w:rFonts w:ascii="Arial" w:hAnsi="Arial"/>
                <w:sz w:val="16"/>
              </w:rPr>
              <w:t xml:space="preserve">10.112.0.0/12</w:t>
            </w:r>
          </w:p>
        </w:tc>
        <w:tc>
          <w:tcPr>
            <w:vAlign w:val="center"/>
            <w:tcMar>
              <w:top w:w="70" w:type="dxa"/>
              <w:left w:w="85" w:type="dxa"/>
              <w:bottom w:w="70" w:type="dxa"/>
              <w:right w:w="85" w:type="dxa"/>
            </w:tcMar>
          </w:tcPr>
          <w:p>
            <w:pPr>
              <w:spacing w:after="30" w:before="0"/>
              <w:jc w:val="left"/>
            </w:pPr>
            <w:r>
              <w:rPr>
                <w:rFonts w:ascii="Arial" w:hAnsi="Arial"/>
                <w:sz w:val="16"/>
              </w:rPr>
              <w:t xml:space="preserve">Unallocated</w:t>
            </w:r>
          </w:p>
        </w:tc>
        <w:tc>
          <w:tcPr>
            <w:vAlign w:val="center"/>
            <w:tcMar>
              <w:top w:w="70" w:type="dxa"/>
              <w:left w:w="85" w:type="dxa"/>
              <w:bottom w:w="70" w:type="dxa"/>
              <w:right w:w="85" w:type="dxa"/>
            </w:tcMar>
          </w:tcPr>
          <w:p>
            <w:pPr>
              <w:spacing w:after="30" w:before="0"/>
              <w:jc w:val="left"/>
            </w:pPr>
            <w:r>
              <w:rPr>
                <w:rFonts w:ascii="Arial" w:hAnsi="Arial"/>
                <w:sz w:val="16"/>
              </w:rPr>
              <w:t xml:space="preserve">Acquisitions, sovereign zones and growth</w:t>
            </w:r>
          </w:p>
        </w:tc>
      </w:tr>
    </w:tbl>
    <w:p>
      <w:pPr>
        <w:pStyle w:val="BodyText"/>
      </w:pPr>
      <w:r>
        <w:t xml:space="preserve">These ranges are illustrative. Production allocation must be reconciled with existing enterprise address space. Reusing overlapping ranges across clouds creates long-term routing, NAT and observability complexity and should be avoided.</w:t>
      </w:r>
    </w:p>
    <w:bookmarkStart w:id="67" w:name="ip-design-rules"/>
    <w:p>
      <w:pPr>
        <w:pStyle w:val="Heading3"/>
        <w:keepNext/>
        <w:pageBreakBefore w:val="0"/>
      </w:pPr>
      <w:r>
        <w:t xml:space="preserve">IP design rules</w:t>
      </w:r>
    </w:p>
    <w:p>
      <w:pPr>
        <w:pStyle w:val="Compact"/>
        <w:numPr>
          <w:ilvl w:val="0"/>
          <w:numId w:val="1006"/>
        </w:numPr>
      </w:pPr>
      <w:r>
        <w:t xml:space="preserve">Register every CIDR in the enterprise IPAM system before Terraform deployment.</w:t>
      </w:r>
    </w:p>
    <w:p>
      <w:pPr>
        <w:pStyle w:val="Compact"/>
        <w:numPr>
          <w:ilvl w:val="0"/>
          <w:numId w:val="1006"/>
        </w:numPr>
      </w:pPr>
      <w:r>
        <w:t xml:space="preserve">Prefer aggregateable ranges and avoid fragmented allocations unless a service requires them.</w:t>
      </w:r>
    </w:p>
    <w:p>
      <w:pPr>
        <w:pStyle w:val="Compact"/>
        <w:numPr>
          <w:ilvl w:val="0"/>
          <w:numId w:val="1006"/>
        </w:numPr>
      </w:pPr>
      <w:r>
        <w:t xml:space="preserve">Reserve dedicated ranges for proxy-only subnets, PSC endpoints and hybrid appliances.</w:t>
      </w:r>
    </w:p>
    <w:p>
      <w:pPr>
        <w:pStyle w:val="Compact"/>
        <w:numPr>
          <w:ilvl w:val="0"/>
          <w:numId w:val="1006"/>
        </w:numPr>
      </w:pPr>
      <w:r>
        <w:t xml:space="preserve">Do not reuse overlapping RFC 1918 ranges across clouds if routed connectivity is expected.</w:t>
      </w:r>
    </w:p>
    <w:p>
      <w:pPr>
        <w:pStyle w:val="Compact"/>
        <w:numPr>
          <w:ilvl w:val="0"/>
          <w:numId w:val="1006"/>
        </w:numPr>
      </w:pPr>
      <w:r>
        <w:t xml:space="preserve">Monitor subnet and secondary-range exhaustion as an SLI.</w:t>
      </w:r>
    </w:p>
    <w:p>
      <w:pPr>
        <w:pStyle w:val="Compact"/>
        <w:numPr>
          <w:ilvl w:val="0"/>
          <w:numId w:val="1006"/>
        </w:numPr>
      </w:pPr>
      <w:r>
        <w:t xml:space="preserve">Treat IPv6 adoption as a controlled roadmap and validate service-specific support.</w:t>
      </w:r>
    </w:p>
    <w:bookmarkEnd w:id="67"/>
    <w:bookmarkEnd w:id="68"/>
    <w:bookmarkStart w:id="69" w:name="subnet-strategy"/>
    <w:p>
      <w:pPr>
        <w:pStyle w:val="Heading2"/>
        <w:keepNext/>
        <w:pageBreakBefore w:val="0"/>
      </w:pPr>
      <w:r>
        <w:t xml:space="preserve">4.5 Subnet strategy</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Pattern</w:t>
            </w:r>
          </w:p>
        </w:tc>
        <w:tc>
          <w:tcPr>
            <w:vAlign w:val="center"/>
            <w:tcMar>
              <w:top w:w="70" w:type="dxa"/>
              <w:left w:w="85" w:type="dxa"/>
              <w:bottom w:w="70" w:type="dxa"/>
              <w:right w:w="85" w:type="dxa"/>
            </w:tcMar>
          </w:tcPr>
          <w:p>
            <w:pPr>
              <w:spacing w:after="30" w:before="0"/>
              <w:jc w:val="left"/>
            </w:pPr>
            <w:r>
              <w:rPr>
                <w:rFonts w:ascii="Arial" w:hAnsi="Arial"/>
                <w:b/>
                <w:sz w:val="16"/>
              </w:rPr>
              <w:t xml:space="preserve">Purpose</w:t>
            </w:r>
          </w:p>
        </w:tc>
        <w:tc>
          <w:tcPr>
            <w:vAlign w:val="center"/>
            <w:tcMar>
              <w:top w:w="70" w:type="dxa"/>
              <w:left w:w="85" w:type="dxa"/>
              <w:bottom w:w="70" w:type="dxa"/>
              <w:right w:w="85" w:type="dxa"/>
            </w:tcMar>
          </w:tcPr>
          <w:p>
            <w:pPr>
              <w:spacing w:after="30" w:before="0"/>
              <w:jc w:val="left"/>
            </w:pPr>
            <w:r>
              <w:rPr>
                <w:rFonts w:ascii="Arial" w:hAnsi="Arial"/>
                <w:b/>
                <w:sz w:val="16"/>
              </w:rPr>
              <w:t xml:space="preserve">Indicative size</w:t>
            </w:r>
          </w:p>
        </w:tc>
        <w:tc>
          <w:tcPr>
            <w:vAlign w:val="center"/>
            <w:tcMar>
              <w:top w:w="70" w:type="dxa"/>
              <w:left w:w="85" w:type="dxa"/>
              <w:bottom w:w="70" w:type="dxa"/>
              <w:right w:w="85" w:type="dxa"/>
            </w:tcMar>
          </w:tcPr>
          <w:p>
            <w:pPr>
              <w:spacing w:after="30" w:before="0"/>
              <w:jc w:val="left"/>
            </w:pPr>
            <w:r>
              <w:rPr>
                <w:rFonts w:ascii="Arial" w:hAnsi="Arial"/>
                <w:b/>
                <w:sz w:val="16"/>
              </w:rPr>
              <w:t xml:space="preserve">Control baseline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sn-data</w:t>
            </w:r>
          </w:p>
        </w:tc>
        <w:tc>
          <w:tcPr>
            <w:vAlign w:val="center"/>
            <w:tcMar>
              <w:top w:w="70" w:type="dxa"/>
              <w:left w:w="85" w:type="dxa"/>
              <w:bottom w:w="70" w:type="dxa"/>
              <w:right w:w="85" w:type="dxa"/>
            </w:tcMar>
          </w:tcPr>
          <w:p>
            <w:pPr>
              <w:spacing w:after="30" w:before="0"/>
              <w:jc w:val="left"/>
            </w:pPr>
            <w:r>
              <w:rPr>
                <w:rFonts w:ascii="Arial" w:hAnsi="Arial"/>
                <w:sz w:val="16"/>
              </w:rPr>
              <w:t xml:space="preserve">Data processing and managed service connectors</w:t>
            </w:r>
          </w:p>
        </w:tc>
        <w:tc>
          <w:tcPr>
            <w:vAlign w:val="center"/>
            <w:tcMar>
              <w:top w:w="70" w:type="dxa"/>
              <w:left w:w="85" w:type="dxa"/>
              <w:bottom w:w="70" w:type="dxa"/>
              <w:right w:w="85" w:type="dxa"/>
            </w:tcMar>
          </w:tcPr>
          <w:p>
            <w:pPr>
              <w:spacing w:after="30" w:before="0"/>
              <w:jc w:val="left"/>
            </w:pPr>
            <w:r>
              <w:rPr>
                <w:rFonts w:ascii="Arial" w:hAnsi="Arial"/>
                <w:sz w:val="16"/>
              </w:rPr>
              <w:t xml:space="preserve">/22 to /20</w:t>
            </w:r>
          </w:p>
        </w:tc>
        <w:tc>
          <w:tcPr>
            <w:vAlign w:val="center"/>
            <w:tcMar>
              <w:top w:w="70" w:type="dxa"/>
              <w:left w:w="85" w:type="dxa"/>
              <w:bottom w:w="70" w:type="dxa"/>
              <w:right w:w="85" w:type="dxa"/>
            </w:tcMar>
          </w:tcPr>
          <w:p>
            <w:pPr>
              <w:spacing w:after="30" w:before="0"/>
              <w:jc w:val="left"/>
            </w:pPr>
            <w:r>
              <w:rPr>
                <w:rFonts w:ascii="Arial" w:hAnsi="Arial"/>
                <w:sz w:val="16"/>
              </w:rPr>
              <w:t xml:space="preserve">Private Google Access, flow logs and no direct internet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sn-platform</w:t>
            </w:r>
          </w:p>
        </w:tc>
        <w:tc>
          <w:tcPr>
            <w:vAlign w:val="center"/>
            <w:tcMar>
              <w:top w:w="70" w:type="dxa"/>
              <w:left w:w="85" w:type="dxa"/>
              <w:bottom w:w="70" w:type="dxa"/>
              <w:right w:w="85" w:type="dxa"/>
            </w:tcMar>
          </w:tcPr>
          <w:p>
            <w:pPr>
              <w:spacing w:after="30" w:before="0"/>
              <w:jc w:val="left"/>
            </w:pPr>
            <w:r>
              <w:rPr>
                <w:rFonts w:ascii="Arial" w:hAnsi="Arial"/>
                <w:sz w:val="16"/>
              </w:rPr>
              <w:t xml:space="preserve">Orchestration, platform services and shared tooling</w:t>
            </w:r>
          </w:p>
        </w:tc>
        <w:tc>
          <w:tcPr>
            <w:vAlign w:val="center"/>
            <w:tcMar>
              <w:top w:w="70" w:type="dxa"/>
              <w:left w:w="85" w:type="dxa"/>
              <w:bottom w:w="70" w:type="dxa"/>
              <w:right w:w="85" w:type="dxa"/>
            </w:tcMar>
          </w:tcPr>
          <w:p>
            <w:pPr>
              <w:spacing w:after="30" w:before="0"/>
              <w:jc w:val="left"/>
            </w:pPr>
            <w:r>
              <w:rPr>
                <w:rFonts w:ascii="Arial" w:hAnsi="Arial"/>
                <w:sz w:val="16"/>
              </w:rPr>
              <w:t xml:space="preserve">/23 to /21</w:t>
            </w:r>
          </w:p>
        </w:tc>
        <w:tc>
          <w:tcPr>
            <w:vAlign w:val="center"/>
            <w:tcMar>
              <w:top w:w="70" w:type="dxa"/>
              <w:left w:w="85" w:type="dxa"/>
              <w:bottom w:w="70" w:type="dxa"/>
              <w:right w:w="85" w:type="dxa"/>
            </w:tcMar>
          </w:tcPr>
          <w:p>
            <w:pPr>
              <w:spacing w:after="30" w:before="0"/>
              <w:jc w:val="left"/>
            </w:pPr>
            <w:r>
              <w:rPr>
                <w:rFonts w:ascii="Arial" w:hAnsi="Arial"/>
                <w:sz w:val="16"/>
              </w:rPr>
              <w:t xml:space="preserve">Restricted administration and service-to-service rules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sn-app</w:t>
            </w:r>
          </w:p>
        </w:tc>
        <w:tc>
          <w:tcPr>
            <w:vAlign w:val="center"/>
            <w:tcMar>
              <w:top w:w="70" w:type="dxa"/>
              <w:left w:w="85" w:type="dxa"/>
              <w:bottom w:w="70" w:type="dxa"/>
              <w:right w:w="85" w:type="dxa"/>
            </w:tcMar>
          </w:tcPr>
          <w:p>
            <w:pPr>
              <w:spacing w:after="30" w:before="0"/>
              <w:jc w:val="left"/>
            </w:pPr>
            <w:r>
              <w:rPr>
                <w:rFonts w:ascii="Arial" w:hAnsi="Arial"/>
                <w:sz w:val="16"/>
              </w:rPr>
              <w:t xml:space="preserve">Operational applications and APIs</w:t>
            </w:r>
          </w:p>
        </w:tc>
        <w:tc>
          <w:tcPr>
            <w:vAlign w:val="center"/>
            <w:tcMar>
              <w:top w:w="70" w:type="dxa"/>
              <w:left w:w="85" w:type="dxa"/>
              <w:bottom w:w="70" w:type="dxa"/>
              <w:right w:w="85" w:type="dxa"/>
            </w:tcMar>
          </w:tcPr>
          <w:p>
            <w:pPr>
              <w:spacing w:after="30" w:before="0"/>
              <w:jc w:val="left"/>
            </w:pPr>
            <w:r>
              <w:rPr>
                <w:rFonts w:ascii="Arial" w:hAnsi="Arial"/>
                <w:sz w:val="16"/>
              </w:rPr>
              <w:t xml:space="preserve">/23 to /20</w:t>
            </w:r>
          </w:p>
        </w:tc>
        <w:tc>
          <w:tcPr>
            <w:vAlign w:val="center"/>
            <w:tcMar>
              <w:top w:w="70" w:type="dxa"/>
              <w:left w:w="85" w:type="dxa"/>
              <w:bottom w:w="70" w:type="dxa"/>
              <w:right w:w="85" w:type="dxa"/>
            </w:tcMar>
          </w:tcPr>
          <w:p>
            <w:pPr>
              <w:spacing w:after="30" w:before="0"/>
              <w:jc w:val="left"/>
            </w:pPr>
            <w:r>
              <w:rPr>
                <w:rFonts w:ascii="Arial" w:hAnsi="Arial"/>
                <w:sz w:val="16"/>
              </w:rPr>
              <w:t xml:space="preserve">Load-balancer and approved service ingress only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sn-restricted</w:t>
            </w:r>
          </w:p>
        </w:tc>
        <w:tc>
          <w:tcPr>
            <w:vAlign w:val="center"/>
            <w:tcMar>
              <w:top w:w="70" w:type="dxa"/>
              <w:left w:w="85" w:type="dxa"/>
              <w:bottom w:w="70" w:type="dxa"/>
              <w:right w:w="85" w:type="dxa"/>
            </w:tcMar>
          </w:tcPr>
          <w:p>
            <w:pPr>
              <w:spacing w:after="30" w:before="0"/>
              <w:jc w:val="left"/>
            </w:pPr>
            <w:r>
              <w:rPr>
                <w:rFonts w:ascii="Arial" w:hAnsi="Arial"/>
                <w:sz w:val="16"/>
              </w:rPr>
              <w:t xml:space="preserve">Regulated or high-sensitivity workloads</w:t>
            </w:r>
          </w:p>
        </w:tc>
        <w:tc>
          <w:tcPr>
            <w:vAlign w:val="center"/>
            <w:tcMar>
              <w:top w:w="70" w:type="dxa"/>
              <w:left w:w="85" w:type="dxa"/>
              <w:bottom w:w="70" w:type="dxa"/>
              <w:right w:w="85" w:type="dxa"/>
            </w:tcMar>
          </w:tcPr>
          <w:p>
            <w:pPr>
              <w:spacing w:after="30" w:before="0"/>
              <w:jc w:val="left"/>
            </w:pPr>
            <w:r>
              <w:rPr>
                <w:rFonts w:ascii="Arial" w:hAnsi="Arial"/>
                <w:sz w:val="16"/>
              </w:rPr>
              <w:t xml:space="preserve">/24 to /22</w:t>
            </w:r>
          </w:p>
        </w:tc>
        <w:tc>
          <w:tcPr>
            <w:vAlign w:val="center"/>
            <w:tcMar>
              <w:top w:w="70" w:type="dxa"/>
              <w:left w:w="85" w:type="dxa"/>
              <w:bottom w:w="70" w:type="dxa"/>
              <w:right w:w="85" w:type="dxa"/>
            </w:tcMar>
          </w:tcPr>
          <w:p>
            <w:pPr>
              <w:spacing w:after="30" w:before="0"/>
              <w:jc w:val="left"/>
            </w:pPr>
            <w:r>
              <w:rPr>
                <w:rFonts w:ascii="Arial" w:hAnsi="Arial"/>
                <w:sz w:val="16"/>
              </w:rPr>
              <w:t xml:space="preserve">Tighter firewall and perimeter controls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sn-proxy</w:t>
            </w:r>
          </w:p>
        </w:tc>
        <w:tc>
          <w:tcPr>
            <w:vAlign w:val="center"/>
            <w:tcMar>
              <w:top w:w="70" w:type="dxa"/>
              <w:left w:w="85" w:type="dxa"/>
              <w:bottom w:w="70" w:type="dxa"/>
              <w:right w:w="85" w:type="dxa"/>
            </w:tcMar>
          </w:tcPr>
          <w:p>
            <w:pPr>
              <w:spacing w:after="30" w:before="0"/>
              <w:jc w:val="left"/>
            </w:pPr>
            <w:r>
              <w:rPr>
                <w:rFonts w:ascii="Arial" w:hAnsi="Arial"/>
                <w:sz w:val="16"/>
              </w:rPr>
              <w:t xml:space="preserve">Regional proxy-only subnet</w:t>
            </w:r>
          </w:p>
        </w:tc>
        <w:tc>
          <w:tcPr>
            <w:vAlign w:val="center"/>
            <w:tcMar>
              <w:top w:w="70" w:type="dxa"/>
              <w:left w:w="85" w:type="dxa"/>
              <w:bottom w:w="70" w:type="dxa"/>
              <w:right w:w="85" w:type="dxa"/>
            </w:tcMar>
          </w:tcPr>
          <w:p>
            <w:pPr>
              <w:spacing w:after="30" w:before="0"/>
              <w:jc w:val="left"/>
            </w:pPr>
            <w:r>
              <w:rPr>
                <w:rFonts w:ascii="Arial" w:hAnsi="Arial"/>
                <w:sz w:val="16"/>
              </w:rPr>
              <w:t xml:space="preserve">Service-defined minimum</w:t>
            </w:r>
          </w:p>
        </w:tc>
        <w:tc>
          <w:tcPr>
            <w:vAlign w:val="center"/>
            <w:tcMar>
              <w:top w:w="70" w:type="dxa"/>
              <w:left w:w="85" w:type="dxa"/>
              <w:bottom w:w="70" w:type="dxa"/>
              <w:right w:w="85" w:type="dxa"/>
            </w:tcMar>
          </w:tcPr>
          <w:p>
            <w:pPr>
              <w:spacing w:after="30" w:before="0"/>
              <w:jc w:val="left"/>
            </w:pPr>
            <w:r>
              <w:rPr>
                <w:rFonts w:ascii="Arial" w:hAnsi="Arial"/>
                <w:sz w:val="16"/>
              </w:rPr>
              <w:t xml:space="preserve">Dedicated to managed load-balancer proxies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sn-psc</w:t>
            </w:r>
          </w:p>
        </w:tc>
        <w:tc>
          <w:tcPr>
            <w:vAlign w:val="center"/>
            <w:tcMar>
              <w:top w:w="70" w:type="dxa"/>
              <w:left w:w="85" w:type="dxa"/>
              <w:bottom w:w="70" w:type="dxa"/>
              <w:right w:w="85" w:type="dxa"/>
            </w:tcMar>
          </w:tcPr>
          <w:p>
            <w:pPr>
              <w:spacing w:after="30" w:before="0"/>
              <w:jc w:val="left"/>
            </w:pPr>
            <w:r>
              <w:rPr>
                <w:rFonts w:ascii="Arial" w:hAnsi="Arial"/>
                <w:sz w:val="16"/>
              </w:rPr>
              <w:t xml:space="preserve">Private Service Connect endpoints</w:t>
            </w:r>
          </w:p>
        </w:tc>
        <w:tc>
          <w:tcPr>
            <w:vAlign w:val="center"/>
            <w:tcMar>
              <w:top w:w="70" w:type="dxa"/>
              <w:left w:w="85" w:type="dxa"/>
              <w:bottom w:w="70" w:type="dxa"/>
              <w:right w:w="85" w:type="dxa"/>
            </w:tcMar>
          </w:tcPr>
          <w:p>
            <w:pPr>
              <w:spacing w:after="30" w:before="0"/>
              <w:jc w:val="left"/>
            </w:pPr>
            <w:r>
              <w:rPr>
                <w:rFonts w:ascii="Arial" w:hAnsi="Arial"/>
                <w:sz w:val="16"/>
              </w:rPr>
              <w:t xml:space="preserve">/24 or IPAM-defined</w:t>
            </w:r>
          </w:p>
        </w:tc>
        <w:tc>
          <w:tcPr>
            <w:vAlign w:val="center"/>
            <w:tcMar>
              <w:top w:w="70" w:type="dxa"/>
              <w:left w:w="85" w:type="dxa"/>
              <w:bottom w:w="70" w:type="dxa"/>
              <w:right w:w="85" w:type="dxa"/>
            </w:tcMar>
          </w:tcPr>
          <w:p>
            <w:pPr>
              <w:spacing w:after="30" w:before="0"/>
              <w:jc w:val="left"/>
            </w:pPr>
            <w:r>
              <w:rPr>
                <w:rFonts w:ascii="Arial" w:hAnsi="Arial"/>
                <w:sz w:val="16"/>
              </w:rPr>
              <w:t xml:space="preserve">Reserved endpoints and private DNS records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sn-gke-pods</w:t>
            </w:r>
          </w:p>
        </w:tc>
        <w:tc>
          <w:tcPr>
            <w:vAlign w:val="center"/>
            <w:tcMar>
              <w:top w:w="70" w:type="dxa"/>
              <w:left w:w="85" w:type="dxa"/>
              <w:bottom w:w="70" w:type="dxa"/>
              <w:right w:w="85" w:type="dxa"/>
            </w:tcMar>
          </w:tcPr>
          <w:p>
            <w:pPr>
              <w:spacing w:after="30" w:before="0"/>
              <w:jc w:val="left"/>
            </w:pPr>
            <w:r>
              <w:rPr>
                <w:rFonts w:ascii="Arial" w:hAnsi="Arial"/>
                <w:sz w:val="16"/>
              </w:rPr>
              <w:t xml:space="preserve">GKE pod secondary range</w:t>
            </w:r>
          </w:p>
        </w:tc>
        <w:tc>
          <w:tcPr>
            <w:vAlign w:val="center"/>
            <w:tcMar>
              <w:top w:w="70" w:type="dxa"/>
              <w:left w:w="85" w:type="dxa"/>
              <w:bottom w:w="70" w:type="dxa"/>
              <w:right w:w="85" w:type="dxa"/>
            </w:tcMar>
          </w:tcPr>
          <w:p>
            <w:pPr>
              <w:spacing w:after="30" w:before="0"/>
              <w:jc w:val="left"/>
            </w:pPr>
            <w:r>
              <w:rPr>
                <w:rFonts w:ascii="Arial" w:hAnsi="Arial"/>
                <w:sz w:val="16"/>
              </w:rPr>
              <w:t xml:space="preserve">Capacity-driven</w:t>
            </w:r>
          </w:p>
        </w:tc>
        <w:tc>
          <w:tcPr>
            <w:vAlign w:val="center"/>
            <w:tcMar>
              <w:top w:w="70" w:type="dxa"/>
              <w:left w:w="85" w:type="dxa"/>
              <w:bottom w:w="70" w:type="dxa"/>
              <w:right w:w="85" w:type="dxa"/>
            </w:tcMar>
          </w:tcPr>
          <w:p>
            <w:pPr>
              <w:spacing w:after="30" w:before="0"/>
              <w:jc w:val="left"/>
            </w:pPr>
            <w:r>
              <w:rPr>
                <w:rFonts w:ascii="Arial" w:hAnsi="Arial"/>
                <w:sz w:val="16"/>
              </w:rPr>
              <w:t xml:space="preserve">Separate from nodes; exhaustion monitoring</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sn-gke-services</w:t>
            </w:r>
          </w:p>
        </w:tc>
        <w:tc>
          <w:tcPr>
            <w:vAlign w:val="center"/>
            <w:tcMar>
              <w:top w:w="70" w:type="dxa"/>
              <w:left w:w="85" w:type="dxa"/>
              <w:bottom w:w="70" w:type="dxa"/>
              <w:right w:w="85" w:type="dxa"/>
            </w:tcMar>
          </w:tcPr>
          <w:p>
            <w:pPr>
              <w:spacing w:after="30" w:before="0"/>
              <w:jc w:val="left"/>
            </w:pPr>
            <w:r>
              <w:rPr>
                <w:rFonts w:ascii="Arial" w:hAnsi="Arial"/>
                <w:sz w:val="16"/>
              </w:rPr>
              <w:t xml:space="preserve">GKE service secondary range</w:t>
            </w:r>
          </w:p>
        </w:tc>
        <w:tc>
          <w:tcPr>
            <w:vAlign w:val="center"/>
            <w:tcMar>
              <w:top w:w="70" w:type="dxa"/>
              <w:left w:w="85" w:type="dxa"/>
              <w:bottom w:w="70" w:type="dxa"/>
              <w:right w:w="85" w:type="dxa"/>
            </w:tcMar>
          </w:tcPr>
          <w:p>
            <w:pPr>
              <w:spacing w:after="30" w:before="0"/>
              <w:jc w:val="left"/>
            </w:pPr>
            <w:r>
              <w:rPr>
                <w:rFonts w:ascii="Arial" w:hAnsi="Arial"/>
                <w:sz w:val="16"/>
              </w:rPr>
              <w:t xml:space="preserve">Capacity-driven</w:t>
            </w:r>
          </w:p>
        </w:tc>
        <w:tc>
          <w:tcPr>
            <w:vAlign w:val="center"/>
            <w:tcMar>
              <w:top w:w="70" w:type="dxa"/>
              <w:left w:w="85" w:type="dxa"/>
              <w:bottom w:w="70" w:type="dxa"/>
              <w:right w:w="85" w:type="dxa"/>
            </w:tcMar>
          </w:tcPr>
          <w:p>
            <w:pPr>
              <w:spacing w:after="30" w:before="0"/>
              <w:jc w:val="left"/>
            </w:pPr>
            <w:r>
              <w:rPr>
                <w:rFonts w:ascii="Arial" w:hAnsi="Arial"/>
                <w:sz w:val="16"/>
              </w:rPr>
              <w:t xml:space="preserve">Separate and treated as immutable design input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sn-management</w:t>
            </w:r>
          </w:p>
        </w:tc>
        <w:tc>
          <w:tcPr>
            <w:vAlign w:val="center"/>
            <w:tcMar>
              <w:top w:w="70" w:type="dxa"/>
              <w:left w:w="85" w:type="dxa"/>
              <w:bottom w:w="70" w:type="dxa"/>
              <w:right w:w="85" w:type="dxa"/>
            </w:tcMar>
          </w:tcPr>
          <w:p>
            <w:pPr>
              <w:spacing w:after="30" w:before="0"/>
              <w:jc w:val="left"/>
            </w:pPr>
            <w:r>
              <w:rPr>
                <w:rFonts w:ascii="Arial" w:hAnsi="Arial"/>
                <w:sz w:val="16"/>
              </w:rPr>
              <w:t xml:space="preserve">Network appliances and management services</w:t>
            </w:r>
          </w:p>
        </w:tc>
        <w:tc>
          <w:tcPr>
            <w:vAlign w:val="center"/>
            <w:tcMar>
              <w:top w:w="70" w:type="dxa"/>
              <w:left w:w="85" w:type="dxa"/>
              <w:bottom w:w="70" w:type="dxa"/>
              <w:right w:w="85" w:type="dxa"/>
            </w:tcMar>
          </w:tcPr>
          <w:p>
            <w:pPr>
              <w:spacing w:after="30" w:before="0"/>
              <w:jc w:val="left"/>
            </w:pPr>
            <w:r>
              <w:rPr>
                <w:rFonts w:ascii="Arial" w:hAnsi="Arial"/>
                <w:sz w:val="16"/>
              </w:rPr>
              <w:t xml:space="preserve">/26 to /24</w:t>
            </w:r>
          </w:p>
        </w:tc>
        <w:tc>
          <w:tcPr>
            <w:vAlign w:val="center"/>
            <w:tcMar>
              <w:top w:w="70" w:type="dxa"/>
              <w:left w:w="85" w:type="dxa"/>
              <w:bottom w:w="70" w:type="dxa"/>
              <w:right w:w="85" w:type="dxa"/>
            </w:tcMar>
          </w:tcPr>
          <w:p>
            <w:pPr>
              <w:spacing w:after="30" w:before="0"/>
              <w:jc w:val="left"/>
            </w:pPr>
            <w:r>
              <w:rPr>
                <w:rFonts w:ascii="Arial" w:hAnsi="Arial"/>
                <w:sz w:val="16"/>
              </w:rPr>
              <w:t xml:space="preserve">Highly restricted administrative access</w:t>
            </w:r>
          </w:p>
        </w:tc>
      </w:tr>
    </w:tbl>
    <w:p>
      <w:pPr>
        <w:pStyle w:val="BodyText"/>
      </w:pPr>
      <w:r>
        <w:t xml:space="preserve">Subnets are not created for organizational convenience. Each subnet has a traffic purpose, route expectations, firewall policy, logging requirement, owner, capacity forecast and lifecycle. Reusing a generic subnet for unrelated trust zones makes firewall and incident analysis significantly harder.</w:t>
      </w:r>
    </w:p>
    <w:bookmarkEnd w:id="69"/>
    <w:bookmarkStart w:id="71" w:name="routing-strategy"/>
    <w:p>
      <w:pPr>
        <w:pStyle w:val="Heading2"/>
        <w:keepNext/>
        <w:pageBreakBefore w:val="0"/>
      </w:pPr>
      <w:r>
        <w:t xml:space="preserve">4.6 Routing strategy</w:t>
      </w:r>
    </w:p>
    <w:p>
      <w:pPr>
        <w:pStyle w:val="FirstParagraph"/>
      </w:pPr>
      <w:r>
        <w:t xml:space="preserve">The routing design uses regional Cloud Routers, dynamic BGP, route advertisements aligned to enterprise address summaries, and explicit control of transitive connectivity. The landing zone does not assume that all environments or geographies can communicate. Routes express approved connectivity; firewall policy expresses permitted traffic; identity and service controls provide additional authorization.</w:t>
      </w:r>
    </w:p>
    <w:bookmarkStart w:id="70" w:name="routing-principles"/>
    <w:p>
      <w:pPr>
        <w:pStyle w:val="Heading3"/>
        <w:keepNext/>
        <w:pageBreakBefore w:val="0"/>
      </w:pPr>
      <w:r>
        <w:t xml:space="preserve">Routing principles</w:t>
      </w:r>
    </w:p>
    <w:p>
      <w:pPr>
        <w:pStyle w:val="Compact"/>
        <w:numPr>
          <w:ilvl w:val="0"/>
          <w:numId w:val="1007"/>
        </w:numPr>
      </w:pPr>
      <w:r>
        <w:t xml:space="preserve">Use regional dynamic routing unless a documented cross-region requirement justifies global dynamic routing.</w:t>
      </w:r>
    </w:p>
    <w:p>
      <w:pPr>
        <w:pStyle w:val="Compact"/>
        <w:numPr>
          <w:ilvl w:val="0"/>
          <w:numId w:val="1007"/>
        </w:numPr>
      </w:pPr>
      <w:r>
        <w:t xml:space="preserve">Advertise summarized enterprise prefixes wherever possible.</w:t>
      </w:r>
    </w:p>
    <w:p>
      <w:pPr>
        <w:pStyle w:val="Compact"/>
        <w:numPr>
          <w:ilvl w:val="0"/>
          <w:numId w:val="1007"/>
        </w:numPr>
      </w:pPr>
      <w:r>
        <w:t xml:space="preserve">Do not import default routes from on-premises without explicit egress design and security approval.</w:t>
      </w:r>
    </w:p>
    <w:p>
      <w:pPr>
        <w:pStyle w:val="Compact"/>
        <w:numPr>
          <w:ilvl w:val="0"/>
          <w:numId w:val="1007"/>
        </w:numPr>
      </w:pPr>
      <w:r>
        <w:t xml:space="preserve">Use route priorities consistently and reserve ranges for emergency or migration paths.</w:t>
      </w:r>
    </w:p>
    <w:p>
      <w:pPr>
        <w:pStyle w:val="Compact"/>
        <w:numPr>
          <w:ilvl w:val="0"/>
          <w:numId w:val="1007"/>
        </w:numPr>
      </w:pPr>
      <w:r>
        <w:t xml:space="preserve">Keep production, non-production, restricted and sandbox route domains separable.</w:t>
      </w:r>
    </w:p>
    <w:p>
      <w:pPr>
        <w:pStyle w:val="Compact"/>
        <w:numPr>
          <w:ilvl w:val="0"/>
          <w:numId w:val="1007"/>
        </w:numPr>
      </w:pPr>
      <w:r>
        <w:t xml:space="preserve">Use Network Connectivity Center or an equivalent hub-and-spoke control plane when connectivity scale exceeds direct attachment management.</w:t>
      </w:r>
    </w:p>
    <w:p>
      <w:pPr>
        <w:pStyle w:val="Compact"/>
        <w:numPr>
          <w:ilvl w:val="0"/>
          <w:numId w:val="1007"/>
        </w:numPr>
      </w:pPr>
      <w:r>
        <w:t xml:space="preserve">Monitor BGP session state, learned-prefix count, route changes and asymmetric paths.</w:t>
      </w:r>
    </w:p>
    <w:p>
      <w:pPr>
        <w:pStyle w:val="Compact"/>
        <w:numPr>
          <w:ilvl w:val="0"/>
          <w:numId w:val="1007"/>
        </w:numPr>
      </w:pPr>
      <w:r>
        <w:t xml:space="preserve">Validate every failover route under production-like load before go-live.</w:t>
      </w:r>
    </w:p>
    <w:tbl>
      <w:tblPr>
        <w:tblStyle w:val="LightShading-Accent1"/>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Route domain</w:t>
            </w:r>
          </w:p>
        </w:tc>
        <w:tc>
          <w:tcPr>
            <w:vAlign w:val="center"/>
            <w:tcMar>
              <w:top w:w="70" w:type="dxa"/>
              <w:left w:w="85" w:type="dxa"/>
              <w:bottom w:w="70" w:type="dxa"/>
              <w:right w:w="85" w:type="dxa"/>
            </w:tcMar>
          </w:tcPr>
          <w:p>
            <w:pPr>
              <w:spacing w:after="30" w:before="0"/>
              <w:jc w:val="left"/>
            </w:pPr>
            <w:r>
              <w:rPr>
                <w:rFonts w:ascii="Arial" w:hAnsi="Arial"/>
                <w:b/>
                <w:sz w:val="16"/>
              </w:rPr>
              <w:t xml:space="preserve">Imported prefixes</w:t>
            </w:r>
          </w:p>
        </w:tc>
        <w:tc>
          <w:tcPr>
            <w:vAlign w:val="center"/>
            <w:tcMar>
              <w:top w:w="70" w:type="dxa"/>
              <w:left w:w="85" w:type="dxa"/>
              <w:bottom w:w="70" w:type="dxa"/>
              <w:right w:w="85" w:type="dxa"/>
            </w:tcMar>
          </w:tcPr>
          <w:p>
            <w:pPr>
              <w:spacing w:after="30" w:before="0"/>
              <w:jc w:val="left"/>
            </w:pPr>
            <w:r>
              <w:rPr>
                <w:rFonts w:ascii="Arial" w:hAnsi="Arial"/>
                <w:b/>
                <w:sz w:val="16"/>
              </w:rPr>
              <w:t xml:space="preserve">Exported prefixes</w:t>
            </w:r>
          </w:p>
        </w:tc>
        <w:tc>
          <w:tcPr>
            <w:vAlign w:val="center"/>
            <w:tcMar>
              <w:top w:w="70" w:type="dxa"/>
              <w:left w:w="85" w:type="dxa"/>
              <w:bottom w:w="70" w:type="dxa"/>
              <w:right w:w="85" w:type="dxa"/>
            </w:tcMar>
          </w:tcPr>
          <w:p>
            <w:pPr>
              <w:spacing w:after="30" w:before="0"/>
              <w:jc w:val="left"/>
            </w:pPr>
            <w:r>
              <w:rPr>
                <w:rFonts w:ascii="Arial" w:hAnsi="Arial"/>
                <w:b/>
                <w:sz w:val="16"/>
              </w:rPr>
              <w:t xml:space="preserve">Default route policy</w:t>
            </w:r>
          </w:p>
        </w:tc>
        <w:tc>
          <w:tcPr>
            <w:vAlign w:val="center"/>
            <w:tcMar>
              <w:top w:w="70" w:type="dxa"/>
              <w:left w:w="85" w:type="dxa"/>
              <w:bottom w:w="70" w:type="dxa"/>
              <w:right w:w="85" w:type="dxa"/>
            </w:tcMar>
          </w:tcPr>
          <w:p>
            <w:pPr>
              <w:spacing w:after="30" w:before="0"/>
              <w:jc w:val="left"/>
            </w:pPr>
            <w:r>
              <w:rPr>
                <w:rFonts w:ascii="Arial" w:hAnsi="Arial"/>
                <w:b/>
                <w:sz w:val="16"/>
              </w:rPr>
              <w:t xml:space="preserve">Primary use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Production</w:t>
            </w:r>
          </w:p>
        </w:tc>
        <w:tc>
          <w:tcPr>
            <w:vAlign w:val="center"/>
            <w:tcMar>
              <w:top w:w="70" w:type="dxa"/>
              <w:left w:w="85" w:type="dxa"/>
              <w:bottom w:w="70" w:type="dxa"/>
              <w:right w:w="85" w:type="dxa"/>
            </w:tcMar>
          </w:tcPr>
          <w:p>
            <w:pPr>
              <w:spacing w:after="30" w:before="0"/>
              <w:jc w:val="left"/>
            </w:pPr>
            <w:r>
              <w:rPr>
                <w:rFonts w:ascii="Arial" w:hAnsi="Arial"/>
                <w:sz w:val="16"/>
              </w:rPr>
              <w:t xml:space="preserve">Approved data-center, partner and cloud ranges</w:t>
            </w:r>
          </w:p>
        </w:tc>
        <w:tc>
          <w:tcPr>
            <w:vAlign w:val="center"/>
            <w:tcMar>
              <w:top w:w="70" w:type="dxa"/>
              <w:left w:w="85" w:type="dxa"/>
              <w:bottom w:w="70" w:type="dxa"/>
              <w:right w:w="85" w:type="dxa"/>
            </w:tcMar>
          </w:tcPr>
          <w:p>
            <w:pPr>
              <w:spacing w:after="30" w:before="0"/>
              <w:jc w:val="left"/>
            </w:pPr>
            <w:r>
              <w:rPr>
                <w:rFonts w:ascii="Arial" w:hAnsi="Arial"/>
                <w:sz w:val="16"/>
              </w:rPr>
              <w:t xml:space="preserve">Production summaries only</w:t>
            </w:r>
          </w:p>
        </w:tc>
        <w:tc>
          <w:tcPr>
            <w:vAlign w:val="center"/>
            <w:tcMar>
              <w:top w:w="70" w:type="dxa"/>
              <w:left w:w="85" w:type="dxa"/>
              <w:bottom w:w="70" w:type="dxa"/>
              <w:right w:w="85" w:type="dxa"/>
            </w:tcMar>
          </w:tcPr>
          <w:p>
            <w:pPr>
              <w:spacing w:after="30" w:before="0"/>
              <w:jc w:val="left"/>
            </w:pPr>
            <w:r>
              <w:rPr>
                <w:rFonts w:ascii="Arial" w:hAnsi="Arial"/>
                <w:sz w:val="16"/>
              </w:rPr>
              <w:t xml:space="preserve">No inherited internet default</w:t>
            </w:r>
          </w:p>
        </w:tc>
        <w:tc>
          <w:tcPr>
            <w:vAlign w:val="center"/>
            <w:tcMar>
              <w:top w:w="70" w:type="dxa"/>
              <w:left w:w="85" w:type="dxa"/>
              <w:bottom w:w="70" w:type="dxa"/>
              <w:right w:w="85" w:type="dxa"/>
            </w:tcMar>
          </w:tcPr>
          <w:p>
            <w:pPr>
              <w:spacing w:after="30" w:before="0"/>
              <w:jc w:val="left"/>
            </w:pPr>
            <w:r>
              <w:rPr>
                <w:rFonts w:ascii="Arial" w:hAnsi="Arial"/>
                <w:sz w:val="16"/>
              </w:rPr>
              <w:t xml:space="preserve">Business-critical workloads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Non-production</w:t>
            </w:r>
          </w:p>
        </w:tc>
        <w:tc>
          <w:tcPr>
            <w:vAlign w:val="center"/>
            <w:tcMar>
              <w:top w:w="70" w:type="dxa"/>
              <w:left w:w="85" w:type="dxa"/>
              <w:bottom w:w="70" w:type="dxa"/>
              <w:right w:w="85" w:type="dxa"/>
            </w:tcMar>
          </w:tcPr>
          <w:p>
            <w:pPr>
              <w:spacing w:after="30" w:before="0"/>
              <w:jc w:val="left"/>
            </w:pPr>
            <w:r>
              <w:rPr>
                <w:rFonts w:ascii="Arial" w:hAnsi="Arial"/>
                <w:sz w:val="16"/>
              </w:rPr>
              <w:t xml:space="preserve">Development and test dependencies</w:t>
            </w:r>
          </w:p>
        </w:tc>
        <w:tc>
          <w:tcPr>
            <w:vAlign w:val="center"/>
            <w:tcMar>
              <w:top w:w="70" w:type="dxa"/>
              <w:left w:w="85" w:type="dxa"/>
              <w:bottom w:w="70" w:type="dxa"/>
              <w:right w:w="85" w:type="dxa"/>
            </w:tcMar>
          </w:tcPr>
          <w:p>
            <w:pPr>
              <w:spacing w:after="30" w:before="0"/>
              <w:jc w:val="left"/>
            </w:pPr>
            <w:r>
              <w:rPr>
                <w:rFonts w:ascii="Arial" w:hAnsi="Arial"/>
                <w:sz w:val="16"/>
              </w:rPr>
              <w:t xml:space="preserve">Non-production summaries</w:t>
            </w:r>
          </w:p>
        </w:tc>
        <w:tc>
          <w:tcPr>
            <w:vAlign w:val="center"/>
            <w:tcMar>
              <w:top w:w="70" w:type="dxa"/>
              <w:left w:w="85" w:type="dxa"/>
              <w:bottom w:w="70" w:type="dxa"/>
              <w:right w:w="85" w:type="dxa"/>
            </w:tcMar>
          </w:tcPr>
          <w:p>
            <w:pPr>
              <w:spacing w:after="30" w:before="0"/>
              <w:jc w:val="left"/>
            </w:pPr>
            <w:r>
              <w:rPr>
                <w:rFonts w:ascii="Arial" w:hAnsi="Arial"/>
                <w:sz w:val="16"/>
              </w:rPr>
              <w:t xml:space="preserve">Controlled central egress</w:t>
            </w:r>
          </w:p>
        </w:tc>
        <w:tc>
          <w:tcPr>
            <w:vAlign w:val="center"/>
            <w:tcMar>
              <w:top w:w="70" w:type="dxa"/>
              <w:left w:w="85" w:type="dxa"/>
              <w:bottom w:w="70" w:type="dxa"/>
              <w:right w:w="85" w:type="dxa"/>
            </w:tcMar>
          </w:tcPr>
          <w:p>
            <w:pPr>
              <w:spacing w:after="30" w:before="0"/>
              <w:jc w:val="left"/>
            </w:pPr>
            <w:r>
              <w:rPr>
                <w:rFonts w:ascii="Arial" w:hAnsi="Arial"/>
                <w:sz w:val="16"/>
              </w:rPr>
              <w:t xml:space="preserve">Integration and testing</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Restricted</w:t>
            </w:r>
          </w:p>
        </w:tc>
        <w:tc>
          <w:tcPr>
            <w:vAlign w:val="center"/>
            <w:tcMar>
              <w:top w:w="70" w:type="dxa"/>
              <w:left w:w="85" w:type="dxa"/>
              <w:bottom w:w="70" w:type="dxa"/>
              <w:right w:w="85" w:type="dxa"/>
            </w:tcMar>
          </w:tcPr>
          <w:p>
            <w:pPr>
              <w:spacing w:after="30" w:before="0"/>
              <w:jc w:val="left"/>
            </w:pPr>
            <w:r>
              <w:rPr>
                <w:rFonts w:ascii="Arial" w:hAnsi="Arial"/>
                <w:sz w:val="16"/>
              </w:rPr>
              <w:t xml:space="preserve">Minimal approved dependencies</w:t>
            </w:r>
          </w:p>
        </w:tc>
        <w:tc>
          <w:tcPr>
            <w:vAlign w:val="center"/>
            <w:tcMar>
              <w:top w:w="70" w:type="dxa"/>
              <w:left w:w="85" w:type="dxa"/>
              <w:bottom w:w="70" w:type="dxa"/>
              <w:right w:w="85" w:type="dxa"/>
            </w:tcMar>
          </w:tcPr>
          <w:p>
            <w:pPr>
              <w:spacing w:after="30" w:before="0"/>
              <w:jc w:val="left"/>
            </w:pPr>
            <w:r>
              <w:rPr>
                <w:rFonts w:ascii="Arial" w:hAnsi="Arial"/>
                <w:sz w:val="16"/>
              </w:rPr>
              <w:t xml:space="preserve">Restricted summaries</w:t>
            </w:r>
          </w:p>
        </w:tc>
        <w:tc>
          <w:tcPr>
            <w:vAlign w:val="center"/>
            <w:tcMar>
              <w:top w:w="70" w:type="dxa"/>
              <w:left w:w="85" w:type="dxa"/>
              <w:bottom w:w="70" w:type="dxa"/>
              <w:right w:w="85" w:type="dxa"/>
            </w:tcMar>
          </w:tcPr>
          <w:p>
            <w:pPr>
              <w:spacing w:after="30" w:before="0"/>
              <w:jc w:val="left"/>
            </w:pPr>
            <w:r>
              <w:rPr>
                <w:rFonts w:ascii="Arial" w:hAnsi="Arial"/>
                <w:sz w:val="16"/>
              </w:rPr>
              <w:t xml:space="preserve">No internet path by default</w:t>
            </w:r>
          </w:p>
        </w:tc>
        <w:tc>
          <w:tcPr>
            <w:vAlign w:val="center"/>
            <w:tcMar>
              <w:top w:w="70" w:type="dxa"/>
              <w:left w:w="85" w:type="dxa"/>
              <w:bottom w:w="70" w:type="dxa"/>
              <w:right w:w="85" w:type="dxa"/>
            </w:tcMar>
          </w:tcPr>
          <w:p>
            <w:pPr>
              <w:spacing w:after="30" w:before="0"/>
              <w:jc w:val="left"/>
            </w:pPr>
            <w:r>
              <w:rPr>
                <w:rFonts w:ascii="Arial" w:hAnsi="Arial"/>
                <w:sz w:val="16"/>
              </w:rPr>
              <w:t xml:space="preserve">Regulated data services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Sandbox</w:t>
            </w:r>
          </w:p>
        </w:tc>
        <w:tc>
          <w:tcPr>
            <w:vAlign w:val="center"/>
            <w:tcMar>
              <w:top w:w="70" w:type="dxa"/>
              <w:left w:w="85" w:type="dxa"/>
              <w:bottom w:w="70" w:type="dxa"/>
              <w:right w:w="85" w:type="dxa"/>
            </w:tcMar>
          </w:tcPr>
          <w:p>
            <w:pPr>
              <w:spacing w:after="30" w:before="0"/>
              <w:jc w:val="left"/>
            </w:pPr>
            <w:r>
              <w:rPr>
                <w:rFonts w:ascii="Arial" w:hAnsi="Arial"/>
                <w:sz w:val="16"/>
              </w:rPr>
              <w:t xml:space="preserve">Shared utility endpoints only</w:t>
            </w:r>
          </w:p>
        </w:tc>
        <w:tc>
          <w:tcPr>
            <w:vAlign w:val="center"/>
            <w:tcMar>
              <w:top w:w="70" w:type="dxa"/>
              <w:left w:w="85" w:type="dxa"/>
              <w:bottom w:w="70" w:type="dxa"/>
              <w:right w:w="85" w:type="dxa"/>
            </w:tcMar>
          </w:tcPr>
          <w:p>
            <w:pPr>
              <w:spacing w:after="30" w:before="0"/>
              <w:jc w:val="left"/>
            </w:pPr>
            <w:r>
              <w:rPr>
                <w:rFonts w:ascii="Arial" w:hAnsi="Arial"/>
                <w:sz w:val="16"/>
              </w:rPr>
              <w:t xml:space="preserve">None or narrow ranges</w:t>
            </w:r>
          </w:p>
        </w:tc>
        <w:tc>
          <w:tcPr>
            <w:vAlign w:val="center"/>
            <w:tcMar>
              <w:top w:w="70" w:type="dxa"/>
              <w:left w:w="85" w:type="dxa"/>
              <w:bottom w:w="70" w:type="dxa"/>
              <w:right w:w="85" w:type="dxa"/>
            </w:tcMar>
          </w:tcPr>
          <w:p>
            <w:pPr>
              <w:spacing w:after="30" w:before="0"/>
              <w:jc w:val="left"/>
            </w:pPr>
            <w:r>
              <w:rPr>
                <w:rFonts w:ascii="Arial" w:hAnsi="Arial"/>
                <w:sz w:val="16"/>
              </w:rPr>
              <w:t xml:space="preserve">Cloud NAT with domain controls</w:t>
            </w:r>
          </w:p>
        </w:tc>
        <w:tc>
          <w:tcPr>
            <w:vAlign w:val="center"/>
            <w:tcMar>
              <w:top w:w="70" w:type="dxa"/>
              <w:left w:w="85" w:type="dxa"/>
              <w:bottom w:w="70" w:type="dxa"/>
              <w:right w:w="85" w:type="dxa"/>
            </w:tcMar>
          </w:tcPr>
          <w:p>
            <w:pPr>
              <w:spacing w:after="30" w:before="0"/>
              <w:jc w:val="left"/>
            </w:pPr>
            <w:r>
              <w:rPr>
                <w:rFonts w:ascii="Arial" w:hAnsi="Arial"/>
                <w:sz w:val="16"/>
              </w:rPr>
              <w:t xml:space="preserve">Experimentation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Connectivity</w:t>
            </w:r>
          </w:p>
        </w:tc>
        <w:tc>
          <w:tcPr>
            <w:vAlign w:val="center"/>
            <w:tcMar>
              <w:top w:w="70" w:type="dxa"/>
              <w:left w:w="85" w:type="dxa"/>
              <w:bottom w:w="70" w:type="dxa"/>
              <w:right w:w="85" w:type="dxa"/>
            </w:tcMar>
          </w:tcPr>
          <w:p>
            <w:pPr>
              <w:spacing w:after="30" w:before="0"/>
              <w:jc w:val="left"/>
            </w:pPr>
            <w:r>
              <w:rPr>
                <w:rFonts w:ascii="Arial" w:hAnsi="Arial"/>
                <w:sz w:val="16"/>
              </w:rPr>
              <w:t xml:space="preserve">Enterprise transit ranges</w:t>
            </w:r>
          </w:p>
        </w:tc>
        <w:tc>
          <w:tcPr>
            <w:vAlign w:val="center"/>
            <w:tcMar>
              <w:top w:w="70" w:type="dxa"/>
              <w:left w:w="85" w:type="dxa"/>
              <w:bottom w:w="70" w:type="dxa"/>
              <w:right w:w="85" w:type="dxa"/>
            </w:tcMar>
          </w:tcPr>
          <w:p>
            <w:pPr>
              <w:spacing w:after="30" w:before="0"/>
              <w:jc w:val="left"/>
            </w:pPr>
            <w:r>
              <w:rPr>
                <w:rFonts w:ascii="Arial" w:hAnsi="Arial"/>
                <w:sz w:val="16"/>
              </w:rPr>
              <w:t xml:space="preserve">Aggregated spoke prefixes</w:t>
            </w:r>
          </w:p>
        </w:tc>
        <w:tc>
          <w:tcPr>
            <w:vAlign w:val="center"/>
            <w:tcMar>
              <w:top w:w="70" w:type="dxa"/>
              <w:left w:w="85" w:type="dxa"/>
              <w:bottom w:w="70" w:type="dxa"/>
              <w:right w:w="85" w:type="dxa"/>
            </w:tcMar>
          </w:tcPr>
          <w:p>
            <w:pPr>
              <w:spacing w:after="30" w:before="0"/>
              <w:jc w:val="left"/>
            </w:pPr>
            <w:r>
              <w:rPr>
                <w:rFonts w:ascii="Arial" w:hAnsi="Arial"/>
                <w:sz w:val="16"/>
              </w:rPr>
              <w:t xml:space="preserve">Not a workload domain</w:t>
            </w:r>
          </w:p>
        </w:tc>
        <w:tc>
          <w:tcPr>
            <w:vAlign w:val="center"/>
            <w:tcMar>
              <w:top w:w="70" w:type="dxa"/>
              <w:left w:w="85" w:type="dxa"/>
              <w:bottom w:w="70" w:type="dxa"/>
              <w:right w:w="85" w:type="dxa"/>
            </w:tcMar>
          </w:tcPr>
          <w:p>
            <w:pPr>
              <w:spacing w:after="30" w:before="0"/>
              <w:jc w:val="left"/>
            </w:pPr>
            <w:r>
              <w:rPr>
                <w:rFonts w:ascii="Arial" w:hAnsi="Arial"/>
                <w:sz w:val="16"/>
              </w:rPr>
              <w:t xml:space="preserve">Hybrid and multi-cloud transit</w:t>
            </w:r>
          </w:p>
        </w:tc>
      </w:tr>
    </w:tbl>
    <w:p>
      <w:pPr>
        <w:pStyle w:val="BodyText"/>
      </w:pPr>
      <w:r>
        <w:t xml:space="preserve">Route intent is stored as code and reviewed with the same rigor as firewall policy. A route change that broadens reachability is treated as a security-impacting change.</w:t>
      </w:r>
    </w:p>
    <w:bookmarkEnd w:id="70"/>
    <w:bookmarkEnd w:id="71"/>
    <w:bookmarkStart w:id="73" w:name="private-google-access"/>
    <w:p>
      <w:pPr>
        <w:pStyle w:val="Heading2"/>
        <w:keepNext/>
        <w:pageBreakBefore w:val="0"/>
      </w:pPr>
      <w:r>
        <w:t xml:space="preserve">4.7 Private Google Access</w:t>
      </w:r>
    </w:p>
    <w:p>
      <w:pPr>
        <w:pStyle w:val="FirstParagraph"/>
      </w:pPr>
      <w:r>
        <w:t xml:space="preserve">Private Google Access is enabled on subnets that host workloads without external IP addresses. It allows supported resources to reach Google APIs and services without traversing the public internet from a workload perspective. DNS policy determines whether clients use standard, private or restricted Google API endpoints.</w:t>
      </w:r>
    </w:p>
    <w:bookmarkStart w:id="72" w:name="control-pattern"/>
    <w:p>
      <w:pPr>
        <w:pStyle w:val="Heading3"/>
        <w:keepNext/>
        <w:pageBreakBefore w:val="0"/>
      </w:pPr>
      <w:r>
        <w:t xml:space="preserve">Control pattern</w:t>
      </w:r>
    </w:p>
    <w:p>
      <w:pPr>
        <w:pStyle w:val="Compact"/>
        <w:numPr>
          <w:ilvl w:val="0"/>
          <w:numId w:val="1008"/>
        </w:numPr>
      </w:pPr>
      <w:r>
        <w:t xml:space="preserve">Enable Private Google Access on all approved workload subnets.</w:t>
      </w:r>
    </w:p>
    <w:p>
      <w:pPr>
        <w:pStyle w:val="Compact"/>
        <w:numPr>
          <w:ilvl w:val="0"/>
          <w:numId w:val="1008"/>
        </w:numPr>
      </w:pPr>
      <w:r>
        <w:t xml:space="preserve">Configure private DNS for</w:t>
      </w:r>
      <w:r>
        <w:t xml:space="preserve"> </w:t>
      </w:r>
      <w:r>
        <w:rPr>
          <w:rStyle w:val="VerbatimChar"/>
        </w:rPr>
        <w:t xml:space="preserve">googleapis.com</w:t>
      </w:r>
      <w:r>
        <w:t xml:space="preserve"> </w:t>
      </w:r>
      <w:r>
        <w:t xml:space="preserve">according to service-perimeter and egress requirements.</w:t>
      </w:r>
    </w:p>
    <w:p>
      <w:pPr>
        <w:pStyle w:val="Compact"/>
        <w:numPr>
          <w:ilvl w:val="0"/>
          <w:numId w:val="1008"/>
        </w:numPr>
      </w:pPr>
      <w:r>
        <w:t xml:space="preserve">Prefer restricted API endpoints for workloads inside high-sensitivity service perimeters when supported.</w:t>
      </w:r>
    </w:p>
    <w:p>
      <w:pPr>
        <w:pStyle w:val="Compact"/>
        <w:numPr>
          <w:ilvl w:val="0"/>
          <w:numId w:val="1008"/>
        </w:numPr>
      </w:pPr>
      <w:r>
        <w:t xml:space="preserve">Block direct external IP assignment through organization policy except for approved exception projects.</w:t>
      </w:r>
    </w:p>
    <w:p>
      <w:pPr>
        <w:pStyle w:val="Compact"/>
        <w:numPr>
          <w:ilvl w:val="0"/>
          <w:numId w:val="1008"/>
        </w:numPr>
      </w:pPr>
      <w:r>
        <w:t xml:space="preserve">Capture VPC Flow Logs and DNS query logs for investigation and assurance.</w:t>
      </w:r>
    </w:p>
    <w:p>
      <w:pPr>
        <w:pStyle w:val="Compact"/>
        <w:numPr>
          <w:ilvl w:val="0"/>
          <w:numId w:val="1008"/>
        </w:numPr>
      </w:pPr>
      <w:r>
        <w:t xml:space="preserve">Validate service-specific endpoint behavior before production deployment.</w:t>
      </w:r>
    </w:p>
    <w:p>
      <w:pPr>
        <w:pStyle w:val="FirstParagraph"/>
      </w:pPr>
      <w:r>
        <w:t xml:space="preserve">Private Google Access is not an authorization mechanism. IAM, resource policy, service perimeter rules and application authentication remain mandatory.</w:t>
      </w:r>
    </w:p>
    <w:bookmarkEnd w:id="72"/>
    <w:bookmarkEnd w:id="73"/>
    <w:bookmarkStart w:id="77" w:name="private-service-connect"/>
    <w:p>
      <w:pPr>
        <w:pStyle w:val="Heading2"/>
        <w:keepNext/>
        <w:pageBreakBefore w:val="0"/>
      </w:pPr>
      <w:r>
        <w:t xml:space="preserve">4.8 Private Service Connect</w:t>
      </w:r>
    </w:p>
    <w:p>
      <w:pPr>
        <w:pStyle w:val="FirstParagraph"/>
      </w:pPr>
      <w:r>
        <w:t xml:space="preserve">Private Service Connect is the preferred pattern for privately consuming supported Google APIs, managed services and producer services across VPC boundaries without broad network peering. It provides endpoint-based service exposure while preserving producer and consumer network autonomy.</w:t>
      </w:r>
    </w:p>
    <w:bookmarkStart w:id="74" w:name="enterprise-usage-patterns"/>
    <w:p>
      <w:pPr>
        <w:pStyle w:val="Heading3"/>
        <w:keepNext/>
        <w:pageBreakBefore w:val="0"/>
      </w:pPr>
      <w:r>
        <w:t xml:space="preserve">Enterprise usage patterns</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Pattern</w:t>
            </w:r>
          </w:p>
        </w:tc>
        <w:tc>
          <w:tcPr>
            <w:vAlign w:val="center"/>
            <w:tcMar>
              <w:top w:w="70" w:type="dxa"/>
              <w:left w:w="85" w:type="dxa"/>
              <w:bottom w:w="70" w:type="dxa"/>
              <w:right w:w="85" w:type="dxa"/>
            </w:tcMar>
          </w:tcPr>
          <w:p>
            <w:pPr>
              <w:spacing w:after="30" w:before="0"/>
              <w:jc w:val="left"/>
            </w:pPr>
            <w:r>
              <w:rPr>
                <w:rFonts w:ascii="Arial" w:hAnsi="Arial"/>
                <w:b/>
                <w:sz w:val="16"/>
              </w:rPr>
              <w:t xml:space="preserve">Producer</w:t>
            </w:r>
          </w:p>
        </w:tc>
        <w:tc>
          <w:tcPr>
            <w:vAlign w:val="center"/>
            <w:tcMar>
              <w:top w:w="70" w:type="dxa"/>
              <w:left w:w="85" w:type="dxa"/>
              <w:bottom w:w="70" w:type="dxa"/>
              <w:right w:w="85" w:type="dxa"/>
            </w:tcMar>
          </w:tcPr>
          <w:p>
            <w:pPr>
              <w:spacing w:after="30" w:before="0"/>
              <w:jc w:val="left"/>
            </w:pPr>
            <w:r>
              <w:rPr>
                <w:rFonts w:ascii="Arial" w:hAnsi="Arial"/>
                <w:b/>
                <w:sz w:val="16"/>
              </w:rPr>
              <w:t xml:space="preserve">Consumer</w:t>
            </w:r>
          </w:p>
        </w:tc>
        <w:tc>
          <w:tcPr>
            <w:vAlign w:val="center"/>
            <w:tcMar>
              <w:top w:w="70" w:type="dxa"/>
              <w:left w:w="85" w:type="dxa"/>
              <w:bottom w:w="70" w:type="dxa"/>
              <w:right w:w="85" w:type="dxa"/>
            </w:tcMar>
          </w:tcPr>
          <w:p>
            <w:pPr>
              <w:spacing w:after="30" w:before="0"/>
              <w:jc w:val="left"/>
            </w:pPr>
            <w:r>
              <w:rPr>
                <w:rFonts w:ascii="Arial" w:hAnsi="Arial"/>
                <w:b/>
                <w:sz w:val="16"/>
              </w:rPr>
              <w:t xml:space="preserve">Landing-zone control</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Google APIs endpoint</w:t>
            </w:r>
          </w:p>
        </w:tc>
        <w:tc>
          <w:tcPr>
            <w:vAlign w:val="center"/>
            <w:tcMar>
              <w:top w:w="70" w:type="dxa"/>
              <w:left w:w="85" w:type="dxa"/>
              <w:bottom w:w="70" w:type="dxa"/>
              <w:right w:w="85" w:type="dxa"/>
            </w:tcMar>
          </w:tcPr>
          <w:p>
            <w:pPr>
              <w:spacing w:after="30" w:before="0"/>
              <w:jc w:val="left"/>
            </w:pPr>
            <w:r>
              <w:rPr>
                <w:rFonts w:ascii="Arial" w:hAnsi="Arial"/>
                <w:sz w:val="16"/>
              </w:rPr>
              <w:t xml:space="preserve">Google-managed APIs</w:t>
            </w:r>
          </w:p>
        </w:tc>
        <w:tc>
          <w:tcPr>
            <w:vAlign w:val="center"/>
            <w:tcMar>
              <w:top w:w="70" w:type="dxa"/>
              <w:left w:w="85" w:type="dxa"/>
              <w:bottom w:w="70" w:type="dxa"/>
              <w:right w:w="85" w:type="dxa"/>
            </w:tcMar>
          </w:tcPr>
          <w:p>
            <w:pPr>
              <w:spacing w:after="30" w:before="0"/>
              <w:jc w:val="left"/>
            </w:pPr>
            <w:r>
              <w:rPr>
                <w:rFonts w:ascii="Arial" w:hAnsi="Arial"/>
                <w:sz w:val="16"/>
              </w:rPr>
              <w:t xml:space="preserve">Workload VPC</w:t>
            </w:r>
          </w:p>
        </w:tc>
        <w:tc>
          <w:tcPr>
            <w:vAlign w:val="center"/>
            <w:tcMar>
              <w:top w:w="70" w:type="dxa"/>
              <w:left w:w="85" w:type="dxa"/>
              <w:bottom w:w="70" w:type="dxa"/>
              <w:right w:w="85" w:type="dxa"/>
            </w:tcMar>
          </w:tcPr>
          <w:p>
            <w:pPr>
              <w:spacing w:after="30" w:before="0"/>
              <w:jc w:val="left"/>
            </w:pPr>
            <w:r>
              <w:rPr>
                <w:rFonts w:ascii="Arial" w:hAnsi="Arial"/>
                <w:sz w:val="16"/>
              </w:rPr>
              <w:t xml:space="preserve">Central DNS, endpoint IP allocation and policy validation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Published internal service</w:t>
            </w:r>
          </w:p>
        </w:tc>
        <w:tc>
          <w:tcPr>
            <w:vAlign w:val="center"/>
            <w:tcMar>
              <w:top w:w="70" w:type="dxa"/>
              <w:left w:w="85" w:type="dxa"/>
              <w:bottom w:w="70" w:type="dxa"/>
              <w:right w:w="85" w:type="dxa"/>
            </w:tcMar>
          </w:tcPr>
          <w:p>
            <w:pPr>
              <w:spacing w:after="30" w:before="0"/>
              <w:jc w:val="left"/>
            </w:pPr>
            <w:r>
              <w:rPr>
                <w:rFonts w:ascii="Arial" w:hAnsi="Arial"/>
                <w:sz w:val="16"/>
              </w:rPr>
              <w:t xml:space="preserve">Shared platform or domain service</w:t>
            </w:r>
          </w:p>
        </w:tc>
        <w:tc>
          <w:tcPr>
            <w:vAlign w:val="center"/>
            <w:tcMar>
              <w:top w:w="70" w:type="dxa"/>
              <w:left w:w="85" w:type="dxa"/>
              <w:bottom w:w="70" w:type="dxa"/>
              <w:right w:w="85" w:type="dxa"/>
            </w:tcMar>
          </w:tcPr>
          <w:p>
            <w:pPr>
              <w:spacing w:after="30" w:before="0"/>
              <w:jc w:val="left"/>
            </w:pPr>
            <w:r>
              <w:rPr>
                <w:rFonts w:ascii="Arial" w:hAnsi="Arial"/>
                <w:sz w:val="16"/>
              </w:rPr>
              <w:t xml:space="preserve">Other enterprise VPCs</w:t>
            </w:r>
          </w:p>
        </w:tc>
        <w:tc>
          <w:tcPr>
            <w:vAlign w:val="center"/>
            <w:tcMar>
              <w:top w:w="70" w:type="dxa"/>
              <w:left w:w="85" w:type="dxa"/>
              <w:bottom w:w="70" w:type="dxa"/>
              <w:right w:w="85" w:type="dxa"/>
            </w:tcMar>
          </w:tcPr>
          <w:p>
            <w:pPr>
              <w:spacing w:after="30" w:before="0"/>
              <w:jc w:val="left"/>
            </w:pPr>
            <w:r>
              <w:rPr>
                <w:rFonts w:ascii="Arial" w:hAnsi="Arial"/>
                <w:sz w:val="16"/>
              </w:rPr>
              <w:t xml:space="preserve">Service attachment, consumer allow-list and logging</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Third-party managed service</w:t>
            </w:r>
          </w:p>
        </w:tc>
        <w:tc>
          <w:tcPr>
            <w:vAlign w:val="center"/>
            <w:tcMar>
              <w:top w:w="70" w:type="dxa"/>
              <w:left w:w="85" w:type="dxa"/>
              <w:bottom w:w="70" w:type="dxa"/>
              <w:right w:w="85" w:type="dxa"/>
            </w:tcMar>
          </w:tcPr>
          <w:p>
            <w:pPr>
              <w:spacing w:after="30" w:before="0"/>
              <w:jc w:val="left"/>
            </w:pPr>
            <w:r>
              <w:rPr>
                <w:rFonts w:ascii="Arial" w:hAnsi="Arial"/>
                <w:sz w:val="16"/>
              </w:rPr>
              <w:t xml:space="preserve">Approved vendor</w:t>
            </w:r>
          </w:p>
        </w:tc>
        <w:tc>
          <w:tcPr>
            <w:vAlign w:val="center"/>
            <w:tcMar>
              <w:top w:w="70" w:type="dxa"/>
              <w:left w:w="85" w:type="dxa"/>
              <w:bottom w:w="70" w:type="dxa"/>
              <w:right w:w="85" w:type="dxa"/>
            </w:tcMar>
          </w:tcPr>
          <w:p>
            <w:pPr>
              <w:spacing w:after="30" w:before="0"/>
              <w:jc w:val="left"/>
            </w:pPr>
            <w:r>
              <w:rPr>
                <w:rFonts w:ascii="Arial" w:hAnsi="Arial"/>
                <w:sz w:val="16"/>
              </w:rPr>
              <w:t xml:space="preserve">Enterprise workload</w:t>
            </w:r>
          </w:p>
        </w:tc>
        <w:tc>
          <w:tcPr>
            <w:vAlign w:val="center"/>
            <w:tcMar>
              <w:top w:w="70" w:type="dxa"/>
              <w:left w:w="85" w:type="dxa"/>
              <w:bottom w:w="70" w:type="dxa"/>
              <w:right w:w="85" w:type="dxa"/>
            </w:tcMar>
          </w:tcPr>
          <w:p>
            <w:pPr>
              <w:spacing w:after="30" w:before="0"/>
              <w:jc w:val="left"/>
            </w:pPr>
            <w:r>
              <w:rPr>
                <w:rFonts w:ascii="Arial" w:hAnsi="Arial"/>
                <w:sz w:val="16"/>
              </w:rPr>
              <w:t xml:space="preserve">Contracted service attachment and security review</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Cross-organization service</w:t>
            </w:r>
          </w:p>
        </w:tc>
        <w:tc>
          <w:tcPr>
            <w:vAlign w:val="center"/>
            <w:tcMar>
              <w:top w:w="70" w:type="dxa"/>
              <w:left w:w="85" w:type="dxa"/>
              <w:bottom w:w="70" w:type="dxa"/>
              <w:right w:w="85" w:type="dxa"/>
            </w:tcMar>
          </w:tcPr>
          <w:p>
            <w:pPr>
              <w:spacing w:after="30" w:before="0"/>
              <w:jc w:val="left"/>
            </w:pPr>
            <w:r>
              <w:rPr>
                <w:rFonts w:ascii="Arial" w:hAnsi="Arial"/>
                <w:sz w:val="16"/>
              </w:rPr>
              <w:t xml:space="preserve">Acquired company or partner</w:t>
            </w:r>
          </w:p>
        </w:tc>
        <w:tc>
          <w:tcPr>
            <w:vAlign w:val="center"/>
            <w:tcMar>
              <w:top w:w="70" w:type="dxa"/>
              <w:left w:w="85" w:type="dxa"/>
              <w:bottom w:w="70" w:type="dxa"/>
              <w:right w:w="85" w:type="dxa"/>
            </w:tcMar>
          </w:tcPr>
          <w:p>
            <w:pPr>
              <w:spacing w:after="30" w:before="0"/>
              <w:jc w:val="left"/>
            </w:pPr>
            <w:r>
              <w:rPr>
                <w:rFonts w:ascii="Arial" w:hAnsi="Arial"/>
                <w:sz w:val="16"/>
              </w:rPr>
              <w:t xml:space="preserve">Enterprise domain</w:t>
            </w:r>
          </w:p>
        </w:tc>
        <w:tc>
          <w:tcPr>
            <w:vAlign w:val="center"/>
            <w:tcMar>
              <w:top w:w="70" w:type="dxa"/>
              <w:left w:w="85" w:type="dxa"/>
              <w:bottom w:w="70" w:type="dxa"/>
              <w:right w:w="85" w:type="dxa"/>
            </w:tcMar>
          </w:tcPr>
          <w:p>
            <w:pPr>
              <w:spacing w:after="30" w:before="0"/>
              <w:jc w:val="left"/>
            </w:pPr>
            <w:r>
              <w:rPr>
                <w:rFonts w:ascii="Arial" w:hAnsi="Arial"/>
                <w:sz w:val="16"/>
              </w:rPr>
              <w:t xml:space="preserve">Explicit trust boundary and data-processing agreement</w:t>
            </w:r>
          </w:p>
        </w:tc>
      </w:tr>
    </w:tbl>
    <w:bookmarkEnd w:id="74"/>
    <w:bookmarkStart w:id="75" w:name="best-practices"/>
    <w:p>
      <w:pPr>
        <w:pStyle w:val="Heading3"/>
        <w:keepNext/>
        <w:pageBreakBefore w:val="0"/>
      </w:pPr>
      <w:r>
        <w:t xml:space="preserve">Best practices</w:t>
      </w:r>
    </w:p>
    <w:p>
      <w:pPr>
        <w:pStyle w:val="Compact"/>
        <w:numPr>
          <w:ilvl w:val="0"/>
          <w:numId w:val="1009"/>
        </w:numPr>
      </w:pPr>
      <w:r>
        <w:t xml:space="preserve">Allocate PSC endpoint addresses from dedicated ranges.</w:t>
      </w:r>
    </w:p>
    <w:p>
      <w:pPr>
        <w:pStyle w:val="Compact"/>
        <w:numPr>
          <w:ilvl w:val="0"/>
          <w:numId w:val="1009"/>
        </w:numPr>
      </w:pPr>
      <w:r>
        <w:t xml:space="preserve">Register endpoints in enterprise DNS with stable names.</w:t>
      </w:r>
    </w:p>
    <w:p>
      <w:pPr>
        <w:pStyle w:val="Compact"/>
        <w:numPr>
          <w:ilvl w:val="0"/>
          <w:numId w:val="1009"/>
        </w:numPr>
      </w:pPr>
      <w:r>
        <w:t xml:space="preserve">Approve producers and consumers explicitly; do not rely on discoverability alone.</w:t>
      </w:r>
    </w:p>
    <w:p>
      <w:pPr>
        <w:pStyle w:val="Compact"/>
        <w:numPr>
          <w:ilvl w:val="0"/>
          <w:numId w:val="1009"/>
        </w:numPr>
      </w:pPr>
      <w:r>
        <w:t xml:space="preserve">Apply firewall and application-layer authorization in addition to endpoint reachability.</w:t>
      </w:r>
    </w:p>
    <w:p>
      <w:pPr>
        <w:pStyle w:val="Compact"/>
        <w:numPr>
          <w:ilvl w:val="0"/>
          <w:numId w:val="1009"/>
        </w:numPr>
      </w:pPr>
      <w:r>
        <w:t xml:space="preserve">Monitor endpoint connection state, service attachment acceptance and backend health.</w:t>
      </w:r>
    </w:p>
    <w:p>
      <w:pPr>
        <w:pStyle w:val="Compact"/>
        <w:numPr>
          <w:ilvl w:val="0"/>
          <w:numId w:val="1009"/>
        </w:numPr>
      </w:pPr>
      <w:r>
        <w:t xml:space="preserve">Use separate endpoints for production and non-production.</w:t>
      </w:r>
    </w:p>
    <w:p>
      <w:pPr>
        <w:pStyle w:val="Compact"/>
        <w:numPr>
          <w:ilvl w:val="0"/>
          <w:numId w:val="1009"/>
        </w:numPr>
      </w:pPr>
      <w:r>
        <w:t xml:space="preserve">Document service-specific limitations, supported regions and VPC Service Controls compatibility.</w:t>
      </w:r>
    </w:p>
    <w:bookmarkEnd w:id="75"/>
    <w:bookmarkStart w:id="76" w:name="common-pitfalls"/>
    <w:p>
      <w:pPr>
        <w:pStyle w:val="Heading3"/>
        <w:keepNext/>
        <w:pageBreakBefore w:val="0"/>
      </w:pPr>
      <w:r>
        <w:t xml:space="preserve">Common pitfalls</w:t>
      </w:r>
    </w:p>
    <w:p>
      <w:pPr>
        <w:pStyle w:val="Compact"/>
        <w:numPr>
          <w:ilvl w:val="0"/>
          <w:numId w:val="1010"/>
        </w:numPr>
      </w:pPr>
      <w:r>
        <w:t xml:space="preserve">Treating PSC as a replacement for IAM or API authentication.</w:t>
      </w:r>
    </w:p>
    <w:p>
      <w:pPr>
        <w:pStyle w:val="Compact"/>
        <w:numPr>
          <w:ilvl w:val="0"/>
          <w:numId w:val="1010"/>
        </w:numPr>
      </w:pPr>
      <w:r>
        <w:t xml:space="preserve">Publishing a service from a network with uncontrolled lateral reachability.</w:t>
      </w:r>
    </w:p>
    <w:p>
      <w:pPr>
        <w:pStyle w:val="Compact"/>
        <w:numPr>
          <w:ilvl w:val="0"/>
          <w:numId w:val="1010"/>
        </w:numPr>
      </w:pPr>
      <w:r>
        <w:t xml:space="preserve">Reusing endpoint IP ranges without IPAM registration.</w:t>
      </w:r>
    </w:p>
    <w:p>
      <w:pPr>
        <w:pStyle w:val="Compact"/>
        <w:numPr>
          <w:ilvl w:val="0"/>
          <w:numId w:val="1010"/>
        </w:numPr>
      </w:pPr>
      <w:r>
        <w:t xml:space="preserve">Failing to plan DNS cutover and rollback.</w:t>
      </w:r>
    </w:p>
    <w:p>
      <w:pPr>
        <w:pStyle w:val="Compact"/>
        <w:numPr>
          <w:ilvl w:val="0"/>
          <w:numId w:val="1010"/>
        </w:numPr>
      </w:pPr>
      <w:r>
        <w:t xml:space="preserve">Assuming all managed services expose identical PSC capabilities.</w:t>
      </w:r>
    </w:p>
    <w:bookmarkEnd w:id="76"/>
    <w:bookmarkEnd w:id="77"/>
    <w:bookmarkStart w:id="78" w:name="cloud-nat"/>
    <w:p>
      <w:pPr>
        <w:pStyle w:val="Heading2"/>
        <w:keepNext/>
        <w:pageBreakBefore w:val="0"/>
      </w:pPr>
      <w:r>
        <w:t xml:space="preserve">4.9 Cloud NAT</w:t>
      </w:r>
    </w:p>
    <w:p>
      <w:pPr>
        <w:pStyle w:val="FirstParagraph"/>
      </w:pPr>
      <w:r>
        <w:t xml:space="preserve">Cloud NAT supplies controlled outbound internet connectivity for private workloads that cannot use private APIs or PSC. It is deployed regionally, associated with dedicated Cloud Routers and configured only for subnets or address ranges with approved egress requirements.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Control</w:t>
            </w:r>
          </w:p>
        </w:tc>
        <w:tc>
          <w:tcPr>
            <w:vAlign w:val="center"/>
            <w:tcMar>
              <w:top w:w="70" w:type="dxa"/>
              <w:left w:w="85" w:type="dxa"/>
              <w:bottom w:w="70" w:type="dxa"/>
              <w:right w:w="85" w:type="dxa"/>
            </w:tcMar>
          </w:tcPr>
          <w:p>
            <w:pPr>
              <w:spacing w:after="30" w:before="0"/>
              <w:jc w:val="left"/>
            </w:pPr>
            <w:r>
              <w:rPr>
                <w:rFonts w:ascii="Arial" w:hAnsi="Arial"/>
                <w:b/>
                <w:sz w:val="16"/>
              </w:rPr>
              <w:t xml:space="preserve">Standard</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External IPs</w:t>
            </w:r>
          </w:p>
        </w:tc>
        <w:tc>
          <w:tcPr>
            <w:vAlign w:val="center"/>
            <w:tcMar>
              <w:top w:w="70" w:type="dxa"/>
              <w:left w:w="85" w:type="dxa"/>
              <w:bottom w:w="70" w:type="dxa"/>
              <w:right w:w="85" w:type="dxa"/>
            </w:tcMar>
          </w:tcPr>
          <w:p>
            <w:pPr>
              <w:spacing w:after="30" w:before="0"/>
              <w:jc w:val="left"/>
            </w:pPr>
            <w:r>
              <w:rPr>
                <w:rFonts w:ascii="Arial" w:hAnsi="Arial"/>
                <w:sz w:val="16"/>
              </w:rPr>
              <w:t xml:space="preserve">Static enterprise-owned addresses where allow-listing is required</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Port allocation</w:t>
            </w:r>
          </w:p>
        </w:tc>
        <w:tc>
          <w:tcPr>
            <w:vAlign w:val="center"/>
            <w:tcMar>
              <w:top w:w="70" w:type="dxa"/>
              <w:left w:w="85" w:type="dxa"/>
              <w:bottom w:w="70" w:type="dxa"/>
              <w:right w:w="85" w:type="dxa"/>
            </w:tcMar>
          </w:tcPr>
          <w:p>
            <w:pPr>
              <w:spacing w:after="30" w:before="0"/>
              <w:jc w:val="left"/>
            </w:pPr>
            <w:r>
              <w:rPr>
                <w:rFonts w:ascii="Arial" w:hAnsi="Arial"/>
                <w:sz w:val="16"/>
              </w:rPr>
              <w:t xml:space="preserve">Dynamic or manually sized from measured concurrency and destination patterns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Logging</w:t>
            </w:r>
          </w:p>
        </w:tc>
        <w:tc>
          <w:tcPr>
            <w:vAlign w:val="center"/>
            <w:tcMar>
              <w:top w:w="70" w:type="dxa"/>
              <w:left w:w="85" w:type="dxa"/>
              <w:bottom w:w="70" w:type="dxa"/>
              <w:right w:w="85" w:type="dxa"/>
            </w:tcMar>
          </w:tcPr>
          <w:p>
            <w:pPr>
              <w:spacing w:after="30" w:before="0"/>
              <w:jc w:val="left"/>
            </w:pPr>
            <w:r>
              <w:rPr>
                <w:rFonts w:ascii="Arial" w:hAnsi="Arial"/>
                <w:sz w:val="16"/>
              </w:rPr>
              <w:t xml:space="preserve">Errors always; translations sampled or fully logged based on risk and cost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High availability</w:t>
            </w:r>
          </w:p>
        </w:tc>
        <w:tc>
          <w:tcPr>
            <w:vAlign w:val="center"/>
            <w:tcMar>
              <w:top w:w="70" w:type="dxa"/>
              <w:left w:w="85" w:type="dxa"/>
              <w:bottom w:w="70" w:type="dxa"/>
              <w:right w:w="85" w:type="dxa"/>
            </w:tcMar>
          </w:tcPr>
          <w:p>
            <w:pPr>
              <w:spacing w:after="30" w:before="0"/>
              <w:jc w:val="left"/>
            </w:pPr>
            <w:r>
              <w:rPr>
                <w:rFonts w:ascii="Arial" w:hAnsi="Arial"/>
                <w:sz w:val="16"/>
              </w:rPr>
              <w:t xml:space="preserve">Regional managed service with multiple external addresses where needed</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Scope</w:t>
            </w:r>
          </w:p>
        </w:tc>
        <w:tc>
          <w:tcPr>
            <w:vAlign w:val="center"/>
            <w:tcMar>
              <w:top w:w="70" w:type="dxa"/>
              <w:left w:w="85" w:type="dxa"/>
              <w:bottom w:w="70" w:type="dxa"/>
              <w:right w:w="85" w:type="dxa"/>
            </w:tcMar>
          </w:tcPr>
          <w:p>
            <w:pPr>
              <w:spacing w:after="30" w:before="0"/>
              <w:jc w:val="left"/>
            </w:pPr>
            <w:r>
              <w:rPr>
                <w:rFonts w:ascii="Arial" w:hAnsi="Arial"/>
                <w:sz w:val="16"/>
              </w:rPr>
              <w:t xml:space="preserve">Explicit subnet ranges, not indiscriminate all-subnet enablement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Egress filtering</w:t>
            </w:r>
          </w:p>
        </w:tc>
        <w:tc>
          <w:tcPr>
            <w:vAlign w:val="center"/>
            <w:tcMar>
              <w:top w:w="70" w:type="dxa"/>
              <w:left w:w="85" w:type="dxa"/>
              <w:bottom w:w="70" w:type="dxa"/>
              <w:right w:w="85" w:type="dxa"/>
            </w:tcMar>
          </w:tcPr>
          <w:p>
            <w:pPr>
              <w:spacing w:after="30" w:before="0"/>
              <w:jc w:val="left"/>
            </w:pPr>
            <w:r>
              <w:rPr>
                <w:rFonts w:ascii="Arial" w:hAnsi="Arial"/>
                <w:sz w:val="16"/>
              </w:rPr>
              <w:t xml:space="preserve">Secure web proxy, next-generation firewall or application controls as required</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Monitoring</w:t>
            </w:r>
          </w:p>
        </w:tc>
        <w:tc>
          <w:tcPr>
            <w:vAlign w:val="center"/>
            <w:tcMar>
              <w:top w:w="70" w:type="dxa"/>
              <w:left w:w="85" w:type="dxa"/>
              <w:bottom w:w="70" w:type="dxa"/>
              <w:right w:w="85" w:type="dxa"/>
            </w:tcMar>
          </w:tcPr>
          <w:p>
            <w:pPr>
              <w:spacing w:after="30" w:before="0"/>
              <w:jc w:val="left"/>
            </w:pPr>
            <w:r>
              <w:rPr>
                <w:rFonts w:ascii="Arial" w:hAnsi="Arial"/>
                <w:sz w:val="16"/>
              </w:rPr>
              <w:t xml:space="preserve">Port exhaustion, dropped packets, allocation failures and unexpected destinations</w:t>
            </w:r>
          </w:p>
        </w:tc>
      </w:tr>
    </w:tbl>
    <w:p>
      <w:pPr>
        <w:pStyle w:val="BodyText"/>
      </w:pPr>
      <w:r>
        <w:t xml:space="preserve">Cloud NAT does not inspect payloads or provide domain-aware filtering. High-risk internet access therefore uses an approved secure egress architecture.</w:t>
      </w:r>
    </w:p>
    <w:bookmarkEnd w:id="78"/>
    <w:bookmarkStart w:id="81" w:name="cloud-dns"/>
    <w:p>
      <w:pPr>
        <w:pStyle w:val="Heading2"/>
        <w:keepNext/>
        <w:pageBreakBefore w:val="0"/>
      </w:pPr>
      <w:r>
        <w:t xml:space="preserve">4.10 Cloud DNS</w:t>
      </w:r>
    </w:p>
    <w:p>
      <w:pPr>
        <w:pStyle w:val="FirstParagraph"/>
      </w:pPr>
      <w:r>
        <w:t xml:space="preserve">Cloud DNS provides authoritative private zones, forwarding zones, peering zones and enterprise name resolution. DNS is a security and availability dependency and is managed centrally.</w:t>
      </w:r>
    </w:p>
    <w:bookmarkStart w:id="79" w:name="dns-architecture"/>
    <w:p>
      <w:pPr>
        <w:pStyle w:val="Heading3"/>
        <w:keepNext/>
        <w:pageBreakBefore w:val="0"/>
      </w:pPr>
      <w:r>
        <w:t xml:space="preserve">DNS architecture</w:t>
      </w:r>
    </w:p>
    <w:p>
      <w:pPr>
        <w:pStyle w:val="Compact"/>
        <w:numPr>
          <w:ilvl w:val="0"/>
          <w:numId w:val="1011"/>
        </w:numPr>
      </w:pPr>
      <w:r>
        <w:t xml:space="preserve">Global public zones remain in dedicated perimeter-controlled projects.</w:t>
      </w:r>
    </w:p>
    <w:p>
      <w:pPr>
        <w:pStyle w:val="Compact"/>
        <w:numPr>
          <w:ilvl w:val="0"/>
          <w:numId w:val="1011"/>
        </w:numPr>
      </w:pPr>
      <w:r>
        <w:t xml:space="preserve">Private zones are associated with approved networks by environment and geography.</w:t>
      </w:r>
    </w:p>
    <w:p>
      <w:pPr>
        <w:pStyle w:val="Compact"/>
        <w:numPr>
          <w:ilvl w:val="0"/>
          <w:numId w:val="1011"/>
        </w:numPr>
      </w:pPr>
      <w:r>
        <w:t xml:space="preserve">Inbound forwarding supports on-premises resolution of private Google Cloud names.</w:t>
      </w:r>
    </w:p>
    <w:p>
      <w:pPr>
        <w:pStyle w:val="Compact"/>
        <w:numPr>
          <w:ilvl w:val="0"/>
          <w:numId w:val="1011"/>
        </w:numPr>
      </w:pPr>
      <w:r>
        <w:t xml:space="preserve">Outbound forwarding resolves enterprise zones through redundant on-premises or cloud resolvers.</w:t>
      </w:r>
    </w:p>
    <w:p>
      <w:pPr>
        <w:pStyle w:val="Compact"/>
        <w:numPr>
          <w:ilvl w:val="0"/>
          <w:numId w:val="1011"/>
        </w:numPr>
      </w:pPr>
      <w:r>
        <w:t xml:space="preserve">Response policies implement controlled overrides and protective blocks.</w:t>
      </w:r>
    </w:p>
    <w:p>
      <w:pPr>
        <w:pStyle w:val="Compact"/>
        <w:numPr>
          <w:ilvl w:val="0"/>
          <w:numId w:val="1011"/>
        </w:numPr>
      </w:pPr>
      <w:r>
        <w:t xml:space="preserve">PSC and private API endpoint names are created through automated modules.</w:t>
      </w:r>
    </w:p>
    <w:p>
      <w:pPr>
        <w:pStyle w:val="Compact"/>
        <w:numPr>
          <w:ilvl w:val="0"/>
          <w:numId w:val="1011"/>
        </w:numPr>
      </w:pPr>
      <w:r>
        <w:t xml:space="preserve">DNS logging is enabled for high-value networks and integrated with security analytics.</w:t>
      </w:r>
    </w:p>
    <w:bookmarkEnd w:id="79"/>
    <w:bookmarkStart w:id="80" w:name="naming-zones"/>
    <w:p>
      <w:pPr>
        <w:pStyle w:val="Heading3"/>
        <w:keepNext/>
        <w:pageBreakBefore w:val="0"/>
      </w:pPr>
      <w:r>
        <w:t xml:space="preserve">Naming zones</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Zone</w:t>
            </w:r>
          </w:p>
        </w:tc>
        <w:tc>
          <w:tcPr>
            <w:vAlign w:val="center"/>
            <w:tcMar>
              <w:top w:w="70" w:type="dxa"/>
              <w:left w:w="85" w:type="dxa"/>
              <w:bottom w:w="70" w:type="dxa"/>
              <w:right w:w="85" w:type="dxa"/>
            </w:tcMar>
          </w:tcPr>
          <w:p>
            <w:pPr>
              <w:spacing w:after="30" w:before="0"/>
              <w:jc w:val="left"/>
            </w:pPr>
            <w:r>
              <w:rPr>
                <w:rFonts w:ascii="Arial" w:hAnsi="Arial"/>
                <w:b/>
                <w:sz w:val="16"/>
              </w:rPr>
              <w:t xml:space="preserve">Example</w:t>
            </w:r>
          </w:p>
        </w:tc>
        <w:tc>
          <w:tcPr>
            <w:vAlign w:val="center"/>
            <w:tcMar>
              <w:top w:w="70" w:type="dxa"/>
              <w:left w:w="85" w:type="dxa"/>
              <w:bottom w:w="70" w:type="dxa"/>
              <w:right w:w="85" w:type="dxa"/>
            </w:tcMar>
          </w:tcPr>
          <w:p>
            <w:pPr>
              <w:spacing w:after="30" w:before="0"/>
              <w:jc w:val="left"/>
            </w:pPr>
            <w:r>
              <w:rPr>
                <w:rFonts w:ascii="Arial" w:hAnsi="Arial"/>
                <w:b/>
                <w:sz w:val="16"/>
              </w:rPr>
              <w:t xml:space="preserve">Purpose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Enterprise private</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corp.example.internal</w:t>
            </w:r>
          </w:p>
        </w:tc>
        <w:tc>
          <w:tcPr>
            <w:vAlign w:val="center"/>
            <w:tcMar>
              <w:top w:w="70" w:type="dxa"/>
              <w:left w:w="85" w:type="dxa"/>
              <w:bottom w:w="70" w:type="dxa"/>
              <w:right w:w="85" w:type="dxa"/>
            </w:tcMar>
          </w:tcPr>
          <w:p>
            <w:pPr>
              <w:spacing w:after="30" w:before="0"/>
              <w:jc w:val="left"/>
            </w:pPr>
            <w:r>
              <w:rPr>
                <w:rFonts w:ascii="Arial" w:hAnsi="Arial"/>
                <w:sz w:val="16"/>
              </w:rPr>
              <w:t xml:space="preserve">Shared enterprise services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Production workload</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prod.gcp.example.internal</w:t>
            </w:r>
          </w:p>
        </w:tc>
        <w:tc>
          <w:tcPr>
            <w:vAlign w:val="center"/>
            <w:tcMar>
              <w:top w:w="70" w:type="dxa"/>
              <w:left w:w="85" w:type="dxa"/>
              <w:bottom w:w="70" w:type="dxa"/>
              <w:right w:w="85" w:type="dxa"/>
            </w:tcMar>
          </w:tcPr>
          <w:p>
            <w:pPr>
              <w:spacing w:after="30" w:before="0"/>
              <w:jc w:val="left"/>
            </w:pPr>
            <w:r>
              <w:rPr>
                <w:rFonts w:ascii="Arial" w:hAnsi="Arial"/>
                <w:sz w:val="16"/>
              </w:rPr>
              <w:t xml:space="preserve">Production service discovery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Non-production</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nonprod.gcp.example.internal</w:t>
            </w:r>
          </w:p>
        </w:tc>
        <w:tc>
          <w:tcPr>
            <w:vAlign w:val="center"/>
            <w:tcMar>
              <w:top w:w="70" w:type="dxa"/>
              <w:left w:w="85" w:type="dxa"/>
              <w:bottom w:w="70" w:type="dxa"/>
              <w:right w:w="85" w:type="dxa"/>
            </w:tcMar>
          </w:tcPr>
          <w:p>
            <w:pPr>
              <w:spacing w:after="30" w:before="0"/>
              <w:jc w:val="left"/>
            </w:pPr>
            <w:r>
              <w:rPr>
                <w:rFonts w:ascii="Arial" w:hAnsi="Arial"/>
                <w:sz w:val="16"/>
              </w:rPr>
              <w:t xml:space="preserve">Development, test and staging</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PSC</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psc.gcp.example.internal</w:t>
            </w:r>
          </w:p>
        </w:tc>
        <w:tc>
          <w:tcPr>
            <w:vAlign w:val="center"/>
            <w:tcMar>
              <w:top w:w="70" w:type="dxa"/>
              <w:left w:w="85" w:type="dxa"/>
              <w:bottom w:w="70" w:type="dxa"/>
              <w:right w:w="85" w:type="dxa"/>
            </w:tcMar>
          </w:tcPr>
          <w:p>
            <w:pPr>
              <w:spacing w:after="30" w:before="0"/>
              <w:jc w:val="left"/>
            </w:pPr>
            <w:r>
              <w:rPr>
                <w:rFonts w:ascii="Arial" w:hAnsi="Arial"/>
                <w:sz w:val="16"/>
              </w:rPr>
              <w:t xml:space="preserve">Private managed and producer endpoints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Restricted</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restricted.gcp.example.internal</w:t>
            </w:r>
          </w:p>
        </w:tc>
        <w:tc>
          <w:tcPr>
            <w:vAlign w:val="center"/>
            <w:tcMar>
              <w:top w:w="70" w:type="dxa"/>
              <w:left w:w="85" w:type="dxa"/>
              <w:bottom w:w="70" w:type="dxa"/>
              <w:right w:w="85" w:type="dxa"/>
            </w:tcMar>
          </w:tcPr>
          <w:p>
            <w:pPr>
              <w:spacing w:after="30" w:before="0"/>
              <w:jc w:val="left"/>
            </w:pPr>
            <w:r>
              <w:rPr>
                <w:rFonts w:ascii="Arial" w:hAnsi="Arial"/>
                <w:sz w:val="16"/>
              </w:rPr>
              <w:t xml:space="preserve">Regulated service resolution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Reverse</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in-addr.arpa</w:t>
            </w:r>
            <w:r>
              <w:rPr>
                <w:rFonts w:ascii="Arial" w:hAnsi="Arial"/>
                <w:sz w:val="16"/>
              </w:rPr>
              <w:t xml:space="preserve"> </w:t>
            </w:r>
            <w:r>
              <w:rPr>
                <w:rFonts w:ascii="Arial" w:hAnsi="Arial"/>
                <w:sz w:val="16"/>
              </w:rPr>
              <w:t xml:space="preserve">managed zones</w:t>
            </w:r>
          </w:p>
        </w:tc>
        <w:tc>
          <w:tcPr>
            <w:vAlign w:val="center"/>
            <w:tcMar>
              <w:top w:w="70" w:type="dxa"/>
              <w:left w:w="85" w:type="dxa"/>
              <w:bottom w:w="70" w:type="dxa"/>
              <w:right w:w="85" w:type="dxa"/>
            </w:tcMar>
          </w:tcPr>
          <w:p>
            <w:pPr>
              <w:spacing w:after="30" w:before="0"/>
              <w:jc w:val="left"/>
            </w:pPr>
            <w:r>
              <w:rPr>
                <w:rFonts w:ascii="Arial" w:hAnsi="Arial"/>
                <w:sz w:val="16"/>
              </w:rPr>
              <w:t xml:space="preserve">Investigation and operational tooling</w:t>
            </w:r>
          </w:p>
        </w:tc>
      </w:tr>
    </w:tbl>
    <w:p>
      <w:pPr>
        <w:pStyle w:val="BodyText"/>
      </w:pPr>
      <w:r>
        <w:t xml:space="preserve">DNS changes use code review, staged deployment and rollback records. Manual console changes are disallowed except through audited emergency procedures.</w:t>
      </w:r>
    </w:p>
    <w:bookmarkEnd w:id="80"/>
    <w:bookmarkEnd w:id="81"/>
    <w:bookmarkStart w:id="84" w:name="firewall-policies"/>
    <w:p>
      <w:pPr>
        <w:pStyle w:val="Heading2"/>
        <w:keepNext/>
        <w:pageBreakBefore w:val="0"/>
      </w:pPr>
      <w:r>
        <w:t xml:space="preserve">4.11 Firewall policies</w:t>
      </w:r>
    </w:p>
    <w:p>
      <w:pPr>
        <w:pStyle w:val="FirstParagraph"/>
      </w:pPr>
      <w:r>
        <w:t xml:space="preserve">Firewall policy follows a deny-by-default, intent-based model. Hierarchical policies establish enterprise guardrails, network firewall policies provide shared workload controls, and application controls provide protocol-level authorization.</w:t>
      </w:r>
    </w:p>
    <w:bookmarkStart w:id="82" w:name="policy-layers"/>
    <w:p>
      <w:pPr>
        <w:pStyle w:val="Heading3"/>
        <w:keepNext/>
        <w:pageBreakBefore w:val="0"/>
      </w:pPr>
      <w:r>
        <w:t xml:space="preserve">Policy layers</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Layer</w:t>
            </w:r>
          </w:p>
        </w:tc>
        <w:tc>
          <w:tcPr>
            <w:vAlign w:val="center"/>
            <w:tcMar>
              <w:top w:w="70" w:type="dxa"/>
              <w:left w:w="85" w:type="dxa"/>
              <w:bottom w:w="70" w:type="dxa"/>
              <w:right w:w="85" w:type="dxa"/>
            </w:tcMar>
          </w:tcPr>
          <w:p>
            <w:pPr>
              <w:spacing w:after="30" w:before="0"/>
              <w:jc w:val="left"/>
            </w:pPr>
            <w:r>
              <w:rPr>
                <w:rFonts w:ascii="Arial" w:hAnsi="Arial"/>
                <w:b/>
                <w:sz w:val="16"/>
              </w:rPr>
              <w:t xml:space="preserve">Owner</w:t>
            </w:r>
          </w:p>
        </w:tc>
        <w:tc>
          <w:tcPr>
            <w:vAlign w:val="center"/>
            <w:tcMar>
              <w:top w:w="70" w:type="dxa"/>
              <w:left w:w="85" w:type="dxa"/>
              <w:bottom w:w="70" w:type="dxa"/>
              <w:right w:w="85" w:type="dxa"/>
            </w:tcMar>
          </w:tcPr>
          <w:p>
            <w:pPr>
              <w:spacing w:after="30" w:before="0"/>
              <w:jc w:val="left"/>
            </w:pPr>
            <w:r>
              <w:rPr>
                <w:rFonts w:ascii="Arial" w:hAnsi="Arial"/>
                <w:b/>
                <w:sz w:val="16"/>
              </w:rPr>
              <w:t xml:space="preserve">Purpose</w:t>
            </w:r>
          </w:p>
        </w:tc>
        <w:tc>
          <w:tcPr>
            <w:vAlign w:val="center"/>
            <w:tcMar>
              <w:top w:w="70" w:type="dxa"/>
              <w:left w:w="85" w:type="dxa"/>
              <w:bottom w:w="70" w:type="dxa"/>
              <w:right w:w="85" w:type="dxa"/>
            </w:tcMar>
          </w:tcPr>
          <w:p>
            <w:pPr>
              <w:spacing w:after="30" w:before="0"/>
              <w:jc w:val="left"/>
            </w:pPr>
            <w:r>
              <w:rPr>
                <w:rFonts w:ascii="Arial" w:hAnsi="Arial"/>
                <w:b/>
                <w:sz w:val="16"/>
              </w:rPr>
              <w:t xml:space="preserve">Examples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Organization</w:t>
            </w:r>
          </w:p>
        </w:tc>
        <w:tc>
          <w:tcPr>
            <w:vAlign w:val="center"/>
            <w:tcMar>
              <w:top w:w="70" w:type="dxa"/>
              <w:left w:w="85" w:type="dxa"/>
              <w:bottom w:w="70" w:type="dxa"/>
              <w:right w:w="85" w:type="dxa"/>
            </w:tcMar>
          </w:tcPr>
          <w:p>
            <w:pPr>
              <w:spacing w:after="30" w:before="0"/>
              <w:jc w:val="left"/>
            </w:pPr>
            <w:r>
              <w:rPr>
                <w:rFonts w:ascii="Arial" w:hAnsi="Arial"/>
                <w:sz w:val="16"/>
              </w:rPr>
              <w:t xml:space="preserve">Enterprise security</w:t>
            </w:r>
          </w:p>
        </w:tc>
        <w:tc>
          <w:tcPr>
            <w:vAlign w:val="center"/>
            <w:tcMar>
              <w:top w:w="70" w:type="dxa"/>
              <w:left w:w="85" w:type="dxa"/>
              <w:bottom w:w="70" w:type="dxa"/>
              <w:right w:w="85" w:type="dxa"/>
            </w:tcMar>
          </w:tcPr>
          <w:p>
            <w:pPr>
              <w:spacing w:after="30" w:before="0"/>
              <w:jc w:val="left"/>
            </w:pPr>
            <w:r>
              <w:rPr>
                <w:rFonts w:ascii="Arial" w:hAnsi="Arial"/>
                <w:sz w:val="16"/>
              </w:rPr>
              <w:t xml:space="preserve">Non-bypassable global controls</w:t>
            </w:r>
          </w:p>
        </w:tc>
        <w:tc>
          <w:tcPr>
            <w:vAlign w:val="center"/>
            <w:tcMar>
              <w:top w:w="70" w:type="dxa"/>
              <w:left w:w="85" w:type="dxa"/>
              <w:bottom w:w="70" w:type="dxa"/>
              <w:right w:w="85" w:type="dxa"/>
            </w:tcMar>
          </w:tcPr>
          <w:p>
            <w:pPr>
              <w:spacing w:after="30" w:before="0"/>
              <w:jc w:val="left"/>
            </w:pPr>
            <w:r>
              <w:rPr>
                <w:rFonts w:ascii="Arial" w:hAnsi="Arial"/>
                <w:sz w:val="16"/>
              </w:rPr>
              <w:t xml:space="preserve">Deny known malicious ranges; restrict administration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Folder</w:t>
            </w:r>
          </w:p>
        </w:tc>
        <w:tc>
          <w:tcPr>
            <w:vAlign w:val="center"/>
            <w:tcMar>
              <w:top w:w="70" w:type="dxa"/>
              <w:left w:w="85" w:type="dxa"/>
              <w:bottom w:w="70" w:type="dxa"/>
              <w:right w:w="85" w:type="dxa"/>
            </w:tcMar>
          </w:tcPr>
          <w:p>
            <w:pPr>
              <w:spacing w:after="30" w:before="0"/>
              <w:jc w:val="left"/>
            </w:pPr>
            <w:r>
              <w:rPr>
                <w:rFonts w:ascii="Arial" w:hAnsi="Arial"/>
                <w:sz w:val="16"/>
              </w:rPr>
              <w:t xml:space="preserve">Platform security</w:t>
            </w:r>
          </w:p>
        </w:tc>
        <w:tc>
          <w:tcPr>
            <w:vAlign w:val="center"/>
            <w:tcMar>
              <w:top w:w="70" w:type="dxa"/>
              <w:left w:w="85" w:type="dxa"/>
              <w:bottom w:w="70" w:type="dxa"/>
              <w:right w:w="85" w:type="dxa"/>
            </w:tcMar>
          </w:tcPr>
          <w:p>
            <w:pPr>
              <w:spacing w:after="30" w:before="0"/>
              <w:jc w:val="left"/>
            </w:pPr>
            <w:r>
              <w:rPr>
                <w:rFonts w:ascii="Arial" w:hAnsi="Arial"/>
                <w:sz w:val="16"/>
              </w:rPr>
              <w:t xml:space="preserve">Environment or jurisdiction policy</w:t>
            </w:r>
          </w:p>
        </w:tc>
        <w:tc>
          <w:tcPr>
            <w:vAlign w:val="center"/>
            <w:tcMar>
              <w:top w:w="70" w:type="dxa"/>
              <w:left w:w="85" w:type="dxa"/>
              <w:bottom w:w="70" w:type="dxa"/>
              <w:right w:w="85" w:type="dxa"/>
            </w:tcMar>
          </w:tcPr>
          <w:p>
            <w:pPr>
              <w:spacing w:after="30" w:before="0"/>
              <w:jc w:val="left"/>
            </w:pPr>
            <w:r>
              <w:rPr>
                <w:rFonts w:ascii="Arial" w:hAnsi="Arial"/>
                <w:sz w:val="16"/>
              </w:rPr>
              <w:t xml:space="preserve">Deny production-to-sandbox; restrict regulated folders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Network</w:t>
            </w:r>
          </w:p>
        </w:tc>
        <w:tc>
          <w:tcPr>
            <w:vAlign w:val="center"/>
            <w:tcMar>
              <w:top w:w="70" w:type="dxa"/>
              <w:left w:w="85" w:type="dxa"/>
              <w:bottom w:w="70" w:type="dxa"/>
              <w:right w:w="85" w:type="dxa"/>
            </w:tcMar>
          </w:tcPr>
          <w:p>
            <w:pPr>
              <w:spacing w:after="30" w:before="0"/>
              <w:jc w:val="left"/>
            </w:pPr>
            <w:r>
              <w:rPr>
                <w:rFonts w:ascii="Arial" w:hAnsi="Arial"/>
                <w:sz w:val="16"/>
              </w:rPr>
              <w:t xml:space="preserve">Network security</w:t>
            </w:r>
          </w:p>
        </w:tc>
        <w:tc>
          <w:tcPr>
            <w:vAlign w:val="center"/>
            <w:tcMar>
              <w:top w:w="70" w:type="dxa"/>
              <w:left w:w="85" w:type="dxa"/>
              <w:bottom w:w="70" w:type="dxa"/>
              <w:right w:w="85" w:type="dxa"/>
            </w:tcMar>
          </w:tcPr>
          <w:p>
            <w:pPr>
              <w:spacing w:after="30" w:before="0"/>
              <w:jc w:val="left"/>
            </w:pPr>
            <w:r>
              <w:rPr>
                <w:rFonts w:ascii="Arial" w:hAnsi="Arial"/>
                <w:sz w:val="16"/>
              </w:rPr>
              <w:t xml:space="preserve">Shared VPC traffic intent</w:t>
            </w:r>
          </w:p>
        </w:tc>
        <w:tc>
          <w:tcPr>
            <w:vAlign w:val="center"/>
            <w:tcMar>
              <w:top w:w="70" w:type="dxa"/>
              <w:left w:w="85" w:type="dxa"/>
              <w:bottom w:w="70" w:type="dxa"/>
              <w:right w:w="85" w:type="dxa"/>
            </w:tcMar>
          </w:tcPr>
          <w:p>
            <w:pPr>
              <w:spacing w:after="30" w:before="0"/>
              <w:jc w:val="left"/>
            </w:pPr>
            <w:r>
              <w:rPr>
                <w:rFonts w:ascii="Arial" w:hAnsi="Arial"/>
                <w:sz w:val="16"/>
              </w:rPr>
              <w:t xml:space="preserve">Allow load balancer health checks; domain service flows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Workload</w:t>
            </w:r>
          </w:p>
        </w:tc>
        <w:tc>
          <w:tcPr>
            <w:vAlign w:val="center"/>
            <w:tcMar>
              <w:top w:w="70" w:type="dxa"/>
              <w:left w:w="85" w:type="dxa"/>
              <w:bottom w:w="70" w:type="dxa"/>
              <w:right w:w="85" w:type="dxa"/>
            </w:tcMar>
          </w:tcPr>
          <w:p>
            <w:pPr>
              <w:spacing w:after="30" w:before="0"/>
              <w:jc w:val="left"/>
            </w:pPr>
            <w:r>
              <w:rPr>
                <w:rFonts w:ascii="Arial" w:hAnsi="Arial"/>
                <w:sz w:val="16"/>
              </w:rPr>
              <w:t xml:space="preserve">Application/domain team</w:t>
            </w:r>
          </w:p>
        </w:tc>
        <w:tc>
          <w:tcPr>
            <w:vAlign w:val="center"/>
            <w:tcMar>
              <w:top w:w="70" w:type="dxa"/>
              <w:left w:w="85" w:type="dxa"/>
              <w:bottom w:w="70" w:type="dxa"/>
              <w:right w:w="85" w:type="dxa"/>
            </w:tcMar>
          </w:tcPr>
          <w:p>
            <w:pPr>
              <w:spacing w:after="30" w:before="0"/>
              <w:jc w:val="left"/>
            </w:pPr>
            <w:r>
              <w:rPr>
                <w:rFonts w:ascii="Arial" w:hAnsi="Arial"/>
                <w:sz w:val="16"/>
              </w:rPr>
              <w:t xml:space="preserve">Application-specific authorization</w:t>
            </w:r>
          </w:p>
        </w:tc>
        <w:tc>
          <w:tcPr>
            <w:vAlign w:val="center"/>
            <w:tcMar>
              <w:top w:w="70" w:type="dxa"/>
              <w:left w:w="85" w:type="dxa"/>
              <w:bottom w:w="70" w:type="dxa"/>
              <w:right w:w="85" w:type="dxa"/>
            </w:tcMar>
          </w:tcPr>
          <w:p>
            <w:pPr>
              <w:spacing w:after="30" w:before="0"/>
              <w:jc w:val="left"/>
            </w:pPr>
            <w:r>
              <w:rPr>
                <w:rFonts w:ascii="Arial" w:hAnsi="Arial"/>
                <w:sz w:val="16"/>
              </w:rPr>
              <w:t xml:space="preserve">Service-to-service ports and identity-aware access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Host/application</w:t>
            </w:r>
          </w:p>
        </w:tc>
        <w:tc>
          <w:tcPr>
            <w:vAlign w:val="center"/>
            <w:tcMar>
              <w:top w:w="70" w:type="dxa"/>
              <w:left w:w="85" w:type="dxa"/>
              <w:bottom w:w="70" w:type="dxa"/>
              <w:right w:w="85" w:type="dxa"/>
            </w:tcMar>
          </w:tcPr>
          <w:p>
            <w:pPr>
              <w:spacing w:after="30" w:before="0"/>
              <w:jc w:val="left"/>
            </w:pPr>
            <w:r>
              <w:rPr>
                <w:rFonts w:ascii="Arial" w:hAnsi="Arial"/>
                <w:sz w:val="16"/>
              </w:rPr>
              <w:t xml:space="preserve">Workload team</w:t>
            </w:r>
          </w:p>
        </w:tc>
        <w:tc>
          <w:tcPr>
            <w:vAlign w:val="center"/>
            <w:tcMar>
              <w:top w:w="70" w:type="dxa"/>
              <w:left w:w="85" w:type="dxa"/>
              <w:bottom w:w="70" w:type="dxa"/>
              <w:right w:w="85" w:type="dxa"/>
            </w:tcMar>
          </w:tcPr>
          <w:p>
            <w:pPr>
              <w:spacing w:after="30" w:before="0"/>
              <w:jc w:val="left"/>
            </w:pPr>
            <w:r>
              <w:rPr>
                <w:rFonts w:ascii="Arial" w:hAnsi="Arial"/>
                <w:sz w:val="16"/>
              </w:rPr>
              <w:t xml:space="preserve">Local defense</w:t>
            </w:r>
          </w:p>
        </w:tc>
        <w:tc>
          <w:tcPr>
            <w:vAlign w:val="center"/>
            <w:tcMar>
              <w:top w:w="70" w:type="dxa"/>
              <w:left w:w="85" w:type="dxa"/>
              <w:bottom w:w="70" w:type="dxa"/>
              <w:right w:w="85" w:type="dxa"/>
            </w:tcMar>
          </w:tcPr>
          <w:p>
            <w:pPr>
              <w:spacing w:after="30" w:before="0"/>
              <w:jc w:val="left"/>
            </w:pPr>
            <w:r>
              <w:rPr>
                <w:rFonts w:ascii="Arial" w:hAnsi="Arial"/>
                <w:sz w:val="16"/>
              </w:rPr>
              <w:t xml:space="preserve">Host firewall, mTLS and application authorization</w:t>
            </w:r>
          </w:p>
        </w:tc>
      </w:tr>
    </w:tbl>
    <w:bookmarkEnd w:id="82"/>
    <w:bookmarkStart w:id="83" w:name="firewall-rule-standard"/>
    <w:p>
      <w:pPr>
        <w:pStyle w:val="Heading3"/>
        <w:keepNext/>
        <w:pageBreakBefore w:val="0"/>
      </w:pPr>
      <w:r>
        <w:t xml:space="preserve">Firewall rule standard</w:t>
      </w:r>
    </w:p>
    <w:p>
      <w:pPr>
        <w:pStyle w:val="FirstParagraph"/>
      </w:pPr>
      <w:r>
        <w:t xml:space="preserve">Every rule must contain:</w:t>
      </w:r>
    </w:p>
    <w:p>
      <w:pPr>
        <w:pStyle w:val="Compact"/>
        <w:numPr>
          <w:ilvl w:val="0"/>
          <w:numId w:val="1012"/>
        </w:numPr>
      </w:pPr>
      <w:r>
        <w:t xml:space="preserve">Business and technical purpose.</w:t>
      </w:r>
    </w:p>
    <w:p>
      <w:pPr>
        <w:pStyle w:val="Compact"/>
        <w:numPr>
          <w:ilvl w:val="0"/>
          <w:numId w:val="1012"/>
        </w:numPr>
      </w:pPr>
      <w:r>
        <w:t xml:space="preserve">Source and destination identities or address ranges.</w:t>
      </w:r>
    </w:p>
    <w:p>
      <w:pPr>
        <w:pStyle w:val="Compact"/>
        <w:numPr>
          <w:ilvl w:val="0"/>
          <w:numId w:val="1012"/>
        </w:numPr>
      </w:pPr>
      <w:r>
        <w:t xml:space="preserve">Protocol and port.</w:t>
      </w:r>
    </w:p>
    <w:p>
      <w:pPr>
        <w:pStyle w:val="Compact"/>
        <w:numPr>
          <w:ilvl w:val="0"/>
          <w:numId w:val="1012"/>
        </w:numPr>
      </w:pPr>
      <w:r>
        <w:t xml:space="preserve">Direction and priority.</w:t>
      </w:r>
    </w:p>
    <w:p>
      <w:pPr>
        <w:pStyle w:val="Compact"/>
        <w:numPr>
          <w:ilvl w:val="0"/>
          <w:numId w:val="1012"/>
        </w:numPr>
      </w:pPr>
      <w:r>
        <w:t xml:space="preserve">Environment and data classification.</w:t>
      </w:r>
    </w:p>
    <w:p>
      <w:pPr>
        <w:pStyle w:val="Compact"/>
        <w:numPr>
          <w:ilvl w:val="0"/>
          <w:numId w:val="1012"/>
        </w:numPr>
      </w:pPr>
      <w:r>
        <w:t xml:space="preserve">Owner and support group.</w:t>
      </w:r>
    </w:p>
    <w:p>
      <w:pPr>
        <w:pStyle w:val="Compact"/>
        <w:numPr>
          <w:ilvl w:val="0"/>
          <w:numId w:val="1012"/>
        </w:numPr>
      </w:pPr>
      <w:r>
        <w:t xml:space="preserve">Expiration or review date.</w:t>
      </w:r>
    </w:p>
    <w:p>
      <w:pPr>
        <w:pStyle w:val="Compact"/>
        <w:numPr>
          <w:ilvl w:val="0"/>
          <w:numId w:val="1012"/>
        </w:numPr>
      </w:pPr>
      <w:r>
        <w:t xml:space="preserve">Ticket or architecture decision reference.</w:t>
      </w:r>
    </w:p>
    <w:p>
      <w:pPr>
        <w:pStyle w:val="Compact"/>
        <w:numPr>
          <w:ilvl w:val="0"/>
          <w:numId w:val="1012"/>
        </w:numPr>
      </w:pPr>
      <w:r>
        <w:t xml:space="preserve">Logging requirement.</w:t>
      </w:r>
    </w:p>
    <w:p>
      <w:pPr>
        <w:pStyle w:val="Compact"/>
        <w:numPr>
          <w:ilvl w:val="0"/>
          <w:numId w:val="1012"/>
        </w:numPr>
      </w:pPr>
      <w:r>
        <w:t xml:space="preserve">Test and rollback evidence.</w:t>
      </w:r>
    </w:p>
    <w:p>
      <w:pPr>
        <w:pStyle w:val="FirstParagraph"/>
      </w:pPr>
      <w:r>
        <w:t xml:space="preserve">Broad rules such as</w:t>
      </w:r>
      <w:r>
        <w:t xml:space="preserve"> </w:t>
      </w:r>
      <w:r>
        <w:rPr>
          <w:rStyle w:val="VerbatimChar"/>
        </w:rPr>
        <w:t xml:space="preserve">0.0.0.0/0</w:t>
      </w:r>
      <w:r>
        <w:t xml:space="preserve">,</w:t>
      </w:r>
      <w:r>
        <w:t xml:space="preserve"> </w:t>
      </w:r>
      <w:r>
        <w:rPr>
          <w:rStyle w:val="VerbatimChar"/>
        </w:rPr>
        <w:t xml:space="preserve">all protocols</w:t>
      </w:r>
      <w:r>
        <w:t xml:space="preserve">, unrestricted SSH/RDP, or tag-based access without ownership require an approved exception and expiration.</w:t>
      </w:r>
    </w:p>
    <w:bookmarkEnd w:id="83"/>
    <w:bookmarkEnd w:id="84"/>
    <w:bookmarkStart w:id="86" w:name="hierarchical-firewall-policies"/>
    <w:p>
      <w:pPr>
        <w:pStyle w:val="Heading2"/>
        <w:keepNext/>
        <w:pageBreakBefore w:val="0"/>
      </w:pPr>
      <w:r>
        <w:t xml:space="preserve">4.12 Hierarchical firewall policies</w:t>
      </w:r>
    </w:p>
    <w:p>
      <w:pPr>
        <w:pStyle w:val="FirstParagraph"/>
      </w:pPr>
      <w:r>
        <w:t xml:space="preserve">Hierarchical firewall policies provide centrally administered controls inherited by folders and projects. The landing zone uses them for controls that must not be weakened by workload teams.</w:t>
      </w:r>
    </w:p>
    <w:bookmarkStart w:id="85" w:name="baseline-policy-intents"/>
    <w:p>
      <w:pPr>
        <w:pStyle w:val="Heading3"/>
        <w:keepNext/>
        <w:pageBreakBefore w:val="0"/>
      </w:pPr>
      <w:r>
        <w:t xml:space="preserve">Baseline policy intents</w:t>
      </w:r>
    </w:p>
    <w:p>
      <w:pPr>
        <w:pStyle w:val="Compact"/>
        <w:numPr>
          <w:ilvl w:val="0"/>
          <w:numId w:val="1013"/>
        </w:numPr>
      </w:pPr>
      <w:r>
        <w:t xml:space="preserve">Deny direct administrative access from the internet.</w:t>
      </w:r>
    </w:p>
    <w:p>
      <w:pPr>
        <w:pStyle w:val="Compact"/>
        <w:numPr>
          <w:ilvl w:val="0"/>
          <w:numId w:val="1013"/>
        </w:numPr>
      </w:pPr>
      <w:r>
        <w:t xml:space="preserve">Deny unauthorized cross-environment traffic.</w:t>
      </w:r>
    </w:p>
    <w:p>
      <w:pPr>
        <w:pStyle w:val="Compact"/>
        <w:numPr>
          <w:ilvl w:val="0"/>
          <w:numId w:val="1013"/>
        </w:numPr>
      </w:pPr>
      <w:r>
        <w:t xml:space="preserve">Permit only approved health-check ranges to load-balanced backends.</w:t>
      </w:r>
    </w:p>
    <w:p>
      <w:pPr>
        <w:pStyle w:val="Compact"/>
        <w:numPr>
          <w:ilvl w:val="0"/>
          <w:numId w:val="1013"/>
        </w:numPr>
      </w:pPr>
      <w:r>
        <w:t xml:space="preserve">Permit centralized security scanners from defined service identities and ranges.</w:t>
      </w:r>
    </w:p>
    <w:p>
      <w:pPr>
        <w:pStyle w:val="Compact"/>
        <w:numPr>
          <w:ilvl w:val="0"/>
          <w:numId w:val="1013"/>
        </w:numPr>
      </w:pPr>
      <w:r>
        <w:t xml:space="preserve">Permit hybrid management paths from approved administration networks.</w:t>
      </w:r>
    </w:p>
    <w:p>
      <w:pPr>
        <w:pStyle w:val="Compact"/>
        <w:numPr>
          <w:ilvl w:val="0"/>
          <w:numId w:val="1013"/>
        </w:numPr>
      </w:pPr>
      <w:r>
        <w:t xml:space="preserve">Deny known high-risk destinations and command-and-control indicators where technically appropriate.</w:t>
      </w:r>
    </w:p>
    <w:p>
      <w:pPr>
        <w:pStyle w:val="Compact"/>
        <w:numPr>
          <w:ilvl w:val="0"/>
          <w:numId w:val="1013"/>
        </w:numPr>
      </w:pPr>
      <w:r>
        <w:t xml:space="preserve">Require logging for all explicit denies and high-risk allows.</w:t>
      </w:r>
    </w:p>
    <w:p>
      <w:pPr>
        <w:pStyle w:val="Compact"/>
        <w:numPr>
          <w:ilvl w:val="0"/>
          <w:numId w:val="1013"/>
        </w:numPr>
      </w:pPr>
      <w:r>
        <w:t xml:space="preserve">Use threat-intelligence feeds or managed controls only with documented ownership and false-positive handling.</w:t>
      </w:r>
    </w:p>
    <w:p>
      <w:pPr>
        <w:pStyle w:val="FirstParagraph"/>
      </w:pPr>
      <w:r>
        <w:t xml:space="preserve">Policy priorities are reserved in blocks so enterprise, geography, environment and exception rules can coexist predictably. Emergency deny rules use a reserved highest-precedence range.</w:t>
      </w:r>
    </w:p>
    <w:bookmarkEnd w:id="85"/>
    <w:bookmarkEnd w:id="86"/>
    <w:bookmarkStart w:id="87" w:name="cloud-armor"/>
    <w:p>
      <w:pPr>
        <w:pStyle w:val="Heading2"/>
        <w:keepNext/>
        <w:pageBreakBefore w:val="0"/>
      </w:pPr>
      <w:r>
        <w:t xml:space="preserve">4.13 Cloud Armor</w:t>
      </w:r>
    </w:p>
    <w:p>
      <w:pPr>
        <w:pStyle w:val="FirstParagraph"/>
      </w:pPr>
      <w:r>
        <w:t xml:space="preserve">Cloud Armor protects internet-facing and approved cross-boundary applications behind supported Google Cloud load balancers. The standard combines preconfigured WAF rules, adaptive protection where justified, rate limiting, IP and geography controls, and organization-defined threat intelligence.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Capability</w:t>
            </w:r>
          </w:p>
        </w:tc>
        <w:tc>
          <w:tcPr>
            <w:vAlign w:val="center"/>
            <w:tcMar>
              <w:top w:w="70" w:type="dxa"/>
              <w:left w:w="85" w:type="dxa"/>
              <w:bottom w:w="70" w:type="dxa"/>
              <w:right w:w="85" w:type="dxa"/>
            </w:tcMar>
          </w:tcPr>
          <w:p>
            <w:pPr>
              <w:spacing w:after="30" w:before="0"/>
              <w:jc w:val="left"/>
            </w:pPr>
            <w:r>
              <w:rPr>
                <w:rFonts w:ascii="Arial" w:hAnsi="Arial"/>
                <w:b/>
                <w:sz w:val="16"/>
              </w:rPr>
              <w:t xml:space="preserve">Landing-zone standard</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Baseline WAF</w:t>
            </w:r>
          </w:p>
        </w:tc>
        <w:tc>
          <w:tcPr>
            <w:vAlign w:val="center"/>
            <w:tcMar>
              <w:top w:w="70" w:type="dxa"/>
              <w:left w:w="85" w:type="dxa"/>
              <w:bottom w:w="70" w:type="dxa"/>
              <w:right w:w="85" w:type="dxa"/>
            </w:tcMar>
          </w:tcPr>
          <w:p>
            <w:pPr>
              <w:spacing w:after="30" w:before="0"/>
              <w:jc w:val="left"/>
            </w:pPr>
            <w:r>
              <w:rPr>
                <w:rFonts w:ascii="Arial" w:hAnsi="Arial"/>
                <w:sz w:val="16"/>
              </w:rPr>
              <w:t xml:space="preserve">OWASP-aligned preconfigured rules tuned in preview before enforcement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Rate limiting</w:t>
            </w:r>
          </w:p>
        </w:tc>
        <w:tc>
          <w:tcPr>
            <w:vAlign w:val="center"/>
            <w:tcMar>
              <w:top w:w="70" w:type="dxa"/>
              <w:left w:w="85" w:type="dxa"/>
              <w:bottom w:w="70" w:type="dxa"/>
              <w:right w:w="85" w:type="dxa"/>
            </w:tcMar>
          </w:tcPr>
          <w:p>
            <w:pPr>
              <w:spacing w:after="30" w:before="0"/>
              <w:jc w:val="left"/>
            </w:pPr>
            <w:r>
              <w:rPr>
                <w:rFonts w:ascii="Arial" w:hAnsi="Arial"/>
                <w:sz w:val="16"/>
              </w:rPr>
              <w:t xml:space="preserve">Per-client and endpoint-aware policies for abuse protection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Bot controls</w:t>
            </w:r>
          </w:p>
        </w:tc>
        <w:tc>
          <w:tcPr>
            <w:vAlign w:val="center"/>
            <w:tcMar>
              <w:top w:w="70" w:type="dxa"/>
              <w:left w:w="85" w:type="dxa"/>
              <w:bottom w:w="70" w:type="dxa"/>
              <w:right w:w="85" w:type="dxa"/>
            </w:tcMar>
          </w:tcPr>
          <w:p>
            <w:pPr>
              <w:spacing w:after="30" w:before="0"/>
              <w:jc w:val="left"/>
            </w:pPr>
            <w:r>
              <w:rPr>
                <w:rFonts w:ascii="Arial" w:hAnsi="Arial"/>
                <w:sz w:val="16"/>
              </w:rPr>
              <w:t xml:space="preserve">Applied to approved high-risk applications after business-impact analysis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Policy hierarchy</w:t>
            </w:r>
          </w:p>
        </w:tc>
        <w:tc>
          <w:tcPr>
            <w:vAlign w:val="center"/>
            <w:tcMar>
              <w:top w:w="70" w:type="dxa"/>
              <w:left w:w="85" w:type="dxa"/>
              <w:bottom w:w="70" w:type="dxa"/>
              <w:right w:w="85" w:type="dxa"/>
            </w:tcMar>
          </w:tcPr>
          <w:p>
            <w:pPr>
              <w:spacing w:after="30" w:before="0"/>
              <w:jc w:val="left"/>
            </w:pPr>
            <w:r>
              <w:rPr>
                <w:rFonts w:ascii="Arial" w:hAnsi="Arial"/>
                <w:sz w:val="16"/>
              </w:rPr>
              <w:t xml:space="preserve">Enterprise baseline plus application-specific policy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Logging</w:t>
            </w:r>
          </w:p>
        </w:tc>
        <w:tc>
          <w:tcPr>
            <w:vAlign w:val="center"/>
            <w:tcMar>
              <w:top w:w="70" w:type="dxa"/>
              <w:left w:w="85" w:type="dxa"/>
              <w:bottom w:w="70" w:type="dxa"/>
              <w:right w:w="85" w:type="dxa"/>
            </w:tcMar>
          </w:tcPr>
          <w:p>
            <w:pPr>
              <w:spacing w:after="30" w:before="0"/>
              <w:jc w:val="left"/>
            </w:pPr>
            <w:r>
              <w:rPr>
                <w:rFonts w:ascii="Arial" w:hAnsi="Arial"/>
                <w:sz w:val="16"/>
              </w:rPr>
              <w:t xml:space="preserve">Request logs with policy outcome routed to central security analytics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Change model</w:t>
            </w:r>
          </w:p>
        </w:tc>
        <w:tc>
          <w:tcPr>
            <w:vAlign w:val="center"/>
            <w:tcMar>
              <w:top w:w="70" w:type="dxa"/>
              <w:left w:w="85" w:type="dxa"/>
              <w:bottom w:w="70" w:type="dxa"/>
              <w:right w:w="85" w:type="dxa"/>
            </w:tcMar>
          </w:tcPr>
          <w:p>
            <w:pPr>
              <w:spacing w:after="30" w:before="0"/>
              <w:jc w:val="left"/>
            </w:pPr>
            <w:r>
              <w:rPr>
                <w:rFonts w:ascii="Arial" w:hAnsi="Arial"/>
                <w:sz w:val="16"/>
              </w:rPr>
              <w:t xml:space="preserve">Policy as code with preview, test and staged enforcement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Exception handling</w:t>
            </w:r>
          </w:p>
        </w:tc>
        <w:tc>
          <w:tcPr>
            <w:vAlign w:val="center"/>
            <w:tcMar>
              <w:top w:w="70" w:type="dxa"/>
              <w:left w:w="85" w:type="dxa"/>
              <w:bottom w:w="70" w:type="dxa"/>
              <w:right w:w="85" w:type="dxa"/>
            </w:tcMar>
          </w:tcPr>
          <w:p>
            <w:pPr>
              <w:spacing w:after="30" w:before="0"/>
              <w:jc w:val="left"/>
            </w:pPr>
            <w:r>
              <w:rPr>
                <w:rFonts w:ascii="Arial" w:hAnsi="Arial"/>
                <w:sz w:val="16"/>
              </w:rPr>
              <w:t xml:space="preserve">Named owner, narrow condition, expiry and compensating control</w:t>
            </w:r>
          </w:p>
        </w:tc>
      </w:tr>
    </w:tbl>
    <w:p>
      <w:pPr>
        <w:pStyle w:val="BodyText"/>
      </w:pPr>
      <w:r>
        <w:t xml:space="preserve">Cloud Armor is not applied to services that are not behind a supported load-balancing path. API authorization, identity-aware access, application security and secure coding remain necessary.</w:t>
      </w:r>
    </w:p>
    <w:bookmarkEnd w:id="87"/>
    <w:bookmarkStart w:id="90" w:name="cloud-vpn-and-cloud-interconnect"/>
    <w:p>
      <w:pPr>
        <w:pStyle w:val="Heading2"/>
        <w:keepNext/>
        <w:pageBreakBefore w:val="0"/>
      </w:pPr>
      <w:r>
        <w:t xml:space="preserve">4.14 Cloud VPN and Cloud Interconnect</w:t>
      </w:r>
    </w:p>
    <w:p>
      <w:pPr>
        <w:pStyle w:val="FirstParagraph"/>
      </w:pPr>
      <w:r>
        <w:t xml:space="preserve">The hybrid design uses two connectivity tiers:</w:t>
      </w:r>
    </w:p>
    <w:p>
      <w:pPr>
        <w:pStyle w:val="Compact"/>
        <w:numPr>
          <w:ilvl w:val="0"/>
          <w:numId w:val="1014"/>
        </w:numPr>
      </w:pPr>
      <w:r>
        <w:rPr>
          <w:b/>
          <w:bCs/>
        </w:rPr>
        <w:t xml:space="preserve">HA VPN</w:t>
      </w:r>
      <w:r>
        <w:t xml:space="preserve"> </w:t>
      </w:r>
      <w:r>
        <w:t xml:space="preserve">for rapid deployment, backup, lower-throughput sites and encrypted internet-based connectivity.</w:t>
      </w:r>
    </w:p>
    <w:p>
      <w:pPr>
        <w:pStyle w:val="Compact"/>
        <w:numPr>
          <w:ilvl w:val="0"/>
          <w:numId w:val="1014"/>
        </w:numPr>
      </w:pPr>
      <w:r>
        <w:rPr>
          <w:b/>
          <w:bCs/>
        </w:rPr>
        <w:t xml:space="preserve">Dedicated or Partner Cloud Interconnect</w:t>
      </w:r>
      <w:r>
        <w:t xml:space="preserve"> </w:t>
      </w:r>
      <w:r>
        <w:t xml:space="preserve">for predictable enterprise throughput, latency and private connectivity.</w:t>
      </w:r>
    </w:p>
    <w:bookmarkStart w:id="88" w:name="connectivity-selection-matrix"/>
    <w:p>
      <w:pPr>
        <w:pStyle w:val="Heading3"/>
        <w:keepNext/>
        <w:pageBreakBefore w:val="0"/>
      </w:pPr>
      <w:r>
        <w:t xml:space="preserve">Connectivity selection matrix</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Requirement</w:t>
            </w:r>
          </w:p>
        </w:tc>
        <w:tc>
          <w:tcPr>
            <w:vAlign w:val="center"/>
            <w:tcMar>
              <w:top w:w="70" w:type="dxa"/>
              <w:left w:w="85" w:type="dxa"/>
              <w:bottom w:w="70" w:type="dxa"/>
              <w:right w:w="85" w:type="dxa"/>
            </w:tcMar>
          </w:tcPr>
          <w:p>
            <w:pPr>
              <w:spacing w:after="30" w:before="0"/>
              <w:jc w:val="left"/>
            </w:pPr>
            <w:r>
              <w:rPr>
                <w:rFonts w:ascii="Arial" w:hAnsi="Arial"/>
                <w:b/>
                <w:sz w:val="16"/>
              </w:rPr>
              <w:t xml:space="preserve">HA VPN</w:t>
            </w:r>
          </w:p>
        </w:tc>
        <w:tc>
          <w:tcPr>
            <w:vAlign w:val="center"/>
            <w:tcMar>
              <w:top w:w="70" w:type="dxa"/>
              <w:left w:w="85" w:type="dxa"/>
              <w:bottom w:w="70" w:type="dxa"/>
              <w:right w:w="85" w:type="dxa"/>
            </w:tcMar>
          </w:tcPr>
          <w:p>
            <w:pPr>
              <w:spacing w:after="30" w:before="0"/>
              <w:jc w:val="left"/>
            </w:pPr>
            <w:r>
              <w:rPr>
                <w:rFonts w:ascii="Arial" w:hAnsi="Arial"/>
                <w:b/>
                <w:sz w:val="16"/>
              </w:rPr>
              <w:t xml:space="preserve">Dedicated Interconnect</w:t>
            </w:r>
          </w:p>
        </w:tc>
        <w:tc>
          <w:tcPr>
            <w:vAlign w:val="center"/>
            <w:tcMar>
              <w:top w:w="70" w:type="dxa"/>
              <w:left w:w="85" w:type="dxa"/>
              <w:bottom w:w="70" w:type="dxa"/>
              <w:right w:w="85" w:type="dxa"/>
            </w:tcMar>
          </w:tcPr>
          <w:p>
            <w:pPr>
              <w:spacing w:after="30" w:before="0"/>
              <w:jc w:val="left"/>
            </w:pPr>
            <w:r>
              <w:rPr>
                <w:rFonts w:ascii="Arial" w:hAnsi="Arial"/>
                <w:b/>
                <w:sz w:val="16"/>
              </w:rPr>
              <w:t xml:space="preserve">Partner Interconnect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Rapid provisioning</w:t>
            </w:r>
          </w:p>
        </w:tc>
        <w:tc>
          <w:tcPr>
            <w:vAlign w:val="center"/>
            <w:tcMar>
              <w:top w:w="70" w:type="dxa"/>
              <w:left w:w="85" w:type="dxa"/>
              <w:bottom w:w="70" w:type="dxa"/>
              <w:right w:w="85" w:type="dxa"/>
            </w:tcMar>
          </w:tcPr>
          <w:p>
            <w:pPr>
              <w:spacing w:after="30" w:before="0"/>
              <w:jc w:val="left"/>
            </w:pPr>
            <w:r>
              <w:rPr>
                <w:rFonts w:ascii="Arial" w:hAnsi="Arial"/>
                <w:sz w:val="16"/>
              </w:rPr>
              <w:t xml:space="preserve">Strong</w:t>
            </w:r>
          </w:p>
        </w:tc>
        <w:tc>
          <w:tcPr>
            <w:vAlign w:val="center"/>
            <w:tcMar>
              <w:top w:w="70" w:type="dxa"/>
              <w:left w:w="85" w:type="dxa"/>
              <w:bottom w:w="70" w:type="dxa"/>
              <w:right w:w="85" w:type="dxa"/>
            </w:tcMar>
          </w:tcPr>
          <w:p>
            <w:pPr>
              <w:spacing w:after="30" w:before="0"/>
              <w:jc w:val="left"/>
            </w:pPr>
            <w:r>
              <w:rPr>
                <w:rFonts w:ascii="Arial" w:hAnsi="Arial"/>
                <w:sz w:val="16"/>
              </w:rPr>
              <w:t xml:space="preserve">Moderate/long lead</w:t>
            </w:r>
          </w:p>
        </w:tc>
        <w:tc>
          <w:tcPr>
            <w:vAlign w:val="center"/>
            <w:tcMar>
              <w:top w:w="70" w:type="dxa"/>
              <w:left w:w="85" w:type="dxa"/>
              <w:bottom w:w="70" w:type="dxa"/>
              <w:right w:w="85" w:type="dxa"/>
            </w:tcMar>
          </w:tcPr>
          <w:p>
            <w:pPr>
              <w:spacing w:after="30" w:before="0"/>
              <w:jc w:val="left"/>
            </w:pPr>
            <w:r>
              <w:rPr>
                <w:rFonts w:ascii="Arial" w:hAnsi="Arial"/>
                <w:sz w:val="16"/>
              </w:rPr>
              <w:t xml:space="preserve">Moderate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Low bandwidth</w:t>
            </w:r>
          </w:p>
        </w:tc>
        <w:tc>
          <w:tcPr>
            <w:vAlign w:val="center"/>
            <w:tcMar>
              <w:top w:w="70" w:type="dxa"/>
              <w:left w:w="85" w:type="dxa"/>
              <w:bottom w:w="70" w:type="dxa"/>
              <w:right w:w="85" w:type="dxa"/>
            </w:tcMar>
          </w:tcPr>
          <w:p>
            <w:pPr>
              <w:spacing w:after="30" w:before="0"/>
              <w:jc w:val="left"/>
            </w:pPr>
            <w:r>
              <w:rPr>
                <w:rFonts w:ascii="Arial" w:hAnsi="Arial"/>
                <w:sz w:val="16"/>
              </w:rPr>
              <w:t xml:space="preserve">Suitable</w:t>
            </w:r>
          </w:p>
        </w:tc>
        <w:tc>
          <w:tcPr>
            <w:vAlign w:val="center"/>
            <w:tcMar>
              <w:top w:w="70" w:type="dxa"/>
              <w:left w:w="85" w:type="dxa"/>
              <w:bottom w:w="70" w:type="dxa"/>
              <w:right w:w="85" w:type="dxa"/>
            </w:tcMar>
          </w:tcPr>
          <w:p>
            <w:pPr>
              <w:spacing w:after="30" w:before="0"/>
              <w:jc w:val="left"/>
            </w:pPr>
            <w:r>
              <w:rPr>
                <w:rFonts w:ascii="Arial" w:hAnsi="Arial"/>
                <w:sz w:val="16"/>
              </w:rPr>
              <w:t xml:space="preserve">Usually excessive</w:t>
            </w:r>
          </w:p>
        </w:tc>
        <w:tc>
          <w:tcPr>
            <w:vAlign w:val="center"/>
            <w:tcMar>
              <w:top w:w="70" w:type="dxa"/>
              <w:left w:w="85" w:type="dxa"/>
              <w:bottom w:w="70" w:type="dxa"/>
              <w:right w:w="85" w:type="dxa"/>
            </w:tcMar>
          </w:tcPr>
          <w:p>
            <w:pPr>
              <w:spacing w:after="30" w:before="0"/>
              <w:jc w:val="left"/>
            </w:pPr>
            <w:r>
              <w:rPr>
                <w:rFonts w:ascii="Arial" w:hAnsi="Arial"/>
                <w:sz w:val="16"/>
              </w:rPr>
              <w:t xml:space="preserve">Suitable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High and predictable throughput</w:t>
            </w:r>
          </w:p>
        </w:tc>
        <w:tc>
          <w:tcPr>
            <w:vAlign w:val="center"/>
            <w:tcMar>
              <w:top w:w="70" w:type="dxa"/>
              <w:left w:w="85" w:type="dxa"/>
              <w:bottom w:w="70" w:type="dxa"/>
              <w:right w:w="85" w:type="dxa"/>
            </w:tcMar>
          </w:tcPr>
          <w:p>
            <w:pPr>
              <w:spacing w:after="30" w:before="0"/>
              <w:jc w:val="left"/>
            </w:pPr>
            <w:r>
              <w:rPr>
                <w:rFonts w:ascii="Arial" w:hAnsi="Arial"/>
                <w:sz w:val="16"/>
              </w:rPr>
              <w:t xml:space="preserve">Limited by tunnel design</w:t>
            </w:r>
          </w:p>
        </w:tc>
        <w:tc>
          <w:tcPr>
            <w:vAlign w:val="center"/>
            <w:tcMar>
              <w:top w:w="70" w:type="dxa"/>
              <w:left w:w="85" w:type="dxa"/>
              <w:bottom w:w="70" w:type="dxa"/>
              <w:right w:w="85" w:type="dxa"/>
            </w:tcMar>
          </w:tcPr>
          <w:p>
            <w:pPr>
              <w:spacing w:after="30" w:before="0"/>
              <w:jc w:val="left"/>
            </w:pPr>
            <w:r>
              <w:rPr>
                <w:rFonts w:ascii="Arial" w:hAnsi="Arial"/>
                <w:sz w:val="16"/>
              </w:rPr>
              <w:t xml:space="preserve">Strong</w:t>
            </w:r>
          </w:p>
        </w:tc>
        <w:tc>
          <w:tcPr>
            <w:vAlign w:val="center"/>
            <w:tcMar>
              <w:top w:w="70" w:type="dxa"/>
              <w:left w:w="85" w:type="dxa"/>
              <w:bottom w:w="70" w:type="dxa"/>
              <w:right w:w="85" w:type="dxa"/>
            </w:tcMar>
          </w:tcPr>
          <w:p>
            <w:pPr>
              <w:spacing w:after="30" w:before="0"/>
              <w:jc w:val="left"/>
            </w:pPr>
            <w:r>
              <w:rPr>
                <w:rFonts w:ascii="Arial" w:hAnsi="Arial"/>
                <w:sz w:val="16"/>
              </w:rPr>
              <w:t xml:space="preserve">Strong, provider dependent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Direct physical connectivity</w:t>
            </w:r>
          </w:p>
        </w:tc>
        <w:tc>
          <w:tcPr>
            <w:vAlign w:val="center"/>
            <w:tcMar>
              <w:top w:w="70" w:type="dxa"/>
              <w:left w:w="85" w:type="dxa"/>
              <w:bottom w:w="70" w:type="dxa"/>
              <w:right w:w="85" w:type="dxa"/>
            </w:tcMar>
          </w:tcPr>
          <w:p>
            <w:pPr>
              <w:spacing w:after="30" w:before="0"/>
              <w:jc w:val="left"/>
            </w:pPr>
            <w:r>
              <w:rPr>
                <w:rFonts w:ascii="Arial" w:hAnsi="Arial"/>
                <w:sz w:val="16"/>
              </w:rPr>
              <w:t xml:space="preserve">No</w:t>
            </w:r>
          </w:p>
        </w:tc>
        <w:tc>
          <w:tcPr>
            <w:vAlign w:val="center"/>
            <w:tcMar>
              <w:top w:w="70" w:type="dxa"/>
              <w:left w:w="85" w:type="dxa"/>
              <w:bottom w:w="70" w:type="dxa"/>
              <w:right w:w="85" w:type="dxa"/>
            </w:tcMar>
          </w:tcPr>
          <w:p>
            <w:pPr>
              <w:spacing w:after="30" w:before="0"/>
              <w:jc w:val="left"/>
            </w:pPr>
            <w:r>
              <w:rPr>
                <w:rFonts w:ascii="Arial" w:hAnsi="Arial"/>
                <w:sz w:val="16"/>
              </w:rPr>
              <w:t xml:space="preserve">Yes</w:t>
            </w:r>
          </w:p>
        </w:tc>
        <w:tc>
          <w:tcPr>
            <w:vAlign w:val="center"/>
            <w:tcMar>
              <w:top w:w="70" w:type="dxa"/>
              <w:left w:w="85" w:type="dxa"/>
              <w:bottom w:w="70" w:type="dxa"/>
              <w:right w:w="85" w:type="dxa"/>
            </w:tcMar>
          </w:tcPr>
          <w:p>
            <w:pPr>
              <w:spacing w:after="30" w:before="0"/>
              <w:jc w:val="left"/>
            </w:pPr>
            <w:r>
              <w:rPr>
                <w:rFonts w:ascii="Arial" w:hAnsi="Arial"/>
                <w:sz w:val="16"/>
              </w:rPr>
              <w:t xml:space="preserve">Through provider</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Enterprise facility presence</w:t>
            </w:r>
          </w:p>
        </w:tc>
        <w:tc>
          <w:tcPr>
            <w:vAlign w:val="center"/>
            <w:tcMar>
              <w:top w:w="70" w:type="dxa"/>
              <w:left w:w="85" w:type="dxa"/>
              <w:bottom w:w="70" w:type="dxa"/>
              <w:right w:w="85" w:type="dxa"/>
            </w:tcMar>
          </w:tcPr>
          <w:p>
            <w:pPr>
              <w:spacing w:after="30" w:before="0"/>
              <w:jc w:val="left"/>
            </w:pPr>
            <w:r>
              <w:rPr>
                <w:rFonts w:ascii="Arial" w:hAnsi="Arial"/>
                <w:sz w:val="16"/>
              </w:rPr>
              <w:t xml:space="preserve">Not required</w:t>
            </w:r>
          </w:p>
        </w:tc>
        <w:tc>
          <w:tcPr>
            <w:vAlign w:val="center"/>
            <w:tcMar>
              <w:top w:w="70" w:type="dxa"/>
              <w:left w:w="85" w:type="dxa"/>
              <w:bottom w:w="70" w:type="dxa"/>
              <w:right w:w="85" w:type="dxa"/>
            </w:tcMar>
          </w:tcPr>
          <w:p>
            <w:pPr>
              <w:spacing w:after="30" w:before="0"/>
              <w:jc w:val="left"/>
            </w:pPr>
            <w:r>
              <w:rPr>
                <w:rFonts w:ascii="Arial" w:hAnsi="Arial"/>
                <w:sz w:val="16"/>
              </w:rPr>
              <w:t xml:space="preserve">Required at supported location</w:t>
            </w:r>
          </w:p>
        </w:tc>
        <w:tc>
          <w:tcPr>
            <w:vAlign w:val="center"/>
            <w:tcMar>
              <w:top w:w="70" w:type="dxa"/>
              <w:left w:w="85" w:type="dxa"/>
              <w:bottom w:w="70" w:type="dxa"/>
              <w:right w:w="85" w:type="dxa"/>
            </w:tcMar>
          </w:tcPr>
          <w:p>
            <w:pPr>
              <w:spacing w:after="30" w:before="0"/>
              <w:jc w:val="left"/>
            </w:pPr>
            <w:r>
              <w:rPr>
                <w:rFonts w:ascii="Arial" w:hAnsi="Arial"/>
                <w:sz w:val="16"/>
              </w:rPr>
              <w:t xml:space="preserve">Not necessarily required</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Encryption over path</w:t>
            </w:r>
          </w:p>
        </w:tc>
        <w:tc>
          <w:tcPr>
            <w:vAlign w:val="center"/>
            <w:tcMar>
              <w:top w:w="70" w:type="dxa"/>
              <w:left w:w="85" w:type="dxa"/>
              <w:bottom w:w="70" w:type="dxa"/>
              <w:right w:w="85" w:type="dxa"/>
            </w:tcMar>
          </w:tcPr>
          <w:p>
            <w:pPr>
              <w:spacing w:after="30" w:before="0"/>
              <w:jc w:val="left"/>
            </w:pPr>
            <w:r>
              <w:rPr>
                <w:rFonts w:ascii="Arial" w:hAnsi="Arial"/>
                <w:sz w:val="16"/>
              </w:rPr>
              <w:t xml:space="preserve">IPsec built in</w:t>
            </w:r>
          </w:p>
        </w:tc>
        <w:tc>
          <w:tcPr>
            <w:vAlign w:val="center"/>
            <w:tcMar>
              <w:top w:w="70" w:type="dxa"/>
              <w:left w:w="85" w:type="dxa"/>
              <w:bottom w:w="70" w:type="dxa"/>
              <w:right w:w="85" w:type="dxa"/>
            </w:tcMar>
          </w:tcPr>
          <w:p>
            <w:pPr>
              <w:spacing w:after="30" w:before="0"/>
              <w:jc w:val="left"/>
            </w:pPr>
            <w:r>
              <w:rPr>
                <w:rFonts w:ascii="Arial" w:hAnsi="Arial"/>
                <w:sz w:val="16"/>
              </w:rPr>
              <w:t xml:space="preserve">Add MACsec/IPsec where required and supported</w:t>
            </w:r>
          </w:p>
        </w:tc>
        <w:tc>
          <w:tcPr>
            <w:vAlign w:val="center"/>
            <w:tcMar>
              <w:top w:w="70" w:type="dxa"/>
              <w:left w:w="85" w:type="dxa"/>
              <w:bottom w:w="70" w:type="dxa"/>
              <w:right w:w="85" w:type="dxa"/>
            </w:tcMar>
          </w:tcPr>
          <w:p>
            <w:pPr>
              <w:spacing w:after="30" w:before="0"/>
              <w:jc w:val="left"/>
            </w:pPr>
            <w:r>
              <w:rPr>
                <w:rFonts w:ascii="Arial" w:hAnsi="Arial"/>
                <w:sz w:val="16"/>
              </w:rPr>
              <w:t xml:space="preserve">Depends on provider/design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Typical use</w:t>
            </w:r>
          </w:p>
        </w:tc>
        <w:tc>
          <w:tcPr>
            <w:vAlign w:val="center"/>
            <w:tcMar>
              <w:top w:w="70" w:type="dxa"/>
              <w:left w:w="85" w:type="dxa"/>
              <w:bottom w:w="70" w:type="dxa"/>
              <w:right w:w="85" w:type="dxa"/>
            </w:tcMar>
          </w:tcPr>
          <w:p>
            <w:pPr>
              <w:spacing w:after="30" w:before="0"/>
              <w:jc w:val="left"/>
            </w:pPr>
            <w:r>
              <w:rPr>
                <w:rFonts w:ascii="Arial" w:hAnsi="Arial"/>
                <w:sz w:val="16"/>
              </w:rPr>
              <w:t xml:space="preserve">Backup, branches, pilots</w:t>
            </w:r>
          </w:p>
        </w:tc>
        <w:tc>
          <w:tcPr>
            <w:vAlign w:val="center"/>
            <w:tcMar>
              <w:top w:w="70" w:type="dxa"/>
              <w:left w:w="85" w:type="dxa"/>
              <w:bottom w:w="70" w:type="dxa"/>
              <w:right w:w="85" w:type="dxa"/>
            </w:tcMar>
          </w:tcPr>
          <w:p>
            <w:pPr>
              <w:spacing w:after="30" w:before="0"/>
              <w:jc w:val="left"/>
            </w:pPr>
            <w:r>
              <w:rPr>
                <w:rFonts w:ascii="Arial" w:hAnsi="Arial"/>
                <w:sz w:val="16"/>
              </w:rPr>
              <w:t xml:space="preserve">Strategic data centers</w:t>
            </w:r>
          </w:p>
        </w:tc>
        <w:tc>
          <w:tcPr>
            <w:vAlign w:val="center"/>
            <w:tcMar>
              <w:top w:w="70" w:type="dxa"/>
              <w:left w:w="85" w:type="dxa"/>
              <w:bottom w:w="70" w:type="dxa"/>
              <w:right w:w="85" w:type="dxa"/>
            </w:tcMar>
          </w:tcPr>
          <w:p>
            <w:pPr>
              <w:spacing w:after="30" w:before="0"/>
              <w:jc w:val="left"/>
            </w:pPr>
            <w:r>
              <w:rPr>
                <w:rFonts w:ascii="Arial" w:hAnsi="Arial"/>
                <w:sz w:val="16"/>
              </w:rPr>
              <w:t xml:space="preserve">Sites without colocation presence</w:t>
            </w:r>
          </w:p>
        </w:tc>
      </w:tr>
    </w:tbl>
    <w:bookmarkEnd w:id="88"/>
    <w:bookmarkStart w:id="89" w:name="resilience-pattern"/>
    <w:p>
      <w:pPr>
        <w:pStyle w:val="Heading3"/>
        <w:keepNext/>
        <w:pageBreakBefore w:val="0"/>
      </w:pPr>
      <w:r>
        <w:t xml:space="preserve">Resilience pattern</w:t>
      </w:r>
    </w:p>
    <w:p>
      <w:pPr>
        <w:pStyle w:val="Compact"/>
        <w:numPr>
          <w:ilvl w:val="0"/>
          <w:numId w:val="1015"/>
        </w:numPr>
      </w:pPr>
      <w:r>
        <w:t xml:space="preserve">Deploy redundant connections in separate edge availability domains.</w:t>
      </w:r>
    </w:p>
    <w:p>
      <w:pPr>
        <w:pStyle w:val="Compact"/>
        <w:numPr>
          <w:ilvl w:val="0"/>
          <w:numId w:val="1015"/>
        </w:numPr>
      </w:pPr>
      <w:r>
        <w:t xml:space="preserve">Use independent customer routers and power paths.</w:t>
      </w:r>
    </w:p>
    <w:p>
      <w:pPr>
        <w:pStyle w:val="Compact"/>
        <w:numPr>
          <w:ilvl w:val="0"/>
          <w:numId w:val="1015"/>
        </w:numPr>
      </w:pPr>
      <w:r>
        <w:t xml:space="preserve">Use multiple VLAN attachments and Cloud Routers.</w:t>
      </w:r>
    </w:p>
    <w:p>
      <w:pPr>
        <w:pStyle w:val="Compact"/>
        <w:numPr>
          <w:ilvl w:val="0"/>
          <w:numId w:val="1015"/>
        </w:numPr>
      </w:pPr>
      <w:r>
        <w:t xml:space="preserve">Establish HA VPN as an independent backup where business impact warrants it.</w:t>
      </w:r>
    </w:p>
    <w:p>
      <w:pPr>
        <w:pStyle w:val="Compact"/>
        <w:numPr>
          <w:ilvl w:val="0"/>
          <w:numId w:val="1015"/>
        </w:numPr>
      </w:pPr>
      <w:r>
        <w:t xml:space="preserve">Validate BGP convergence, route withdrawal and session failure.</w:t>
      </w:r>
    </w:p>
    <w:p>
      <w:pPr>
        <w:pStyle w:val="Compact"/>
        <w:numPr>
          <w:ilvl w:val="0"/>
          <w:numId w:val="1015"/>
        </w:numPr>
      </w:pPr>
      <w:r>
        <w:t xml:space="preserve">Define maximum tolerated packet loss, latency and convergence time.</w:t>
      </w:r>
    </w:p>
    <w:p>
      <w:pPr>
        <w:pStyle w:val="Compact"/>
        <w:numPr>
          <w:ilvl w:val="0"/>
          <w:numId w:val="1015"/>
        </w:numPr>
      </w:pPr>
      <w:r>
        <w:t xml:space="preserve">Capacity test at expected peak plus growth margin.</w:t>
      </w:r>
    </w:p>
    <w:bookmarkEnd w:id="89"/>
    <w:bookmarkEnd w:id="90"/>
    <w:bookmarkStart w:id="95" w:name="hybrid-connectivity"/>
    <w:p>
      <w:pPr>
        <w:pStyle w:val="Heading2"/>
        <w:keepNext/>
        <w:pageBreakBefore w:val="0"/>
      </w:pPr>
      <w:r>
        <w:t xml:space="preserve">4.15 Hybrid connectivity</w:t>
      </w:r>
    </w:p>
    <w:p>
      <w:pPr>
        <w:pStyle w:val="CaptionedFigure"/>
      </w:pPr>
      <w:r>
        <w:drawing>
          <wp:inline>
            <wp:extent cx="6217920" cy="1949470"/>
            <wp:effectExtent b="0" l="0" r="0" t="0"/>
            <wp:docPr descr="Hybrid and Multi-Cloud Connectivity" title="" id="92" name="Picture"/>
            <a:graphic>
              <a:graphicData uri="http://schemas.openxmlformats.org/drawingml/2006/picture">
                <pic:pic>
                  <pic:nvPicPr>
                    <pic:cNvPr descr="/mnt/data/Volume_02_Google_Cloud_Landing_Zone_Package/diagrams/04_hybrid_connectivity.png" id="93" name="Picture"/>
                    <pic:cNvPicPr>
                      <a:picLocks noChangeArrowheads="1" noChangeAspect="1"/>
                    </pic:cNvPicPr>
                  </pic:nvPicPr>
                  <pic:blipFill>
                    <a:blip r:embed="rId91"/>
                    <a:stretch>
                      <a:fillRect/>
                    </a:stretch>
                  </pic:blipFill>
                  <pic:spPr bwMode="auto">
                    <a:xfrm>
                      <a:off x="0" y="0"/>
                      <a:ext cx="6217920" cy="1949470"/>
                    </a:xfrm>
                    <a:prstGeom prst="rect">
                      <a:avLst/>
                    </a:prstGeom>
                    <a:noFill/>
                    <a:ln w="9525">
                      <a:noFill/>
                      <a:headEnd/>
                      <a:tailEnd/>
                    </a:ln>
                  </pic:spPr>
                </pic:pic>
              </a:graphicData>
            </a:graphic>
          </wp:inline>
        </w:drawing>
      </w:r>
    </w:p>
    <w:p>
      <w:pPr>
        <w:pStyle w:val="ImageCaption"/>
      </w:pPr>
      <w:r>
        <w:t xml:space="preserve">Hybrid and Multi-Cloud Connectivity</w:t>
      </w:r>
    </w:p>
    <w:p>
      <w:pPr>
        <w:pStyle w:val="BodyText"/>
      </w:pPr>
      <w:r>
        <w:t xml:space="preserve">The enterprise connectivity hub integrates data centers, branch networks, partner networks, Google Cloud regions and approved other clouds. Network Connectivity Center is used where it simplifies hub-and-spoke connectivity and centralized route management. The control plane is not assumed to create transitive trust; each spoke remains subject to route, firewall, identity and data controls.</w:t>
      </w:r>
    </w:p>
    <w:bookmarkStart w:id="94" w:name="hybrid-traffic-classes"/>
    <w:p>
      <w:pPr>
        <w:pStyle w:val="Heading3"/>
        <w:keepNext/>
        <w:pageBreakBefore w:val="0"/>
      </w:pPr>
      <w:r>
        <w:t xml:space="preserve">Hybrid traffic classes</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Traffic class</w:t>
            </w:r>
          </w:p>
        </w:tc>
        <w:tc>
          <w:tcPr>
            <w:vAlign w:val="center"/>
            <w:tcMar>
              <w:top w:w="70" w:type="dxa"/>
              <w:left w:w="85" w:type="dxa"/>
              <w:bottom w:w="70" w:type="dxa"/>
              <w:right w:w="85" w:type="dxa"/>
            </w:tcMar>
          </w:tcPr>
          <w:p>
            <w:pPr>
              <w:spacing w:after="30" w:before="0"/>
              <w:jc w:val="left"/>
            </w:pPr>
            <w:r>
              <w:rPr>
                <w:rFonts w:ascii="Arial" w:hAnsi="Arial"/>
                <w:b/>
                <w:sz w:val="16"/>
              </w:rPr>
              <w:t xml:space="preserve">Example</w:t>
            </w:r>
          </w:p>
        </w:tc>
        <w:tc>
          <w:tcPr>
            <w:vAlign w:val="center"/>
            <w:tcMar>
              <w:top w:w="70" w:type="dxa"/>
              <w:left w:w="85" w:type="dxa"/>
              <w:bottom w:w="70" w:type="dxa"/>
              <w:right w:w="85" w:type="dxa"/>
            </w:tcMar>
          </w:tcPr>
          <w:p>
            <w:pPr>
              <w:spacing w:after="30" w:before="0"/>
              <w:jc w:val="left"/>
            </w:pPr>
            <w:r>
              <w:rPr>
                <w:rFonts w:ascii="Arial" w:hAnsi="Arial"/>
                <w:b/>
                <w:sz w:val="16"/>
              </w:rPr>
              <w:t xml:space="preserve">Required controls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Data ingestion</w:t>
            </w:r>
          </w:p>
        </w:tc>
        <w:tc>
          <w:tcPr>
            <w:vAlign w:val="center"/>
            <w:tcMar>
              <w:top w:w="70" w:type="dxa"/>
              <w:left w:w="85" w:type="dxa"/>
              <w:bottom w:w="70" w:type="dxa"/>
              <w:right w:w="85" w:type="dxa"/>
            </w:tcMar>
          </w:tcPr>
          <w:p>
            <w:pPr>
              <w:spacing w:after="30" w:before="0"/>
              <w:jc w:val="left"/>
            </w:pPr>
            <w:r>
              <w:rPr>
                <w:rFonts w:ascii="Arial" w:hAnsi="Arial"/>
                <w:sz w:val="16"/>
              </w:rPr>
              <w:t xml:space="preserve">Database CDC, file transfer, event streams</w:t>
            </w:r>
          </w:p>
        </w:tc>
        <w:tc>
          <w:tcPr>
            <w:vAlign w:val="center"/>
            <w:tcMar>
              <w:top w:w="70" w:type="dxa"/>
              <w:left w:w="85" w:type="dxa"/>
              <w:bottom w:w="70" w:type="dxa"/>
              <w:right w:w="85" w:type="dxa"/>
            </w:tcMar>
          </w:tcPr>
          <w:p>
            <w:pPr>
              <w:spacing w:after="30" w:before="0"/>
              <w:jc w:val="left"/>
            </w:pPr>
            <w:r>
              <w:rPr>
                <w:rFonts w:ascii="Arial" w:hAnsi="Arial"/>
                <w:sz w:val="16"/>
              </w:rPr>
              <w:t xml:space="preserve">Private route, encryption, source authentication and reconciliation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Administration</w:t>
            </w:r>
          </w:p>
        </w:tc>
        <w:tc>
          <w:tcPr>
            <w:vAlign w:val="center"/>
            <w:tcMar>
              <w:top w:w="70" w:type="dxa"/>
              <w:left w:w="85" w:type="dxa"/>
              <w:bottom w:w="70" w:type="dxa"/>
              <w:right w:w="85" w:type="dxa"/>
            </w:tcMar>
          </w:tcPr>
          <w:p>
            <w:pPr>
              <w:spacing w:after="30" w:before="0"/>
              <w:jc w:val="left"/>
            </w:pPr>
            <w:r>
              <w:rPr>
                <w:rFonts w:ascii="Arial" w:hAnsi="Arial"/>
                <w:sz w:val="16"/>
              </w:rPr>
              <w:t xml:space="preserve">CI/CD, security tooling, break-glass support</w:t>
            </w:r>
          </w:p>
        </w:tc>
        <w:tc>
          <w:tcPr>
            <w:vAlign w:val="center"/>
            <w:tcMar>
              <w:top w:w="70" w:type="dxa"/>
              <w:left w:w="85" w:type="dxa"/>
              <w:bottom w:w="70" w:type="dxa"/>
              <w:right w:w="85" w:type="dxa"/>
            </w:tcMar>
          </w:tcPr>
          <w:p>
            <w:pPr>
              <w:spacing w:after="30" w:before="0"/>
              <w:jc w:val="left"/>
            </w:pPr>
            <w:r>
              <w:rPr>
                <w:rFonts w:ascii="Arial" w:hAnsi="Arial"/>
                <w:sz w:val="16"/>
              </w:rPr>
              <w:t xml:space="preserve">Privileged identity, hardened path and session audit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Application integration</w:t>
            </w:r>
          </w:p>
        </w:tc>
        <w:tc>
          <w:tcPr>
            <w:vAlign w:val="center"/>
            <w:tcMar>
              <w:top w:w="70" w:type="dxa"/>
              <w:left w:w="85" w:type="dxa"/>
              <w:bottom w:w="70" w:type="dxa"/>
              <w:right w:w="85" w:type="dxa"/>
            </w:tcMar>
          </w:tcPr>
          <w:p>
            <w:pPr>
              <w:spacing w:after="30" w:before="0"/>
              <w:jc w:val="left"/>
            </w:pPr>
            <w:r>
              <w:rPr>
                <w:rFonts w:ascii="Arial" w:hAnsi="Arial"/>
                <w:sz w:val="16"/>
              </w:rPr>
              <w:t xml:space="preserve">APIs, messages and service calls</w:t>
            </w:r>
          </w:p>
        </w:tc>
        <w:tc>
          <w:tcPr>
            <w:vAlign w:val="center"/>
            <w:tcMar>
              <w:top w:w="70" w:type="dxa"/>
              <w:left w:w="85" w:type="dxa"/>
              <w:bottom w:w="70" w:type="dxa"/>
              <w:right w:w="85" w:type="dxa"/>
            </w:tcMar>
          </w:tcPr>
          <w:p>
            <w:pPr>
              <w:spacing w:after="30" w:before="0"/>
              <w:jc w:val="left"/>
            </w:pPr>
            <w:r>
              <w:rPr>
                <w:rFonts w:ascii="Arial" w:hAnsi="Arial"/>
                <w:sz w:val="16"/>
              </w:rPr>
              <w:t xml:space="preserve">mTLS/OAuth, rate limits and contract testing</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Monitoring</w:t>
            </w:r>
          </w:p>
        </w:tc>
        <w:tc>
          <w:tcPr>
            <w:vAlign w:val="center"/>
            <w:tcMar>
              <w:top w:w="70" w:type="dxa"/>
              <w:left w:w="85" w:type="dxa"/>
              <w:bottom w:w="70" w:type="dxa"/>
              <w:right w:w="85" w:type="dxa"/>
            </w:tcMar>
          </w:tcPr>
          <w:p>
            <w:pPr>
              <w:spacing w:after="30" w:before="0"/>
              <w:jc w:val="left"/>
            </w:pPr>
            <w:r>
              <w:rPr>
                <w:rFonts w:ascii="Arial" w:hAnsi="Arial"/>
                <w:sz w:val="16"/>
              </w:rPr>
              <w:t xml:space="preserve">Metrics, logs and traces</w:t>
            </w:r>
          </w:p>
        </w:tc>
        <w:tc>
          <w:tcPr>
            <w:vAlign w:val="center"/>
            <w:tcMar>
              <w:top w:w="70" w:type="dxa"/>
              <w:left w:w="85" w:type="dxa"/>
              <w:bottom w:w="70" w:type="dxa"/>
              <w:right w:w="85" w:type="dxa"/>
            </w:tcMar>
          </w:tcPr>
          <w:p>
            <w:pPr>
              <w:spacing w:after="30" w:before="0"/>
              <w:jc w:val="left"/>
            </w:pPr>
            <w:r>
              <w:rPr>
                <w:rFonts w:ascii="Arial" w:hAnsi="Arial"/>
                <w:sz w:val="16"/>
              </w:rPr>
              <w:t xml:space="preserve">Central collectors, restricted write identities and retention policy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Backup/recovery</w:t>
            </w:r>
          </w:p>
        </w:tc>
        <w:tc>
          <w:tcPr>
            <w:vAlign w:val="center"/>
            <w:tcMar>
              <w:top w:w="70" w:type="dxa"/>
              <w:left w:w="85" w:type="dxa"/>
              <w:bottom w:w="70" w:type="dxa"/>
              <w:right w:w="85" w:type="dxa"/>
            </w:tcMar>
          </w:tcPr>
          <w:p>
            <w:pPr>
              <w:spacing w:after="30" w:before="0"/>
              <w:jc w:val="left"/>
            </w:pPr>
            <w:r>
              <w:rPr>
                <w:rFonts w:ascii="Arial" w:hAnsi="Arial"/>
                <w:sz w:val="16"/>
              </w:rPr>
              <w:t xml:space="preserve">Recovery copies and configuration</w:t>
            </w:r>
          </w:p>
        </w:tc>
        <w:tc>
          <w:tcPr>
            <w:vAlign w:val="center"/>
            <w:tcMar>
              <w:top w:w="70" w:type="dxa"/>
              <w:left w:w="85" w:type="dxa"/>
              <w:bottom w:w="70" w:type="dxa"/>
              <w:right w:w="85" w:type="dxa"/>
            </w:tcMar>
          </w:tcPr>
          <w:p>
            <w:pPr>
              <w:spacing w:after="30" w:before="0"/>
              <w:jc w:val="left"/>
            </w:pPr>
            <w:r>
              <w:rPr>
                <w:rFonts w:ascii="Arial" w:hAnsi="Arial"/>
                <w:sz w:val="16"/>
              </w:rPr>
              <w:t xml:space="preserve">Segregated identities, immutability and restore tests</w:t>
            </w:r>
          </w:p>
        </w:tc>
      </w:tr>
    </w:tbl>
    <w:bookmarkEnd w:id="94"/>
    <w:bookmarkEnd w:id="95"/>
    <w:bookmarkStart w:id="97" w:name="multi-cloud-connectivity"/>
    <w:p>
      <w:pPr>
        <w:pStyle w:val="Heading2"/>
        <w:keepNext/>
        <w:pageBreakBefore w:val="0"/>
      </w:pPr>
      <w:r>
        <w:t xml:space="preserve">4.16 Multi-cloud connectivity</w:t>
      </w:r>
    </w:p>
    <w:p>
      <w:pPr>
        <w:pStyle w:val="FirstParagraph"/>
      </w:pPr>
      <w:r>
        <w:t xml:space="preserve">Multi-cloud connectivity is designed as explicit service integration rather than broad network extension. AWS and Azure networks connect through approved private links, VPN, interconnect partners or internet-secured endpoints according to latency, volume, sovereignty and provider capability.</w:t>
      </w:r>
    </w:p>
    <w:bookmarkStart w:id="96" w:name="multi-cloud-principles"/>
    <w:p>
      <w:pPr>
        <w:pStyle w:val="Heading3"/>
        <w:keepNext/>
        <w:pageBreakBefore w:val="0"/>
      </w:pPr>
      <w:r>
        <w:t xml:space="preserve">Multi-cloud principles</w:t>
      </w:r>
    </w:p>
    <w:p>
      <w:pPr>
        <w:pStyle w:val="Compact"/>
        <w:numPr>
          <w:ilvl w:val="0"/>
          <w:numId w:val="1016"/>
        </w:numPr>
      </w:pPr>
      <w:r>
        <w:t xml:space="preserve">Avoid creating a single flat RFC 1918 estate.</w:t>
      </w:r>
    </w:p>
    <w:p>
      <w:pPr>
        <w:pStyle w:val="Compact"/>
        <w:numPr>
          <w:ilvl w:val="0"/>
          <w:numId w:val="1016"/>
        </w:numPr>
      </w:pPr>
      <w:r>
        <w:t xml:space="preserve">Prefer service-level integration and event exchange over unrestricted east-west routing.</w:t>
      </w:r>
    </w:p>
    <w:p>
      <w:pPr>
        <w:pStyle w:val="Compact"/>
        <w:numPr>
          <w:ilvl w:val="0"/>
          <w:numId w:val="1016"/>
        </w:numPr>
      </w:pPr>
      <w:r>
        <w:t xml:space="preserve">Allocate non-overlapping address ranges across clouds.</w:t>
      </w:r>
    </w:p>
    <w:p>
      <w:pPr>
        <w:pStyle w:val="Compact"/>
        <w:numPr>
          <w:ilvl w:val="0"/>
          <w:numId w:val="1016"/>
        </w:numPr>
      </w:pPr>
      <w:r>
        <w:t xml:space="preserve">Centralize route ownership and incident telemetry.</w:t>
      </w:r>
    </w:p>
    <w:p>
      <w:pPr>
        <w:pStyle w:val="Compact"/>
        <w:numPr>
          <w:ilvl w:val="0"/>
          <w:numId w:val="1016"/>
        </w:numPr>
      </w:pPr>
      <w:r>
        <w:t xml:space="preserve">Apply consistent identity federation and workload identity patterns.</w:t>
      </w:r>
    </w:p>
    <w:p>
      <w:pPr>
        <w:pStyle w:val="Compact"/>
        <w:numPr>
          <w:ilvl w:val="0"/>
          <w:numId w:val="1016"/>
        </w:numPr>
      </w:pPr>
      <w:r>
        <w:t xml:space="preserve">Control data transfer through approved gateways and data contracts.</w:t>
      </w:r>
    </w:p>
    <w:p>
      <w:pPr>
        <w:pStyle w:val="Compact"/>
        <w:numPr>
          <w:ilvl w:val="0"/>
          <w:numId w:val="1016"/>
        </w:numPr>
      </w:pPr>
      <w:r>
        <w:t xml:space="preserve">Model egress cost and recovery dependencies before production adoption.</w:t>
      </w:r>
    </w:p>
    <w:p>
      <w:pPr>
        <w:pStyle w:val="Compact"/>
        <w:numPr>
          <w:ilvl w:val="0"/>
          <w:numId w:val="1016"/>
        </w:numPr>
      </w:pPr>
      <w:r>
        <w:t xml:space="preserve">Test provider and carrier failure independently.</w:t>
      </w:r>
    </w:p>
    <w:bookmarkEnd w:id="96"/>
    <w:bookmarkEnd w:id="97"/>
    <w:bookmarkStart w:id="98" w:name="network-segmentation"/>
    <w:p>
      <w:pPr>
        <w:pStyle w:val="Heading2"/>
        <w:keepNext/>
        <w:pageBreakBefore w:val="0"/>
      </w:pPr>
      <w:r>
        <w:t xml:space="preserve">4.17 Network segmentation</w:t>
      </w:r>
    </w:p>
    <w:p>
      <w:pPr>
        <w:pStyle w:val="FirstParagraph"/>
      </w:pPr>
      <w:r>
        <w:t xml:space="preserve">Segmentation uses multiple complementary boundaries:</w:t>
      </w:r>
    </w:p>
    <w:p>
      <w:pPr>
        <w:pStyle w:val="Compact"/>
        <w:numPr>
          <w:ilvl w:val="0"/>
          <w:numId w:val="1017"/>
        </w:numPr>
      </w:pPr>
      <w:r>
        <w:t xml:space="preserve">Organization and folder policy boundaries.</w:t>
      </w:r>
    </w:p>
    <w:p>
      <w:pPr>
        <w:pStyle w:val="Compact"/>
        <w:numPr>
          <w:ilvl w:val="0"/>
          <w:numId w:val="1017"/>
        </w:numPr>
      </w:pPr>
      <w:r>
        <w:t xml:space="preserve">Separate production and non-production Shared VPCs.</w:t>
      </w:r>
    </w:p>
    <w:p>
      <w:pPr>
        <w:pStyle w:val="Compact"/>
        <w:numPr>
          <w:ilvl w:val="0"/>
          <w:numId w:val="1017"/>
        </w:numPr>
      </w:pPr>
      <w:r>
        <w:t xml:space="preserve">Separate restricted-data networks and service perimeters.</w:t>
      </w:r>
    </w:p>
    <w:p>
      <w:pPr>
        <w:pStyle w:val="Compact"/>
        <w:numPr>
          <w:ilvl w:val="0"/>
          <w:numId w:val="1017"/>
        </w:numPr>
      </w:pPr>
      <w:r>
        <w:t xml:space="preserve">Regional subnets with explicit route and firewall controls.</w:t>
      </w:r>
    </w:p>
    <w:p>
      <w:pPr>
        <w:pStyle w:val="Compact"/>
        <w:numPr>
          <w:ilvl w:val="0"/>
          <w:numId w:val="1017"/>
        </w:numPr>
      </w:pPr>
      <w:r>
        <w:t xml:space="preserve">Project-level workload isolation.</w:t>
      </w:r>
    </w:p>
    <w:p>
      <w:pPr>
        <w:pStyle w:val="Compact"/>
        <w:numPr>
          <w:ilvl w:val="0"/>
          <w:numId w:val="1017"/>
        </w:numPr>
      </w:pPr>
      <w:r>
        <w:t xml:space="preserve">Identity-aware service authorization.</w:t>
      </w:r>
    </w:p>
    <w:p>
      <w:pPr>
        <w:pStyle w:val="Compact"/>
        <w:numPr>
          <w:ilvl w:val="0"/>
          <w:numId w:val="1017"/>
        </w:numPr>
      </w:pPr>
      <w:r>
        <w:t xml:space="preserve">Application-level mTLS and policy where required.</w:t>
      </w:r>
    </w:p>
    <w:p>
      <w:pPr>
        <w:pStyle w:val="Compact"/>
        <w:numPr>
          <w:ilvl w:val="0"/>
          <w:numId w:val="1017"/>
        </w:numPr>
      </w:pPr>
      <w:r>
        <w:t xml:space="preserve">Data-level authorization and masking.</w:t>
      </w:r>
    </w:p>
    <w:p>
      <w:pPr>
        <w:pStyle w:val="FirstParagraph"/>
      </w:pPr>
      <w:r>
        <w:t xml:space="preserve">A network boundary is not treated as sufficient protection for sensitive data. The design assumes compromised credentials, misconfigured workloads and insider risk, and therefore combines identity, data and service controls.</w:t>
      </w:r>
    </w:p>
    <w:bookmarkEnd w:id="98"/>
    <w:bookmarkEnd w:id="99"/>
    <w:bookmarkStart w:id="119" w:name="identity-and-access-architecture"/>
    <w:p>
      <w:pPr>
        <w:pStyle w:val="Heading1"/>
        <w:keepNext/>
        <w:pageBreakBefore w:val="0"/>
      </w:pPr>
      <w:r>
        <w:t xml:space="preserve">5. Identity and Access Architecture</w:t>
      </w:r>
    </w:p>
    <w:p>
      <w:pPr>
        <w:pStyle w:val="CaptionedFigure"/>
      </w:pPr>
      <w:r>
        <w:drawing>
          <wp:inline>
            <wp:extent cx="6217920" cy="6907817"/>
            <wp:effectExtent b="0" l="0" r="0" t="0"/>
            <wp:docPr descr="Identity and Trust Boundaries" title="" id="101" name="Picture"/>
            <a:graphic>
              <a:graphicData uri="http://schemas.openxmlformats.org/drawingml/2006/picture">
                <pic:pic>
                  <pic:nvPicPr>
                    <pic:cNvPr descr="/mnt/data/Volume_02_Google_Cloud_Landing_Zone_Package/diagrams/05_identity_trust_boundary.png" id="102" name="Picture"/>
                    <pic:cNvPicPr>
                      <a:picLocks noChangeArrowheads="1" noChangeAspect="1"/>
                    </pic:cNvPicPr>
                  </pic:nvPicPr>
                  <pic:blipFill>
                    <a:blip r:embed="rId100"/>
                    <a:stretch>
                      <a:fillRect/>
                    </a:stretch>
                  </pic:blipFill>
                  <pic:spPr bwMode="auto">
                    <a:xfrm>
                      <a:off x="0" y="0"/>
                      <a:ext cx="6217920" cy="6907817"/>
                    </a:xfrm>
                    <a:prstGeom prst="rect">
                      <a:avLst/>
                    </a:prstGeom>
                    <a:noFill/>
                    <a:ln w="9525">
                      <a:noFill/>
                      <a:headEnd/>
                      <a:tailEnd/>
                    </a:ln>
                  </pic:spPr>
                </pic:pic>
              </a:graphicData>
            </a:graphic>
          </wp:inline>
        </w:drawing>
      </w:r>
    </w:p>
    <w:p>
      <w:pPr>
        <w:pStyle w:val="ImageCaption"/>
      </w:pPr>
      <w:r>
        <w:t xml:space="preserve">Identity and Trust Boundaries</w:t>
      </w:r>
    </w:p>
    <w:bookmarkStart w:id="103" w:name="identity-architecture-objectives"/>
    <w:p>
      <w:pPr>
        <w:pStyle w:val="Heading2"/>
        <w:keepNext/>
        <w:pageBreakBefore w:val="0"/>
      </w:pPr>
      <w:r>
        <w:t xml:space="preserve">5.1 Identity architecture objectives</w:t>
      </w:r>
    </w:p>
    <w:p>
      <w:pPr>
        <w:pStyle w:val="FirstParagraph"/>
      </w:pPr>
      <w:r>
        <w:t xml:space="preserve">The identity foundation ensures that every action is attributable to a verified human or workload identity, access is time-bounded where practical, and permissions are granted at the lowest sustainable scope. The model separates workforce, workload, external partner and emergency identities.</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Identity type</w:t>
            </w:r>
          </w:p>
        </w:tc>
        <w:tc>
          <w:tcPr>
            <w:vAlign w:val="center"/>
            <w:tcMar>
              <w:top w:w="70" w:type="dxa"/>
              <w:left w:w="85" w:type="dxa"/>
              <w:bottom w:w="70" w:type="dxa"/>
              <w:right w:w="85" w:type="dxa"/>
            </w:tcMar>
          </w:tcPr>
          <w:p>
            <w:pPr>
              <w:spacing w:after="30" w:before="0"/>
              <w:jc w:val="left"/>
            </w:pPr>
            <w:r>
              <w:rPr>
                <w:rFonts w:ascii="Arial" w:hAnsi="Arial"/>
                <w:b/>
                <w:sz w:val="16"/>
              </w:rPr>
              <w:t xml:space="preserve">Source of truth</w:t>
            </w:r>
          </w:p>
        </w:tc>
        <w:tc>
          <w:tcPr>
            <w:vAlign w:val="center"/>
            <w:tcMar>
              <w:top w:w="70" w:type="dxa"/>
              <w:left w:w="85" w:type="dxa"/>
              <w:bottom w:w="70" w:type="dxa"/>
              <w:right w:w="85" w:type="dxa"/>
            </w:tcMar>
          </w:tcPr>
          <w:p>
            <w:pPr>
              <w:spacing w:after="30" w:before="0"/>
              <w:jc w:val="left"/>
            </w:pPr>
            <w:r>
              <w:rPr>
                <w:rFonts w:ascii="Arial" w:hAnsi="Arial"/>
                <w:b/>
                <w:sz w:val="16"/>
              </w:rPr>
              <w:t xml:space="preserve">Authentication</w:t>
            </w:r>
          </w:p>
        </w:tc>
        <w:tc>
          <w:tcPr>
            <w:vAlign w:val="center"/>
            <w:tcMar>
              <w:top w:w="70" w:type="dxa"/>
              <w:left w:w="85" w:type="dxa"/>
              <w:bottom w:w="70" w:type="dxa"/>
              <w:right w:w="85" w:type="dxa"/>
            </w:tcMar>
          </w:tcPr>
          <w:p>
            <w:pPr>
              <w:spacing w:after="30" w:before="0"/>
              <w:jc w:val="left"/>
            </w:pPr>
            <w:r>
              <w:rPr>
                <w:rFonts w:ascii="Arial" w:hAnsi="Arial"/>
                <w:b/>
                <w:sz w:val="16"/>
              </w:rPr>
              <w:t xml:space="preserve">Authorization pattern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Employees</w:t>
            </w:r>
          </w:p>
        </w:tc>
        <w:tc>
          <w:tcPr>
            <w:vAlign w:val="center"/>
            <w:tcMar>
              <w:top w:w="70" w:type="dxa"/>
              <w:left w:w="85" w:type="dxa"/>
              <w:bottom w:w="70" w:type="dxa"/>
              <w:right w:w="85" w:type="dxa"/>
            </w:tcMar>
          </w:tcPr>
          <w:p>
            <w:pPr>
              <w:spacing w:after="30" w:before="0"/>
              <w:jc w:val="left"/>
            </w:pPr>
            <w:r>
              <w:rPr>
                <w:rFonts w:ascii="Arial" w:hAnsi="Arial"/>
                <w:sz w:val="16"/>
              </w:rPr>
              <w:t xml:space="preserve">Enterprise HR and IdP</w:t>
            </w:r>
          </w:p>
        </w:tc>
        <w:tc>
          <w:tcPr>
            <w:vAlign w:val="center"/>
            <w:tcMar>
              <w:top w:w="70" w:type="dxa"/>
              <w:left w:w="85" w:type="dxa"/>
              <w:bottom w:w="70" w:type="dxa"/>
              <w:right w:w="85" w:type="dxa"/>
            </w:tcMar>
          </w:tcPr>
          <w:p>
            <w:pPr>
              <w:spacing w:after="30" w:before="0"/>
              <w:jc w:val="left"/>
            </w:pPr>
            <w:r>
              <w:rPr>
                <w:rFonts w:ascii="Arial" w:hAnsi="Arial"/>
                <w:sz w:val="16"/>
              </w:rPr>
              <w:t xml:space="preserve">Federated SSO and MFA</w:t>
            </w:r>
          </w:p>
        </w:tc>
        <w:tc>
          <w:tcPr>
            <w:vAlign w:val="center"/>
            <w:tcMar>
              <w:top w:w="70" w:type="dxa"/>
              <w:left w:w="85" w:type="dxa"/>
              <w:bottom w:w="70" w:type="dxa"/>
              <w:right w:w="85" w:type="dxa"/>
            </w:tcMar>
          </w:tcPr>
          <w:p>
            <w:pPr>
              <w:spacing w:after="30" w:before="0"/>
              <w:jc w:val="left"/>
            </w:pPr>
            <w:r>
              <w:rPr>
                <w:rFonts w:ascii="Arial" w:hAnsi="Arial"/>
                <w:sz w:val="16"/>
              </w:rPr>
              <w:t xml:space="preserve">Group-based IAM and PAM</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Contractors</w:t>
            </w:r>
          </w:p>
        </w:tc>
        <w:tc>
          <w:tcPr>
            <w:vAlign w:val="center"/>
            <w:tcMar>
              <w:top w:w="70" w:type="dxa"/>
              <w:left w:w="85" w:type="dxa"/>
              <w:bottom w:w="70" w:type="dxa"/>
              <w:right w:w="85" w:type="dxa"/>
            </w:tcMar>
          </w:tcPr>
          <w:p>
            <w:pPr>
              <w:spacing w:after="30" w:before="0"/>
              <w:jc w:val="left"/>
            </w:pPr>
            <w:r>
              <w:rPr>
                <w:rFonts w:ascii="Arial" w:hAnsi="Arial"/>
                <w:sz w:val="16"/>
              </w:rPr>
              <w:t xml:space="preserve">Approved identity provider</w:t>
            </w:r>
          </w:p>
        </w:tc>
        <w:tc>
          <w:tcPr>
            <w:vAlign w:val="center"/>
            <w:tcMar>
              <w:top w:w="70" w:type="dxa"/>
              <w:left w:w="85" w:type="dxa"/>
              <w:bottom w:w="70" w:type="dxa"/>
              <w:right w:w="85" w:type="dxa"/>
            </w:tcMar>
          </w:tcPr>
          <w:p>
            <w:pPr>
              <w:spacing w:after="30" w:before="0"/>
              <w:jc w:val="left"/>
            </w:pPr>
            <w:r>
              <w:rPr>
                <w:rFonts w:ascii="Arial" w:hAnsi="Arial"/>
                <w:sz w:val="16"/>
              </w:rPr>
              <w:t xml:space="preserve">Federated SSO, MFA and expiry</w:t>
            </w:r>
          </w:p>
        </w:tc>
        <w:tc>
          <w:tcPr>
            <w:vAlign w:val="center"/>
            <w:tcMar>
              <w:top w:w="70" w:type="dxa"/>
              <w:left w:w="85" w:type="dxa"/>
              <w:bottom w:w="70" w:type="dxa"/>
              <w:right w:w="85" w:type="dxa"/>
            </w:tcMar>
          </w:tcPr>
          <w:p>
            <w:pPr>
              <w:spacing w:after="30" w:before="0"/>
              <w:jc w:val="left"/>
            </w:pPr>
            <w:r>
              <w:rPr>
                <w:rFonts w:ascii="Arial" w:hAnsi="Arial"/>
                <w:sz w:val="16"/>
              </w:rPr>
              <w:t xml:space="preserve">Separate groups, sponsor and time limit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External partners</w:t>
            </w:r>
          </w:p>
        </w:tc>
        <w:tc>
          <w:tcPr>
            <w:vAlign w:val="center"/>
            <w:tcMar>
              <w:top w:w="70" w:type="dxa"/>
              <w:left w:w="85" w:type="dxa"/>
              <w:bottom w:w="70" w:type="dxa"/>
              <w:right w:w="85" w:type="dxa"/>
            </w:tcMar>
          </w:tcPr>
          <w:p>
            <w:pPr>
              <w:spacing w:after="30" w:before="0"/>
              <w:jc w:val="left"/>
            </w:pPr>
            <w:r>
              <w:rPr>
                <w:rFonts w:ascii="Arial" w:hAnsi="Arial"/>
                <w:sz w:val="16"/>
              </w:rPr>
              <w:t xml:space="preserve">Partner IdP or workforce pool</w:t>
            </w:r>
          </w:p>
        </w:tc>
        <w:tc>
          <w:tcPr>
            <w:vAlign w:val="center"/>
            <w:tcMar>
              <w:top w:w="70" w:type="dxa"/>
              <w:left w:w="85" w:type="dxa"/>
              <w:bottom w:w="70" w:type="dxa"/>
              <w:right w:w="85" w:type="dxa"/>
            </w:tcMar>
          </w:tcPr>
          <w:p>
            <w:pPr>
              <w:spacing w:after="30" w:before="0"/>
              <w:jc w:val="left"/>
            </w:pPr>
            <w:r>
              <w:rPr>
                <w:rFonts w:ascii="Arial" w:hAnsi="Arial"/>
                <w:sz w:val="16"/>
              </w:rPr>
              <w:t xml:space="preserve">Workforce Identity Federation</w:t>
            </w:r>
          </w:p>
        </w:tc>
        <w:tc>
          <w:tcPr>
            <w:vAlign w:val="center"/>
            <w:tcMar>
              <w:top w:w="70" w:type="dxa"/>
              <w:left w:w="85" w:type="dxa"/>
              <w:bottom w:w="70" w:type="dxa"/>
              <w:right w:w="85" w:type="dxa"/>
            </w:tcMar>
          </w:tcPr>
          <w:p>
            <w:pPr>
              <w:spacing w:after="30" w:before="0"/>
              <w:jc w:val="left"/>
            </w:pPr>
            <w:r>
              <w:rPr>
                <w:rFonts w:ascii="Arial" w:hAnsi="Arial"/>
                <w:sz w:val="16"/>
              </w:rPr>
              <w:t xml:space="preserve">Attribute conditions and narrow roles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CI/CD workloads</w:t>
            </w:r>
          </w:p>
        </w:tc>
        <w:tc>
          <w:tcPr>
            <w:vAlign w:val="center"/>
            <w:tcMar>
              <w:top w:w="70" w:type="dxa"/>
              <w:left w:w="85" w:type="dxa"/>
              <w:bottom w:w="70" w:type="dxa"/>
              <w:right w:w="85" w:type="dxa"/>
            </w:tcMar>
          </w:tcPr>
          <w:p>
            <w:pPr>
              <w:spacing w:after="30" w:before="0"/>
              <w:jc w:val="left"/>
            </w:pPr>
            <w:r>
              <w:rPr>
                <w:rFonts w:ascii="Arial" w:hAnsi="Arial"/>
                <w:sz w:val="16"/>
              </w:rPr>
              <w:t xml:space="preserve">GitHub, Cloud Build or enterprise CI</w:t>
            </w:r>
          </w:p>
        </w:tc>
        <w:tc>
          <w:tcPr>
            <w:vAlign w:val="center"/>
            <w:tcMar>
              <w:top w:w="70" w:type="dxa"/>
              <w:left w:w="85" w:type="dxa"/>
              <w:bottom w:w="70" w:type="dxa"/>
              <w:right w:w="85" w:type="dxa"/>
            </w:tcMar>
          </w:tcPr>
          <w:p>
            <w:pPr>
              <w:spacing w:after="30" w:before="0"/>
              <w:jc w:val="left"/>
            </w:pPr>
            <w:r>
              <w:rPr>
                <w:rFonts w:ascii="Arial" w:hAnsi="Arial"/>
                <w:sz w:val="16"/>
              </w:rPr>
              <w:t xml:space="preserve">Workload Identity Federation</w:t>
            </w:r>
          </w:p>
        </w:tc>
        <w:tc>
          <w:tcPr>
            <w:vAlign w:val="center"/>
            <w:tcMar>
              <w:top w:w="70" w:type="dxa"/>
              <w:left w:w="85" w:type="dxa"/>
              <w:bottom w:w="70" w:type="dxa"/>
              <w:right w:w="85" w:type="dxa"/>
            </w:tcMar>
          </w:tcPr>
          <w:p>
            <w:pPr>
              <w:spacing w:after="30" w:before="0"/>
              <w:jc w:val="left"/>
            </w:pPr>
            <w:r>
              <w:rPr>
                <w:rFonts w:ascii="Arial" w:hAnsi="Arial"/>
                <w:sz w:val="16"/>
              </w:rPr>
              <w:t xml:space="preserve">Dedicated deployment service accounts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Runtime workloads</w:t>
            </w:r>
          </w:p>
        </w:tc>
        <w:tc>
          <w:tcPr>
            <w:vAlign w:val="center"/>
            <w:tcMar>
              <w:top w:w="70" w:type="dxa"/>
              <w:left w:w="85" w:type="dxa"/>
              <w:bottom w:w="70" w:type="dxa"/>
              <w:right w:w="85" w:type="dxa"/>
            </w:tcMar>
          </w:tcPr>
          <w:p>
            <w:pPr>
              <w:spacing w:after="30" w:before="0"/>
              <w:jc w:val="left"/>
            </w:pPr>
            <w:r>
              <w:rPr>
                <w:rFonts w:ascii="Arial" w:hAnsi="Arial"/>
                <w:sz w:val="16"/>
              </w:rPr>
              <w:t xml:space="preserve">Google Cloud service identities</w:t>
            </w:r>
          </w:p>
        </w:tc>
        <w:tc>
          <w:tcPr>
            <w:vAlign w:val="center"/>
            <w:tcMar>
              <w:top w:w="70" w:type="dxa"/>
              <w:left w:w="85" w:type="dxa"/>
              <w:bottom w:w="70" w:type="dxa"/>
              <w:right w:w="85" w:type="dxa"/>
            </w:tcMar>
          </w:tcPr>
          <w:p>
            <w:pPr>
              <w:spacing w:after="30" w:before="0"/>
              <w:jc w:val="left"/>
            </w:pPr>
            <w:r>
              <w:rPr>
                <w:rFonts w:ascii="Arial" w:hAnsi="Arial"/>
                <w:sz w:val="16"/>
              </w:rPr>
              <w:t xml:space="preserve">Service account or workload identity</w:t>
            </w:r>
          </w:p>
        </w:tc>
        <w:tc>
          <w:tcPr>
            <w:vAlign w:val="center"/>
            <w:tcMar>
              <w:top w:w="70" w:type="dxa"/>
              <w:left w:w="85" w:type="dxa"/>
              <w:bottom w:w="70" w:type="dxa"/>
              <w:right w:w="85" w:type="dxa"/>
            </w:tcMar>
          </w:tcPr>
          <w:p>
            <w:pPr>
              <w:spacing w:after="30" w:before="0"/>
              <w:jc w:val="left"/>
            </w:pPr>
            <w:r>
              <w:rPr>
                <w:rFonts w:ascii="Arial" w:hAnsi="Arial"/>
                <w:sz w:val="16"/>
              </w:rPr>
              <w:t xml:space="preserve">Per-service least privilege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Emergency administrators</w:t>
            </w:r>
          </w:p>
        </w:tc>
        <w:tc>
          <w:tcPr>
            <w:vAlign w:val="center"/>
            <w:tcMar>
              <w:top w:w="70" w:type="dxa"/>
              <w:left w:w="85" w:type="dxa"/>
              <w:bottom w:w="70" w:type="dxa"/>
              <w:right w:w="85" w:type="dxa"/>
            </w:tcMar>
          </w:tcPr>
          <w:p>
            <w:pPr>
              <w:spacing w:after="30" w:before="0"/>
              <w:jc w:val="left"/>
            </w:pPr>
            <w:r>
              <w:rPr>
                <w:rFonts w:ascii="Arial" w:hAnsi="Arial"/>
                <w:sz w:val="16"/>
              </w:rPr>
              <w:t xml:space="preserve">Dedicated break-glass identities</w:t>
            </w:r>
          </w:p>
        </w:tc>
        <w:tc>
          <w:tcPr>
            <w:vAlign w:val="center"/>
            <w:tcMar>
              <w:top w:w="70" w:type="dxa"/>
              <w:left w:w="85" w:type="dxa"/>
              <w:bottom w:w="70" w:type="dxa"/>
              <w:right w:w="85" w:type="dxa"/>
            </w:tcMar>
          </w:tcPr>
          <w:p>
            <w:pPr>
              <w:spacing w:after="30" w:before="0"/>
              <w:jc w:val="left"/>
            </w:pPr>
            <w:r>
              <w:rPr>
                <w:rFonts w:ascii="Arial" w:hAnsi="Arial"/>
                <w:sz w:val="16"/>
              </w:rPr>
              <w:t xml:space="preserve">Strong MFA and monitored use</w:t>
            </w:r>
          </w:p>
        </w:tc>
        <w:tc>
          <w:tcPr>
            <w:vAlign w:val="center"/>
            <w:tcMar>
              <w:top w:w="70" w:type="dxa"/>
              <w:left w:w="85" w:type="dxa"/>
              <w:bottom w:w="70" w:type="dxa"/>
              <w:right w:w="85" w:type="dxa"/>
            </w:tcMar>
          </w:tcPr>
          <w:p>
            <w:pPr>
              <w:spacing w:after="30" w:before="0"/>
              <w:jc w:val="left"/>
            </w:pPr>
            <w:r>
              <w:rPr>
                <w:rFonts w:ascii="Arial" w:hAnsi="Arial"/>
                <w:sz w:val="16"/>
              </w:rPr>
              <w:t xml:space="preserve">Minimal emergency roles and expiry</w:t>
            </w:r>
          </w:p>
        </w:tc>
      </w:tr>
    </w:tbl>
    <w:bookmarkEnd w:id="103"/>
    <w:bookmarkStart w:id="105" w:name="cloud-identity"/>
    <w:p>
      <w:pPr>
        <w:pStyle w:val="Heading2"/>
        <w:keepNext/>
        <w:pageBreakBefore w:val="0"/>
      </w:pPr>
      <w:r>
        <w:t xml:space="preserve">5.2 Cloud Identity</w:t>
      </w:r>
    </w:p>
    <w:p>
      <w:pPr>
        <w:pStyle w:val="FirstParagraph"/>
      </w:pPr>
      <w:r>
        <w:t xml:space="preserve">Cloud Identity provides the Google Cloud workforce directory and group foundation. It integrates with the enterprise identity provider and receives authoritative lifecycle events from HR and identity governance systems.</w:t>
      </w:r>
    </w:p>
    <w:bookmarkStart w:id="104" w:name="standards"/>
    <w:p>
      <w:pPr>
        <w:pStyle w:val="Heading3"/>
        <w:keepNext/>
        <w:pageBreakBefore w:val="0"/>
      </w:pPr>
      <w:r>
        <w:t xml:space="preserve">Standards</w:t>
      </w:r>
    </w:p>
    <w:p>
      <w:pPr>
        <w:pStyle w:val="Compact"/>
        <w:numPr>
          <w:ilvl w:val="0"/>
          <w:numId w:val="1018"/>
        </w:numPr>
      </w:pPr>
      <w:r>
        <w:t xml:space="preserve">User accounts are not created manually for normal workforce access.</w:t>
      </w:r>
    </w:p>
    <w:p>
      <w:pPr>
        <w:pStyle w:val="Compact"/>
        <w:numPr>
          <w:ilvl w:val="0"/>
          <w:numId w:val="1018"/>
        </w:numPr>
      </w:pPr>
      <w:r>
        <w:t xml:space="preserve">Joiner, mover and leaver events propagate through automated provisioning.</w:t>
      </w:r>
    </w:p>
    <w:p>
      <w:pPr>
        <w:pStyle w:val="Compact"/>
        <w:numPr>
          <w:ilvl w:val="0"/>
          <w:numId w:val="1018"/>
        </w:numPr>
      </w:pPr>
      <w:r>
        <w:t xml:space="preserve">Administrative identities are separate from daily productivity identities where required.</w:t>
      </w:r>
    </w:p>
    <w:p>
      <w:pPr>
        <w:pStyle w:val="Compact"/>
        <w:numPr>
          <w:ilvl w:val="0"/>
          <w:numId w:val="1018"/>
        </w:numPr>
      </w:pPr>
      <w:r>
        <w:t xml:space="preserve">High-privilege groups cannot be self-managed by their members.</w:t>
      </w:r>
    </w:p>
    <w:p>
      <w:pPr>
        <w:pStyle w:val="Compact"/>
        <w:numPr>
          <w:ilvl w:val="0"/>
          <w:numId w:val="1018"/>
        </w:numPr>
      </w:pPr>
      <w:r>
        <w:t xml:space="preserve">Group ownership is assigned to accountable business and technical owners.</w:t>
      </w:r>
    </w:p>
    <w:p>
      <w:pPr>
        <w:pStyle w:val="Compact"/>
        <w:numPr>
          <w:ilvl w:val="0"/>
          <w:numId w:val="1018"/>
        </w:numPr>
      </w:pPr>
      <w:r>
        <w:t xml:space="preserve">Dormant accounts and groups are reviewed and removed.</w:t>
      </w:r>
    </w:p>
    <w:p>
      <w:pPr>
        <w:pStyle w:val="Compact"/>
        <w:numPr>
          <w:ilvl w:val="0"/>
          <w:numId w:val="1018"/>
        </w:numPr>
      </w:pPr>
      <w:r>
        <w:t xml:space="preserve">Authentication context and MFA strength reflect access sensitivity.</w:t>
      </w:r>
    </w:p>
    <w:bookmarkEnd w:id="104"/>
    <w:bookmarkEnd w:id="105"/>
    <w:bookmarkStart w:id="107" w:name="workforce-identity-federation"/>
    <w:p>
      <w:pPr>
        <w:pStyle w:val="Heading2"/>
        <w:keepNext/>
        <w:pageBreakBefore w:val="0"/>
      </w:pPr>
      <w:r>
        <w:t xml:space="preserve">5.3 Workforce Identity Federation</w:t>
      </w:r>
    </w:p>
    <w:p>
      <w:pPr>
        <w:pStyle w:val="FirstParagraph"/>
      </w:pPr>
      <w:r>
        <w:t xml:space="preserve">Workforce Identity Federation is used when external or non-Google workforce identities require Google Cloud access without creating long-lived Google-managed user accounts. Attribute mappings and conditions restrict which subjects, groups and claims can assume permissions.</w:t>
      </w:r>
    </w:p>
    <w:bookmarkStart w:id="106" w:name="design-controls"/>
    <w:p>
      <w:pPr>
        <w:pStyle w:val="Heading3"/>
        <w:keepNext/>
        <w:pageBreakBefore w:val="0"/>
      </w:pPr>
      <w:r>
        <w:t xml:space="preserve">Design controls</w:t>
      </w:r>
    </w:p>
    <w:p>
      <w:pPr>
        <w:pStyle w:val="Compact"/>
        <w:numPr>
          <w:ilvl w:val="0"/>
          <w:numId w:val="1019"/>
        </w:numPr>
      </w:pPr>
      <w:r>
        <w:t xml:space="preserve">Create separate workforce pools by trust domain or partner class.</w:t>
      </w:r>
    </w:p>
    <w:p>
      <w:pPr>
        <w:pStyle w:val="Compact"/>
        <w:numPr>
          <w:ilvl w:val="0"/>
          <w:numId w:val="1019"/>
        </w:numPr>
      </w:pPr>
      <w:r>
        <w:t xml:space="preserve">Map immutable subject identifiers rather than mutable display names.</w:t>
      </w:r>
    </w:p>
    <w:p>
      <w:pPr>
        <w:pStyle w:val="Compact"/>
        <w:numPr>
          <w:ilvl w:val="0"/>
          <w:numId w:val="1019"/>
        </w:numPr>
      </w:pPr>
      <w:r>
        <w:t xml:space="preserve">Require signed, time-limited assertions from approved identity providers.</w:t>
      </w:r>
    </w:p>
    <w:p>
      <w:pPr>
        <w:pStyle w:val="Compact"/>
        <w:numPr>
          <w:ilvl w:val="0"/>
          <w:numId w:val="1019"/>
        </w:numPr>
      </w:pPr>
      <w:r>
        <w:t xml:space="preserve">Use attribute conditions to limit organization, group, employment state and assurance level.</w:t>
      </w:r>
    </w:p>
    <w:p>
      <w:pPr>
        <w:pStyle w:val="Compact"/>
        <w:numPr>
          <w:ilvl w:val="0"/>
          <w:numId w:val="1019"/>
        </w:numPr>
      </w:pPr>
      <w:r>
        <w:t xml:space="preserve">Grant access to groups or principal sets at the narrowest resource scope.</w:t>
      </w:r>
    </w:p>
    <w:p>
      <w:pPr>
        <w:pStyle w:val="Compact"/>
        <w:numPr>
          <w:ilvl w:val="0"/>
          <w:numId w:val="1019"/>
        </w:numPr>
      </w:pPr>
      <w:r>
        <w:t xml:space="preserve">Log token exchange and resource access.</w:t>
      </w:r>
    </w:p>
    <w:p>
      <w:pPr>
        <w:pStyle w:val="Compact"/>
        <w:numPr>
          <w:ilvl w:val="0"/>
          <w:numId w:val="1019"/>
        </w:numPr>
      </w:pPr>
      <w:r>
        <w:t xml:space="preserve">Define revocation and partner-termination procedures.</w:t>
      </w:r>
    </w:p>
    <w:bookmarkEnd w:id="106"/>
    <w:bookmarkEnd w:id="107"/>
    <w:bookmarkStart w:id="109" w:name="workload-identity-federation"/>
    <w:p>
      <w:pPr>
        <w:pStyle w:val="Heading2"/>
        <w:keepNext/>
        <w:pageBreakBefore w:val="0"/>
      </w:pPr>
      <w:r>
        <w:t xml:space="preserve">5.4 Workload Identity Federation</w:t>
      </w:r>
    </w:p>
    <w:p>
      <w:pPr>
        <w:pStyle w:val="FirstParagraph"/>
      </w:pPr>
      <w:r>
        <w:t xml:space="preserve">Workload Identity Federation is the standard for GitHub Actions, external CI/CD, on-premises workloads and other-cloud workloads that need Google Cloud access. It avoids downloadable service-account keys and exchanges trusted external credentials for short-lived Google credentials.</w:t>
      </w:r>
    </w:p>
    <w:bookmarkStart w:id="108" w:name="required-pattern"/>
    <w:p>
      <w:pPr>
        <w:pStyle w:val="Heading3"/>
        <w:keepNext/>
        <w:pageBreakBefore w:val="0"/>
      </w:pPr>
      <w:r>
        <w:t xml:space="preserve">Required pattern</w:t>
      </w:r>
    </w:p>
    <w:p>
      <w:pPr>
        <w:pStyle w:val="Compact"/>
        <w:numPr>
          <w:ilvl w:val="0"/>
          <w:numId w:val="1020"/>
        </w:numPr>
      </w:pPr>
      <w:r>
        <w:t xml:space="preserve">Create a dedicated workload identity pool per external trust domain.</w:t>
      </w:r>
    </w:p>
    <w:p>
      <w:pPr>
        <w:pStyle w:val="Compact"/>
        <w:numPr>
          <w:ilvl w:val="0"/>
          <w:numId w:val="1020"/>
        </w:numPr>
      </w:pPr>
      <w:r>
        <w:t xml:space="preserve">Configure a provider for the external token issuer.</w:t>
      </w:r>
    </w:p>
    <w:p>
      <w:pPr>
        <w:pStyle w:val="Compact"/>
        <w:numPr>
          <w:ilvl w:val="0"/>
          <w:numId w:val="1020"/>
        </w:numPr>
      </w:pPr>
      <w:r>
        <w:t xml:space="preserve">Map repository, branch, environment, organization, workload or cloud-account claims.</w:t>
      </w:r>
    </w:p>
    <w:p>
      <w:pPr>
        <w:pStyle w:val="Compact"/>
        <w:numPr>
          <w:ilvl w:val="0"/>
          <w:numId w:val="1020"/>
        </w:numPr>
      </w:pPr>
      <w:r>
        <w:t xml:space="preserve">Restrict token exchange with attribute conditions.</w:t>
      </w:r>
    </w:p>
    <w:p>
      <w:pPr>
        <w:pStyle w:val="Compact"/>
        <w:numPr>
          <w:ilvl w:val="0"/>
          <w:numId w:val="1020"/>
        </w:numPr>
      </w:pPr>
      <w:r>
        <w:t xml:space="preserve">Grant the federated principal permission to impersonate a dedicated service account.</w:t>
      </w:r>
    </w:p>
    <w:p>
      <w:pPr>
        <w:pStyle w:val="Compact"/>
        <w:numPr>
          <w:ilvl w:val="0"/>
          <w:numId w:val="1020"/>
        </w:numPr>
      </w:pPr>
      <w:r>
        <w:t xml:space="preserve">Grant that service account only the deployment or runtime permissions required.</w:t>
      </w:r>
    </w:p>
    <w:p>
      <w:pPr>
        <w:pStyle w:val="Compact"/>
        <w:numPr>
          <w:ilvl w:val="0"/>
          <w:numId w:val="1020"/>
        </w:numPr>
      </w:pPr>
      <w:r>
        <w:t xml:space="preserve">Monitor token exchanges, impersonation and downstream API calls.</w:t>
      </w:r>
    </w:p>
    <w:p>
      <w:pPr>
        <w:pStyle w:val="FirstParagraph"/>
      </w:pPr>
      <w:r>
        <w:t xml:space="preserve">Long-lived service-account keys are prohibited by organization policy except for documented legacy exceptions with rotation, storage and retirement plans.</w:t>
      </w:r>
    </w:p>
    <w:bookmarkEnd w:id="108"/>
    <w:bookmarkEnd w:id="109"/>
    <w:bookmarkStart w:id="111" w:name="iam-groups"/>
    <w:p>
      <w:pPr>
        <w:pStyle w:val="Heading2"/>
        <w:keepNext/>
        <w:pageBreakBefore w:val="0"/>
      </w:pPr>
      <w:r>
        <w:t xml:space="preserve">5.5 IAM groups</w:t>
      </w:r>
    </w:p>
    <w:p>
      <w:pPr>
        <w:pStyle w:val="FirstParagraph"/>
      </w:pPr>
      <w:r>
        <w:t xml:space="preserve">Groups represent job function, support responsibility or approved data-consumer populations. They are not created per individual project when an enterprise role already exists.</w:t>
      </w:r>
    </w:p>
    <w:bookmarkStart w:id="110" w:name="group-naming-examples"/>
    <w:p>
      <w:pPr>
        <w:pStyle w:val="Heading3"/>
        <w:keepNext/>
        <w:pageBreakBefore w:val="0"/>
      </w:pPr>
      <w:r>
        <w:t xml:space="preserve">Group naming examples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Group</w:t>
            </w:r>
          </w:p>
        </w:tc>
        <w:tc>
          <w:tcPr>
            <w:vAlign w:val="center"/>
            <w:tcMar>
              <w:top w:w="70" w:type="dxa"/>
              <w:left w:w="85" w:type="dxa"/>
              <w:bottom w:w="70" w:type="dxa"/>
              <w:right w:w="85" w:type="dxa"/>
            </w:tcMar>
          </w:tcPr>
          <w:p>
            <w:pPr>
              <w:spacing w:after="30" w:before="0"/>
              <w:jc w:val="left"/>
            </w:pPr>
            <w:r>
              <w:rPr>
                <w:rFonts w:ascii="Arial" w:hAnsi="Arial"/>
                <w:b/>
                <w:sz w:val="16"/>
              </w:rPr>
              <w:t xml:space="preserve">Purpose</w:t>
            </w:r>
          </w:p>
        </w:tc>
      </w:tr>
      <w:tr>
        <w:trPr>
          <w:cantSplit/>
        </w:trPr>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gcp-org-security-admins@example.com</w:t>
            </w:r>
          </w:p>
        </w:tc>
        <w:tc>
          <w:tcPr>
            <w:vAlign w:val="center"/>
            <w:tcMar>
              <w:top w:w="70" w:type="dxa"/>
              <w:left w:w="85" w:type="dxa"/>
              <w:bottom w:w="70" w:type="dxa"/>
              <w:right w:w="85" w:type="dxa"/>
            </w:tcMar>
          </w:tcPr>
          <w:p>
            <w:pPr>
              <w:spacing w:after="30" w:before="0"/>
              <w:jc w:val="left"/>
            </w:pPr>
            <w:r>
              <w:rPr>
                <w:rFonts w:ascii="Arial" w:hAnsi="Arial"/>
                <w:sz w:val="16"/>
              </w:rPr>
              <w:t xml:space="preserve">Organization security policy administrators</w:t>
            </w:r>
          </w:p>
        </w:tc>
      </w:tr>
      <w:tr>
        <w:trPr>
          <w:cantSplit/>
        </w:trPr>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gcp-net-prod-operators@example.com</w:t>
            </w:r>
          </w:p>
        </w:tc>
        <w:tc>
          <w:tcPr>
            <w:vAlign w:val="center"/>
            <w:tcMar>
              <w:top w:w="70" w:type="dxa"/>
              <w:left w:w="85" w:type="dxa"/>
              <w:bottom w:w="70" w:type="dxa"/>
              <w:right w:w="85" w:type="dxa"/>
            </w:tcMar>
          </w:tcPr>
          <w:p>
            <w:pPr>
              <w:spacing w:after="30" w:before="0"/>
              <w:jc w:val="left"/>
            </w:pPr>
            <w:r>
              <w:rPr>
                <w:rFonts w:ascii="Arial" w:hAnsi="Arial"/>
                <w:sz w:val="16"/>
              </w:rPr>
              <w:t xml:space="preserve">Production network operators</w:t>
            </w:r>
          </w:p>
        </w:tc>
      </w:tr>
      <w:tr>
        <w:trPr>
          <w:cantSplit/>
        </w:trPr>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gcp-landingzone-builders@example.com</w:t>
            </w:r>
          </w:p>
        </w:tc>
        <w:tc>
          <w:tcPr>
            <w:vAlign w:val="center"/>
            <w:tcMar>
              <w:top w:w="70" w:type="dxa"/>
              <w:left w:w="85" w:type="dxa"/>
              <w:bottom w:w="70" w:type="dxa"/>
              <w:right w:w="85" w:type="dxa"/>
            </w:tcMar>
          </w:tcPr>
          <w:p>
            <w:pPr>
              <w:spacing w:after="30" w:before="0"/>
              <w:jc w:val="left"/>
            </w:pPr>
            <w:r>
              <w:rPr>
                <w:rFonts w:ascii="Arial" w:hAnsi="Arial"/>
                <w:sz w:val="16"/>
              </w:rPr>
              <w:t xml:space="preserve">Landing-zone CI/CD approvers and operators</w:t>
            </w:r>
          </w:p>
        </w:tc>
      </w:tr>
      <w:tr>
        <w:trPr>
          <w:cantSplit/>
        </w:trPr>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gcp-data-customer-engineers@example.com</w:t>
            </w:r>
          </w:p>
        </w:tc>
        <w:tc>
          <w:tcPr>
            <w:vAlign w:val="center"/>
            <w:tcMar>
              <w:top w:w="70" w:type="dxa"/>
              <w:left w:w="85" w:type="dxa"/>
              <w:bottom w:w="70" w:type="dxa"/>
              <w:right w:w="85" w:type="dxa"/>
            </w:tcMar>
          </w:tcPr>
          <w:p>
            <w:pPr>
              <w:spacing w:after="30" w:before="0"/>
              <w:jc w:val="left"/>
            </w:pPr>
            <w:r>
              <w:rPr>
                <w:rFonts w:ascii="Arial" w:hAnsi="Arial"/>
                <w:sz w:val="16"/>
              </w:rPr>
              <w:t xml:space="preserve">Customer-domain engineering team</w:t>
            </w:r>
          </w:p>
        </w:tc>
      </w:tr>
      <w:tr>
        <w:trPr>
          <w:cantSplit/>
        </w:trPr>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gcp-breakglass-org@example.com</w:t>
            </w:r>
          </w:p>
        </w:tc>
        <w:tc>
          <w:tcPr>
            <w:vAlign w:val="center"/>
            <w:tcMar>
              <w:top w:w="70" w:type="dxa"/>
              <w:left w:w="85" w:type="dxa"/>
              <w:bottom w:w="70" w:type="dxa"/>
              <w:right w:w="85" w:type="dxa"/>
            </w:tcMar>
          </w:tcPr>
          <w:p>
            <w:pPr>
              <w:spacing w:after="30" w:before="0"/>
              <w:jc w:val="left"/>
            </w:pPr>
            <w:r>
              <w:rPr>
                <w:rFonts w:ascii="Arial" w:hAnsi="Arial"/>
                <w:sz w:val="16"/>
              </w:rPr>
              <w:t xml:space="preserve">Emergency organization administrators</w:t>
            </w:r>
          </w:p>
        </w:tc>
      </w:tr>
      <w:tr>
        <w:trPr>
          <w:cantSplit/>
        </w:trPr>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gcp-auditors-readonly@example.com</w:t>
            </w:r>
          </w:p>
        </w:tc>
        <w:tc>
          <w:tcPr>
            <w:vAlign w:val="center"/>
            <w:tcMar>
              <w:top w:w="70" w:type="dxa"/>
              <w:left w:w="85" w:type="dxa"/>
              <w:bottom w:w="70" w:type="dxa"/>
              <w:right w:w="85" w:type="dxa"/>
            </w:tcMar>
          </w:tcPr>
          <w:p>
            <w:pPr>
              <w:spacing w:after="30" w:before="0"/>
              <w:jc w:val="left"/>
            </w:pPr>
            <w:r>
              <w:rPr>
                <w:rFonts w:ascii="Arial" w:hAnsi="Arial"/>
                <w:sz w:val="16"/>
              </w:rPr>
              <w:t xml:space="preserve">Enterprise audit and assurance</w:t>
            </w:r>
          </w:p>
        </w:tc>
      </w:tr>
    </w:tbl>
    <w:p>
      <w:pPr>
        <w:pStyle w:val="BodyText"/>
      </w:pPr>
      <w:r>
        <w:t xml:space="preserve">Each privileged group has an owner, deputy, membership criteria, review frequency, maximum membership expectations and emergency removal procedure.</w:t>
      </w:r>
    </w:p>
    <w:bookmarkEnd w:id="110"/>
    <w:bookmarkEnd w:id="111"/>
    <w:bookmarkStart w:id="113" w:name="iam-roles"/>
    <w:p>
      <w:pPr>
        <w:pStyle w:val="Heading2"/>
        <w:keepNext/>
        <w:pageBreakBefore w:val="0"/>
      </w:pPr>
      <w:r>
        <w:t xml:space="preserve">5.6 IAM roles</w:t>
      </w:r>
    </w:p>
    <w:p>
      <w:pPr>
        <w:pStyle w:val="FirstParagraph"/>
      </w:pPr>
      <w:r>
        <w:t xml:space="preserve">Predefined roles are preferred when they align with duties. Custom roles are created only to remove material excess privilege or to define stable enterprise job functions. Basic roles such as Owner and Editor are prohibited for routine access.</w:t>
      </w:r>
    </w:p>
    <w:bookmarkStart w:id="112" w:name="role-design-rules"/>
    <w:p>
      <w:pPr>
        <w:pStyle w:val="Heading3"/>
        <w:keepNext/>
        <w:pageBreakBefore w:val="0"/>
      </w:pPr>
      <w:r>
        <w:t xml:space="preserve">Role-design rules</w:t>
      </w:r>
    </w:p>
    <w:p>
      <w:pPr>
        <w:pStyle w:val="Compact"/>
        <w:numPr>
          <w:ilvl w:val="0"/>
          <w:numId w:val="1021"/>
        </w:numPr>
      </w:pPr>
      <w:r>
        <w:t xml:space="preserve">Separate policy administration, resource creation, workload operation and security review.</w:t>
      </w:r>
    </w:p>
    <w:p>
      <w:pPr>
        <w:pStyle w:val="Compact"/>
        <w:numPr>
          <w:ilvl w:val="0"/>
          <w:numId w:val="1021"/>
        </w:numPr>
      </w:pPr>
      <w:r>
        <w:t xml:space="preserve">Grant at folder level only when the role is legitimately common to every child project.</w:t>
      </w:r>
    </w:p>
    <w:p>
      <w:pPr>
        <w:pStyle w:val="Compact"/>
        <w:numPr>
          <w:ilvl w:val="0"/>
          <w:numId w:val="1021"/>
        </w:numPr>
      </w:pPr>
      <w:r>
        <w:t xml:space="preserve">Prefer resource-level or project-level grants for workload teams.</w:t>
      </w:r>
    </w:p>
    <w:p>
      <w:pPr>
        <w:pStyle w:val="Compact"/>
        <w:numPr>
          <w:ilvl w:val="0"/>
          <w:numId w:val="1021"/>
        </w:numPr>
      </w:pPr>
      <w:r>
        <w:t xml:space="preserve">Use conditions for time, resource name or approved context when practical.</w:t>
      </w:r>
    </w:p>
    <w:p>
      <w:pPr>
        <w:pStyle w:val="Compact"/>
        <w:numPr>
          <w:ilvl w:val="0"/>
          <w:numId w:val="1021"/>
        </w:numPr>
      </w:pPr>
      <w:r>
        <w:t xml:space="preserve">Test custom-role permissions through automated integration tests.</w:t>
      </w:r>
    </w:p>
    <w:p>
      <w:pPr>
        <w:pStyle w:val="Compact"/>
        <w:numPr>
          <w:ilvl w:val="0"/>
          <w:numId w:val="1021"/>
        </w:numPr>
      </w:pPr>
      <w:r>
        <w:t xml:space="preserve">Review deprecated and newly added permissions before role updates.</w:t>
      </w:r>
    </w:p>
    <w:p>
      <w:pPr>
        <w:pStyle w:val="Compact"/>
        <w:numPr>
          <w:ilvl w:val="0"/>
          <w:numId w:val="1021"/>
        </w:numPr>
      </w:pPr>
      <w:r>
        <w:t xml:space="preserve">Maintain role definitions as code.</w:t>
      </w:r>
    </w:p>
    <w:bookmarkEnd w:id="112"/>
    <w:bookmarkEnd w:id="113"/>
    <w:bookmarkStart w:id="114" w:name="service-accounts"/>
    <w:p>
      <w:pPr>
        <w:pStyle w:val="Heading2"/>
        <w:keepNext/>
        <w:pageBreakBefore w:val="0"/>
      </w:pPr>
      <w:r>
        <w:t xml:space="preserve">5.7 Service accounts</w:t>
      </w:r>
    </w:p>
    <w:p>
      <w:pPr>
        <w:pStyle w:val="FirstParagraph"/>
      </w:pPr>
      <w:r>
        <w:t xml:space="preserve">Every service account has a single workload purpose, named owner, project, environment and lifecycle. Shared or human-used service accounts are not permitted.</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Control</w:t>
            </w:r>
          </w:p>
        </w:tc>
        <w:tc>
          <w:tcPr>
            <w:vAlign w:val="center"/>
            <w:tcMar>
              <w:top w:w="70" w:type="dxa"/>
              <w:left w:w="85" w:type="dxa"/>
              <w:bottom w:w="70" w:type="dxa"/>
              <w:right w:w="85" w:type="dxa"/>
            </w:tcMar>
          </w:tcPr>
          <w:p>
            <w:pPr>
              <w:spacing w:after="30" w:before="0"/>
              <w:jc w:val="left"/>
            </w:pPr>
            <w:r>
              <w:rPr>
                <w:rFonts w:ascii="Arial" w:hAnsi="Arial"/>
                <w:b/>
                <w:sz w:val="16"/>
              </w:rPr>
              <w:t xml:space="preserve">Requirement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Creation</w:t>
            </w:r>
          </w:p>
        </w:tc>
        <w:tc>
          <w:tcPr>
            <w:vAlign w:val="center"/>
            <w:tcMar>
              <w:top w:w="70" w:type="dxa"/>
              <w:left w:w="85" w:type="dxa"/>
              <w:bottom w:w="70" w:type="dxa"/>
              <w:right w:w="85" w:type="dxa"/>
            </w:tcMar>
          </w:tcPr>
          <w:p>
            <w:pPr>
              <w:spacing w:after="30" w:before="0"/>
              <w:jc w:val="left"/>
            </w:pPr>
            <w:r>
              <w:rPr>
                <w:rFonts w:ascii="Arial" w:hAnsi="Arial"/>
                <w:sz w:val="16"/>
              </w:rPr>
              <w:t xml:space="preserve">Through approved Terraform modules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Naming</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sa-&lt;workload&gt;-&lt;function&gt;-&lt;env&gt;</w:t>
            </w:r>
            <w:r>
              <w:rPr>
                <w:rFonts w:ascii="Arial" w:hAnsi="Arial"/>
                <w:sz w:val="16"/>
              </w:rPr>
              <w:t xml:space="preserve"> </w:t>
            </w:r>
            <w:r>
              <w:rPr>
                <w:rFonts w:ascii="Arial" w:hAnsi="Arial"/>
                <w:sz w:val="16"/>
              </w:rPr>
              <w:t xml:space="preserve">within service constraints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Authentication</w:t>
            </w:r>
          </w:p>
        </w:tc>
        <w:tc>
          <w:tcPr>
            <w:vAlign w:val="center"/>
            <w:tcMar>
              <w:top w:w="70" w:type="dxa"/>
              <w:left w:w="85" w:type="dxa"/>
              <w:bottom w:w="70" w:type="dxa"/>
              <w:right w:w="85" w:type="dxa"/>
            </w:tcMar>
          </w:tcPr>
          <w:p>
            <w:pPr>
              <w:spacing w:after="30" w:before="0"/>
              <w:jc w:val="left"/>
            </w:pPr>
            <w:r>
              <w:rPr>
                <w:rFonts w:ascii="Arial" w:hAnsi="Arial"/>
                <w:sz w:val="16"/>
              </w:rPr>
              <w:t xml:space="preserve">Attached identity or federation; no downloaded keys by default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Impersonation</w:t>
            </w:r>
          </w:p>
        </w:tc>
        <w:tc>
          <w:tcPr>
            <w:vAlign w:val="center"/>
            <w:tcMar>
              <w:top w:w="70" w:type="dxa"/>
              <w:left w:w="85" w:type="dxa"/>
              <w:bottom w:w="70" w:type="dxa"/>
              <w:right w:w="85" w:type="dxa"/>
            </w:tcMar>
          </w:tcPr>
          <w:p>
            <w:pPr>
              <w:spacing w:after="30" w:before="0"/>
              <w:jc w:val="left"/>
            </w:pPr>
            <w:r>
              <w:rPr>
                <w:rFonts w:ascii="Arial" w:hAnsi="Arial"/>
                <w:sz w:val="16"/>
              </w:rPr>
              <w:t xml:space="preserve">Granted to named CI/CD or operator groups only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Permissions</w:t>
            </w:r>
          </w:p>
        </w:tc>
        <w:tc>
          <w:tcPr>
            <w:vAlign w:val="center"/>
            <w:tcMar>
              <w:top w:w="70" w:type="dxa"/>
              <w:left w:w="85" w:type="dxa"/>
              <w:bottom w:w="70" w:type="dxa"/>
              <w:right w:w="85" w:type="dxa"/>
            </w:tcMar>
          </w:tcPr>
          <w:p>
            <w:pPr>
              <w:spacing w:after="30" w:before="0"/>
              <w:jc w:val="left"/>
            </w:pPr>
            <w:r>
              <w:rPr>
                <w:rFonts w:ascii="Arial" w:hAnsi="Arial"/>
                <w:sz w:val="16"/>
              </w:rPr>
              <w:t xml:space="preserve">Minimum required roles at minimum scope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Monitoring</w:t>
            </w:r>
          </w:p>
        </w:tc>
        <w:tc>
          <w:tcPr>
            <w:vAlign w:val="center"/>
            <w:tcMar>
              <w:top w:w="70" w:type="dxa"/>
              <w:left w:w="85" w:type="dxa"/>
              <w:bottom w:w="70" w:type="dxa"/>
              <w:right w:w="85" w:type="dxa"/>
            </w:tcMar>
          </w:tcPr>
          <w:p>
            <w:pPr>
              <w:spacing w:after="30" w:before="0"/>
              <w:jc w:val="left"/>
            </w:pPr>
            <w:r>
              <w:rPr>
                <w:rFonts w:ascii="Arial" w:hAnsi="Arial"/>
                <w:sz w:val="16"/>
              </w:rPr>
              <w:t xml:space="preserve">Authentication, impersonation and API activity logged</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Review</w:t>
            </w:r>
          </w:p>
        </w:tc>
        <w:tc>
          <w:tcPr>
            <w:vAlign w:val="center"/>
            <w:tcMar>
              <w:top w:w="70" w:type="dxa"/>
              <w:left w:w="85" w:type="dxa"/>
              <w:bottom w:w="70" w:type="dxa"/>
              <w:right w:w="85" w:type="dxa"/>
            </w:tcMar>
          </w:tcPr>
          <w:p>
            <w:pPr>
              <w:spacing w:after="30" w:before="0"/>
              <w:jc w:val="left"/>
            </w:pPr>
            <w:r>
              <w:rPr>
                <w:rFonts w:ascii="Arial" w:hAnsi="Arial"/>
                <w:sz w:val="16"/>
              </w:rPr>
              <w:t xml:space="preserve">Quarterly for privileged identities; semiannual otherwise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Retirement</w:t>
            </w:r>
          </w:p>
        </w:tc>
        <w:tc>
          <w:tcPr>
            <w:vAlign w:val="center"/>
            <w:tcMar>
              <w:top w:w="70" w:type="dxa"/>
              <w:left w:w="85" w:type="dxa"/>
              <w:bottom w:w="70" w:type="dxa"/>
              <w:right w:w="85" w:type="dxa"/>
            </w:tcMar>
          </w:tcPr>
          <w:p>
            <w:pPr>
              <w:spacing w:after="30" w:before="0"/>
              <w:jc w:val="left"/>
            </w:pPr>
            <w:r>
              <w:rPr>
                <w:rFonts w:ascii="Arial" w:hAnsi="Arial"/>
                <w:sz w:val="16"/>
              </w:rPr>
              <w:t xml:space="preserve">Disabled, observed, then deleted after dependency validation</w:t>
            </w:r>
          </w:p>
        </w:tc>
      </w:tr>
    </w:tbl>
    <w:p>
      <w:pPr>
        <w:pStyle w:val="BodyText"/>
      </w:pPr>
      <w:r>
        <w:t xml:space="preserve">Service agents created by Google Cloud services are handled separately from customer-managed service accounts and receive only documented required permissions.</w:t>
      </w:r>
    </w:p>
    <w:bookmarkEnd w:id="114"/>
    <w:bookmarkStart w:id="116" w:name="privileged-access-manager"/>
    <w:p>
      <w:pPr>
        <w:pStyle w:val="Heading2"/>
        <w:keepNext/>
        <w:pageBreakBefore w:val="0"/>
      </w:pPr>
      <w:r>
        <w:t xml:space="preserve">5.8 Privileged Access Manager</w:t>
      </w:r>
    </w:p>
    <w:p>
      <w:pPr>
        <w:pStyle w:val="FirstParagraph"/>
      </w:pPr>
      <w:r>
        <w:t xml:space="preserve">Privileged Access Manager provides time-bound, approval-based elevation for eligible human administrators. Entitlements define who can request which roles, at what scope, for how long and with which approvers.</w:t>
      </w:r>
    </w:p>
    <w:bookmarkStart w:id="115" w:name="standard-workflow"/>
    <w:p>
      <w:pPr>
        <w:pStyle w:val="Heading3"/>
        <w:keepNext/>
        <w:pageBreakBefore w:val="0"/>
      </w:pPr>
      <w:r>
        <w:t xml:space="preserve">Standard workflow</w:t>
      </w:r>
    </w:p>
    <w:p>
      <w:pPr>
        <w:pStyle w:val="Compact"/>
        <w:numPr>
          <w:ilvl w:val="0"/>
          <w:numId w:val="1022"/>
        </w:numPr>
      </w:pPr>
      <w:r>
        <w:t xml:space="preserve">Operator authenticates with strong MFA.</w:t>
      </w:r>
    </w:p>
    <w:p>
      <w:pPr>
        <w:pStyle w:val="Compact"/>
        <w:numPr>
          <w:ilvl w:val="0"/>
          <w:numId w:val="1022"/>
        </w:numPr>
      </w:pPr>
      <w:r>
        <w:t xml:space="preserve">Operator requests a defined entitlement and states business justification.</w:t>
      </w:r>
    </w:p>
    <w:p>
      <w:pPr>
        <w:pStyle w:val="Compact"/>
        <w:numPr>
          <w:ilvl w:val="0"/>
          <w:numId w:val="1022"/>
        </w:numPr>
      </w:pPr>
      <w:r>
        <w:t xml:space="preserve">Required approvers review the request.</w:t>
      </w:r>
    </w:p>
    <w:p>
      <w:pPr>
        <w:pStyle w:val="Compact"/>
        <w:numPr>
          <w:ilvl w:val="0"/>
          <w:numId w:val="1022"/>
        </w:numPr>
      </w:pPr>
      <w:r>
        <w:t xml:space="preserve">The platform grants temporary access for the approved duration.</w:t>
      </w:r>
    </w:p>
    <w:p>
      <w:pPr>
        <w:pStyle w:val="Compact"/>
        <w:numPr>
          <w:ilvl w:val="0"/>
          <w:numId w:val="1022"/>
        </w:numPr>
      </w:pPr>
      <w:r>
        <w:t xml:space="preserve">Activity is logged and correlated with the request.</w:t>
      </w:r>
    </w:p>
    <w:p>
      <w:pPr>
        <w:pStyle w:val="Compact"/>
        <w:numPr>
          <w:ilvl w:val="0"/>
          <w:numId w:val="1022"/>
        </w:numPr>
      </w:pPr>
      <w:r>
        <w:t xml:space="preserve">Access expires automatically.</w:t>
      </w:r>
    </w:p>
    <w:p>
      <w:pPr>
        <w:pStyle w:val="Compact"/>
        <w:numPr>
          <w:ilvl w:val="0"/>
          <w:numId w:val="1022"/>
        </w:numPr>
      </w:pPr>
      <w:r>
        <w:t xml:space="preserve">High-risk use receives post-access review.</w:t>
      </w:r>
    </w:p>
    <w:p>
      <w:pPr>
        <w:pStyle w:val="FirstParagraph"/>
      </w:pPr>
      <w:r>
        <w:t xml:space="preserve">Permanent organization-level administrative grants are reduced to the smallest emergency and platform-governance population.</w:t>
      </w:r>
    </w:p>
    <w:bookmarkEnd w:id="115"/>
    <w:bookmarkEnd w:id="116"/>
    <w:bookmarkStart w:id="118" w:name="break-glass-access"/>
    <w:p>
      <w:pPr>
        <w:pStyle w:val="Heading2"/>
        <w:keepNext/>
        <w:pageBreakBefore w:val="0"/>
      </w:pPr>
      <w:r>
        <w:t xml:space="preserve">5.9 Break-glass access</w:t>
      </w:r>
    </w:p>
    <w:p>
      <w:pPr>
        <w:pStyle w:val="FirstParagraph"/>
      </w:pPr>
      <w:r>
        <w:t xml:space="preserve">Break-glass access supports loss of federation, widespread policy failure or critical security response. It is not a convenient substitute for normal privileged access.</w:t>
      </w:r>
    </w:p>
    <w:bookmarkStart w:id="117" w:name="break-glass-controls"/>
    <w:p>
      <w:pPr>
        <w:pStyle w:val="Heading3"/>
        <w:keepNext/>
        <w:pageBreakBefore w:val="0"/>
      </w:pPr>
      <w:r>
        <w:t xml:space="preserve">Break-glass controls</w:t>
      </w:r>
    </w:p>
    <w:p>
      <w:pPr>
        <w:pStyle w:val="Compact"/>
        <w:numPr>
          <w:ilvl w:val="0"/>
          <w:numId w:val="1023"/>
        </w:numPr>
      </w:pPr>
      <w:r>
        <w:t xml:space="preserve">At least two dedicated emergency identities, stored and managed independently.</w:t>
      </w:r>
    </w:p>
    <w:p>
      <w:pPr>
        <w:pStyle w:val="Compact"/>
        <w:numPr>
          <w:ilvl w:val="0"/>
          <w:numId w:val="1023"/>
        </w:numPr>
      </w:pPr>
      <w:r>
        <w:t xml:space="preserve">Phishing-resistant MFA and offline recovery procedures.</w:t>
      </w:r>
    </w:p>
    <w:p>
      <w:pPr>
        <w:pStyle w:val="Compact"/>
        <w:numPr>
          <w:ilvl w:val="0"/>
          <w:numId w:val="1023"/>
        </w:numPr>
      </w:pPr>
      <w:r>
        <w:t xml:space="preserve">Minimal roles required to restore identity, policy and logging control.</w:t>
      </w:r>
    </w:p>
    <w:p>
      <w:pPr>
        <w:pStyle w:val="Compact"/>
        <w:numPr>
          <w:ilvl w:val="0"/>
          <w:numId w:val="1023"/>
        </w:numPr>
      </w:pPr>
      <w:r>
        <w:t xml:space="preserve">Credentials protected in an enterprise privileged-access vault.</w:t>
      </w:r>
    </w:p>
    <w:p>
      <w:pPr>
        <w:pStyle w:val="Compact"/>
        <w:numPr>
          <w:ilvl w:val="0"/>
          <w:numId w:val="1023"/>
        </w:numPr>
      </w:pPr>
      <w:r>
        <w:t xml:space="preserve">Immediate security notification on authentication or use.</w:t>
      </w:r>
    </w:p>
    <w:p>
      <w:pPr>
        <w:pStyle w:val="Compact"/>
        <w:numPr>
          <w:ilvl w:val="0"/>
          <w:numId w:val="1023"/>
        </w:numPr>
      </w:pPr>
      <w:r>
        <w:t xml:space="preserve">Mandatory incident record and post-use review.</w:t>
      </w:r>
    </w:p>
    <w:p>
      <w:pPr>
        <w:pStyle w:val="Compact"/>
        <w:numPr>
          <w:ilvl w:val="0"/>
          <w:numId w:val="1023"/>
        </w:numPr>
      </w:pPr>
      <w:r>
        <w:t xml:space="preserve">Quarterly credential validation without unnecessary privilege exercise.</w:t>
      </w:r>
    </w:p>
    <w:p>
      <w:pPr>
        <w:pStyle w:val="Compact"/>
        <w:numPr>
          <w:ilvl w:val="0"/>
          <w:numId w:val="1023"/>
        </w:numPr>
      </w:pPr>
      <w:r>
        <w:t xml:space="preserve">Semiannual end-to-end tabletop and annual controlled technical test.</w:t>
      </w:r>
    </w:p>
    <w:bookmarkEnd w:id="117"/>
    <w:bookmarkEnd w:id="118"/>
    <w:bookmarkEnd w:id="119"/>
    <w:bookmarkStart w:id="140" w:name="security-foundation"/>
    <w:p>
      <w:pPr>
        <w:pStyle w:val="Heading1"/>
        <w:keepNext/>
        <w:pageBreakBefore w:val="0"/>
      </w:pPr>
      <w:r>
        <w:t xml:space="preserve">6. Security Foundation</w:t>
      </w:r>
    </w:p>
    <w:p>
      <w:pPr>
        <w:pStyle w:val="CaptionedFigure"/>
      </w:pPr>
      <w:r>
        <w:drawing>
          <wp:inline>
            <wp:extent cx="6217920" cy="2059296"/>
            <wp:effectExtent b="0" l="0" r="0" t="0"/>
            <wp:docPr descr="Security Foundation" title="" id="120" name="Picture"/>
            <a:graphic>
              <a:graphicData uri="http://schemas.openxmlformats.org/drawingml/2006/picture">
                <pic:pic>
                  <pic:nvPicPr>
                    <pic:cNvPr descr="/mnt/data/Volume_02_Google_Cloud_Landing_Zone_Package/diagrams/07_security_foundation.png" id="121" name="Picture"/>
                    <pic:cNvPicPr>
                      <a:picLocks noChangeArrowheads="1" noChangeAspect="1"/>
                    </pic:cNvPicPr>
                  </pic:nvPicPr>
                  <pic:blipFill>
                    <a:blip r:embed="rId20"/>
                    <a:stretch>
                      <a:fillRect/>
                    </a:stretch>
                  </pic:blipFill>
                  <pic:spPr bwMode="auto">
                    <a:xfrm>
                      <a:off x="0" y="0"/>
                      <a:ext cx="6217920" cy="2059296"/>
                    </a:xfrm>
                    <a:prstGeom prst="rect">
                      <a:avLst/>
                    </a:prstGeom>
                    <a:noFill/>
                    <a:ln w="9525">
                      <a:noFill/>
                      <a:headEnd/>
                      <a:tailEnd/>
                    </a:ln>
                  </pic:spPr>
                </pic:pic>
              </a:graphicData>
            </a:graphic>
          </wp:inline>
        </w:drawing>
      </w:r>
    </w:p>
    <w:p>
      <w:pPr>
        <w:pStyle w:val="ImageCaption"/>
      </w:pPr>
      <w:r>
        <w:t xml:space="preserve">Security Foundation</w:t>
      </w:r>
    </w:p>
    <w:bookmarkStart w:id="122" w:name="security-control-model"/>
    <w:p>
      <w:pPr>
        <w:pStyle w:val="Heading2"/>
        <w:keepNext/>
        <w:pageBreakBefore w:val="0"/>
      </w:pPr>
      <w:r>
        <w:t xml:space="preserve">6.1 Security control model</w:t>
      </w:r>
    </w:p>
    <w:p>
      <w:pPr>
        <w:pStyle w:val="FirstParagraph"/>
      </w:pPr>
      <w:r>
        <w:t xml:space="preserve">The landing zone establishes preventive, detective and corrective controls at organization, folder, project, network, service and data layers.</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Control class</w:t>
            </w:r>
          </w:p>
        </w:tc>
        <w:tc>
          <w:tcPr>
            <w:vAlign w:val="center"/>
            <w:tcMar>
              <w:top w:w="70" w:type="dxa"/>
              <w:left w:w="85" w:type="dxa"/>
              <w:bottom w:w="70" w:type="dxa"/>
              <w:right w:w="85" w:type="dxa"/>
            </w:tcMar>
          </w:tcPr>
          <w:p>
            <w:pPr>
              <w:spacing w:after="30" w:before="0"/>
              <w:jc w:val="left"/>
            </w:pPr>
            <w:r>
              <w:rPr>
                <w:rFonts w:ascii="Arial" w:hAnsi="Arial"/>
                <w:b/>
                <w:sz w:val="16"/>
              </w:rPr>
              <w:t xml:space="preserve">Examples</w:t>
            </w:r>
          </w:p>
        </w:tc>
        <w:tc>
          <w:tcPr>
            <w:vAlign w:val="center"/>
            <w:tcMar>
              <w:top w:w="70" w:type="dxa"/>
              <w:left w:w="85" w:type="dxa"/>
              <w:bottom w:w="70" w:type="dxa"/>
              <w:right w:w="85" w:type="dxa"/>
            </w:tcMar>
          </w:tcPr>
          <w:p>
            <w:pPr>
              <w:spacing w:after="30" w:before="0"/>
              <w:jc w:val="left"/>
            </w:pPr>
            <w:r>
              <w:rPr>
                <w:rFonts w:ascii="Arial" w:hAnsi="Arial"/>
                <w:b/>
                <w:sz w:val="16"/>
              </w:rPr>
              <w:t xml:space="preserve">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Preventive</w:t>
            </w:r>
          </w:p>
        </w:tc>
        <w:tc>
          <w:tcPr>
            <w:vAlign w:val="center"/>
            <w:tcMar>
              <w:top w:w="70" w:type="dxa"/>
              <w:left w:w="85" w:type="dxa"/>
              <w:bottom w:w="70" w:type="dxa"/>
              <w:right w:w="85" w:type="dxa"/>
            </w:tcMar>
          </w:tcPr>
          <w:p>
            <w:pPr>
              <w:spacing w:after="30" w:before="0"/>
              <w:jc w:val="left"/>
            </w:pPr>
            <w:r>
              <w:rPr>
                <w:rFonts w:ascii="Arial" w:hAnsi="Arial"/>
                <w:sz w:val="16"/>
              </w:rPr>
              <w:t xml:space="preserve">Organization policy, IAM constraints, VPC SC, firewall deny</w:t>
            </w:r>
          </w:p>
        </w:tc>
        <w:tc>
          <w:tcPr>
            <w:vAlign w:val="center"/>
            <w:tcMar>
              <w:top w:w="70" w:type="dxa"/>
              <w:left w:w="85" w:type="dxa"/>
              <w:bottom w:w="70" w:type="dxa"/>
              <w:right w:w="85" w:type="dxa"/>
            </w:tcMar>
          </w:tcPr>
          <w:p>
            <w:pPr>
              <w:spacing w:after="30" w:before="0"/>
              <w:jc w:val="left"/>
            </w:pPr>
            <w:r>
              <w:rPr>
                <w:rFonts w:ascii="Arial" w:hAnsi="Arial"/>
                <w:sz w:val="16"/>
              </w:rPr>
              <w:t xml:space="preserve">Policy state and denied test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Detective</w:t>
            </w:r>
          </w:p>
        </w:tc>
        <w:tc>
          <w:tcPr>
            <w:vAlign w:val="center"/>
            <w:tcMar>
              <w:top w:w="70" w:type="dxa"/>
              <w:left w:w="85" w:type="dxa"/>
              <w:bottom w:w="70" w:type="dxa"/>
              <w:right w:w="85" w:type="dxa"/>
            </w:tcMar>
          </w:tcPr>
          <w:p>
            <w:pPr>
              <w:spacing w:after="30" w:before="0"/>
              <w:jc w:val="left"/>
            </w:pPr>
            <w:r>
              <w:rPr>
                <w:rFonts w:ascii="Arial" w:hAnsi="Arial"/>
                <w:sz w:val="16"/>
              </w:rPr>
              <w:t xml:space="preserve">Security Command Center, audit logs, flow logs, DNS logs</w:t>
            </w:r>
          </w:p>
        </w:tc>
        <w:tc>
          <w:tcPr>
            <w:vAlign w:val="center"/>
            <w:tcMar>
              <w:top w:w="70" w:type="dxa"/>
              <w:left w:w="85" w:type="dxa"/>
              <w:bottom w:w="70" w:type="dxa"/>
              <w:right w:w="85" w:type="dxa"/>
            </w:tcMar>
          </w:tcPr>
          <w:p>
            <w:pPr>
              <w:spacing w:after="30" w:before="0"/>
              <w:jc w:val="left"/>
            </w:pPr>
            <w:r>
              <w:rPr>
                <w:rFonts w:ascii="Arial" w:hAnsi="Arial"/>
                <w:sz w:val="16"/>
              </w:rPr>
              <w:t xml:space="preserve">Findings, alerts and query 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Corrective</w:t>
            </w:r>
          </w:p>
        </w:tc>
        <w:tc>
          <w:tcPr>
            <w:vAlign w:val="center"/>
            <w:tcMar>
              <w:top w:w="70" w:type="dxa"/>
              <w:left w:w="85" w:type="dxa"/>
              <w:bottom w:w="70" w:type="dxa"/>
              <w:right w:w="85" w:type="dxa"/>
            </w:tcMar>
          </w:tcPr>
          <w:p>
            <w:pPr>
              <w:spacing w:after="30" w:before="0"/>
              <w:jc w:val="left"/>
            </w:pPr>
            <w:r>
              <w:rPr>
                <w:rFonts w:ascii="Arial" w:hAnsi="Arial"/>
                <w:sz w:val="16"/>
              </w:rPr>
              <w:t xml:space="preserve">Automated quarantine, rollback, access removal</w:t>
            </w:r>
          </w:p>
        </w:tc>
        <w:tc>
          <w:tcPr>
            <w:vAlign w:val="center"/>
            <w:tcMar>
              <w:top w:w="70" w:type="dxa"/>
              <w:left w:w="85" w:type="dxa"/>
              <w:bottom w:w="70" w:type="dxa"/>
              <w:right w:w="85" w:type="dxa"/>
            </w:tcMar>
          </w:tcPr>
          <w:p>
            <w:pPr>
              <w:spacing w:after="30" w:before="0"/>
              <w:jc w:val="left"/>
            </w:pPr>
            <w:r>
              <w:rPr>
                <w:rFonts w:ascii="Arial" w:hAnsi="Arial"/>
                <w:sz w:val="16"/>
              </w:rPr>
              <w:t xml:space="preserve">Incident and automation records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Recovery</w:t>
            </w:r>
          </w:p>
        </w:tc>
        <w:tc>
          <w:tcPr>
            <w:vAlign w:val="center"/>
            <w:tcMar>
              <w:top w:w="70" w:type="dxa"/>
              <w:left w:w="85" w:type="dxa"/>
              <w:bottom w:w="70" w:type="dxa"/>
              <w:right w:w="85" w:type="dxa"/>
            </w:tcMar>
          </w:tcPr>
          <w:p>
            <w:pPr>
              <w:spacing w:after="30" w:before="0"/>
              <w:jc w:val="left"/>
            </w:pPr>
            <w:r>
              <w:rPr>
                <w:rFonts w:ascii="Arial" w:hAnsi="Arial"/>
                <w:sz w:val="16"/>
              </w:rPr>
              <w:t xml:space="preserve">Terraform rebuild, key recovery, log archive</w:t>
            </w:r>
          </w:p>
        </w:tc>
        <w:tc>
          <w:tcPr>
            <w:vAlign w:val="center"/>
            <w:tcMar>
              <w:top w:w="70" w:type="dxa"/>
              <w:left w:w="85" w:type="dxa"/>
              <w:bottom w:w="70" w:type="dxa"/>
              <w:right w:w="85" w:type="dxa"/>
            </w:tcMar>
          </w:tcPr>
          <w:p>
            <w:pPr>
              <w:spacing w:after="30" w:before="0"/>
              <w:jc w:val="left"/>
            </w:pPr>
            <w:r>
              <w:rPr>
                <w:rFonts w:ascii="Arial" w:hAnsi="Arial"/>
                <w:sz w:val="16"/>
              </w:rPr>
              <w:t xml:space="preserve">Recovery test 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Governance</w:t>
            </w:r>
          </w:p>
        </w:tc>
        <w:tc>
          <w:tcPr>
            <w:vAlign w:val="center"/>
            <w:tcMar>
              <w:top w:w="70" w:type="dxa"/>
              <w:left w:w="85" w:type="dxa"/>
              <w:bottom w:w="70" w:type="dxa"/>
              <w:right w:w="85" w:type="dxa"/>
            </w:tcMar>
          </w:tcPr>
          <w:p>
            <w:pPr>
              <w:spacing w:after="30" w:before="0"/>
              <w:jc w:val="left"/>
            </w:pPr>
            <w:r>
              <w:rPr>
                <w:rFonts w:ascii="Arial" w:hAnsi="Arial"/>
                <w:sz w:val="16"/>
              </w:rPr>
              <w:t xml:space="preserve">Exceptions, ownership, reviews and control mapping</w:t>
            </w:r>
          </w:p>
        </w:tc>
        <w:tc>
          <w:tcPr>
            <w:vAlign w:val="center"/>
            <w:tcMar>
              <w:top w:w="70" w:type="dxa"/>
              <w:left w:w="85" w:type="dxa"/>
              <w:bottom w:w="70" w:type="dxa"/>
              <w:right w:w="85" w:type="dxa"/>
            </w:tcMar>
          </w:tcPr>
          <w:p>
            <w:pPr>
              <w:spacing w:after="30" w:before="0"/>
              <w:jc w:val="left"/>
            </w:pPr>
            <w:r>
              <w:rPr>
                <w:rFonts w:ascii="Arial" w:hAnsi="Arial"/>
                <w:sz w:val="16"/>
              </w:rPr>
              <w:t xml:space="preserve">Approval and attestation records</w:t>
            </w:r>
          </w:p>
        </w:tc>
      </w:tr>
    </w:tbl>
    <w:bookmarkEnd w:id="122"/>
    <w:bookmarkStart w:id="124" w:name="organization-policies"/>
    <w:p>
      <w:pPr>
        <w:pStyle w:val="Heading2"/>
        <w:keepNext/>
        <w:pageBreakBefore w:val="0"/>
      </w:pPr>
      <w:r>
        <w:t xml:space="preserve">6.2 Organization policies</w:t>
      </w:r>
    </w:p>
    <w:p>
      <w:pPr>
        <w:pStyle w:val="FirstParagraph"/>
      </w:pPr>
      <w:r>
        <w:t xml:space="preserve">Organization Policy Service enforces non-negotiable resource constraints. Policies are version-controlled, tested in lower-risk folders and deployed through approved pipelines.</w:t>
      </w:r>
    </w:p>
    <w:bookmarkStart w:id="123" w:name="baseline-policy-set"/>
    <w:p>
      <w:pPr>
        <w:pStyle w:val="Heading3"/>
        <w:keepNext/>
        <w:pageBreakBefore w:val="0"/>
      </w:pPr>
      <w:r>
        <w:t xml:space="preserve">Baseline policy set</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Policy intent</w:t>
            </w:r>
          </w:p>
        </w:tc>
        <w:tc>
          <w:tcPr>
            <w:vAlign w:val="center"/>
            <w:tcMar>
              <w:top w:w="70" w:type="dxa"/>
              <w:left w:w="85" w:type="dxa"/>
              <w:bottom w:w="70" w:type="dxa"/>
              <w:right w:w="85" w:type="dxa"/>
            </w:tcMar>
          </w:tcPr>
          <w:p>
            <w:pPr>
              <w:spacing w:after="30" w:before="0"/>
              <w:jc w:val="left"/>
            </w:pPr>
            <w:r>
              <w:rPr>
                <w:rFonts w:ascii="Arial" w:hAnsi="Arial"/>
                <w:b/>
                <w:sz w:val="16"/>
              </w:rPr>
              <w:t xml:space="preserve">Default stance</w:t>
            </w:r>
          </w:p>
        </w:tc>
        <w:tc>
          <w:tcPr>
            <w:vAlign w:val="center"/>
            <w:tcMar>
              <w:top w:w="70" w:type="dxa"/>
              <w:left w:w="85" w:type="dxa"/>
              <w:bottom w:w="70" w:type="dxa"/>
              <w:right w:w="85" w:type="dxa"/>
            </w:tcMar>
          </w:tcPr>
          <w:p>
            <w:pPr>
              <w:spacing w:after="30" w:before="0"/>
              <w:jc w:val="left"/>
            </w:pPr>
            <w:r>
              <w:rPr>
                <w:rFonts w:ascii="Arial" w:hAnsi="Arial"/>
                <w:b/>
                <w:sz w:val="16"/>
              </w:rPr>
              <w:t xml:space="preserve">Exception path</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External IPs on VMs</w:t>
            </w:r>
          </w:p>
        </w:tc>
        <w:tc>
          <w:tcPr>
            <w:vAlign w:val="center"/>
            <w:tcMar>
              <w:top w:w="70" w:type="dxa"/>
              <w:left w:w="85" w:type="dxa"/>
              <w:bottom w:w="70" w:type="dxa"/>
              <w:right w:w="85" w:type="dxa"/>
            </w:tcMar>
          </w:tcPr>
          <w:p>
            <w:pPr>
              <w:spacing w:after="30" w:before="0"/>
              <w:jc w:val="left"/>
            </w:pPr>
            <w:r>
              <w:rPr>
                <w:rFonts w:ascii="Arial" w:hAnsi="Arial"/>
                <w:sz w:val="16"/>
              </w:rPr>
              <w:t xml:space="preserve">Denied</w:t>
            </w:r>
          </w:p>
        </w:tc>
        <w:tc>
          <w:tcPr>
            <w:vAlign w:val="center"/>
            <w:tcMar>
              <w:top w:w="70" w:type="dxa"/>
              <w:left w:w="85" w:type="dxa"/>
              <w:bottom w:w="70" w:type="dxa"/>
              <w:right w:w="85" w:type="dxa"/>
            </w:tcMar>
          </w:tcPr>
          <w:p>
            <w:pPr>
              <w:spacing w:after="30" w:before="0"/>
              <w:jc w:val="left"/>
            </w:pPr>
            <w:r>
              <w:rPr>
                <w:rFonts w:ascii="Arial" w:hAnsi="Arial"/>
                <w:sz w:val="16"/>
              </w:rPr>
              <w:t xml:space="preserve">Approved perimeter or edge project only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Service-account key creation</w:t>
            </w:r>
          </w:p>
        </w:tc>
        <w:tc>
          <w:tcPr>
            <w:vAlign w:val="center"/>
            <w:tcMar>
              <w:top w:w="70" w:type="dxa"/>
              <w:left w:w="85" w:type="dxa"/>
              <w:bottom w:w="70" w:type="dxa"/>
              <w:right w:w="85" w:type="dxa"/>
            </w:tcMar>
          </w:tcPr>
          <w:p>
            <w:pPr>
              <w:spacing w:after="30" w:before="0"/>
              <w:jc w:val="left"/>
            </w:pPr>
            <w:r>
              <w:rPr>
                <w:rFonts w:ascii="Arial" w:hAnsi="Arial"/>
                <w:sz w:val="16"/>
              </w:rPr>
              <w:t xml:space="preserve">Denied</w:t>
            </w:r>
          </w:p>
        </w:tc>
        <w:tc>
          <w:tcPr>
            <w:vAlign w:val="center"/>
            <w:tcMar>
              <w:top w:w="70" w:type="dxa"/>
              <w:left w:w="85" w:type="dxa"/>
              <w:bottom w:w="70" w:type="dxa"/>
              <w:right w:w="85" w:type="dxa"/>
            </w:tcMar>
          </w:tcPr>
          <w:p>
            <w:pPr>
              <w:spacing w:after="30" w:before="0"/>
              <w:jc w:val="left"/>
            </w:pPr>
            <w:r>
              <w:rPr>
                <w:rFonts w:ascii="Arial" w:hAnsi="Arial"/>
                <w:sz w:val="16"/>
              </w:rPr>
              <w:t xml:space="preserve">Time-bound legacy exception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Service-account key upload</w:t>
            </w:r>
          </w:p>
        </w:tc>
        <w:tc>
          <w:tcPr>
            <w:vAlign w:val="center"/>
            <w:tcMar>
              <w:top w:w="70" w:type="dxa"/>
              <w:left w:w="85" w:type="dxa"/>
              <w:bottom w:w="70" w:type="dxa"/>
              <w:right w:w="85" w:type="dxa"/>
            </w:tcMar>
          </w:tcPr>
          <w:p>
            <w:pPr>
              <w:spacing w:after="30" w:before="0"/>
              <w:jc w:val="left"/>
            </w:pPr>
            <w:r>
              <w:rPr>
                <w:rFonts w:ascii="Arial" w:hAnsi="Arial"/>
                <w:sz w:val="16"/>
              </w:rPr>
              <w:t xml:space="preserve">Denied</w:t>
            </w:r>
          </w:p>
        </w:tc>
        <w:tc>
          <w:tcPr>
            <w:vAlign w:val="center"/>
            <w:tcMar>
              <w:top w:w="70" w:type="dxa"/>
              <w:left w:w="85" w:type="dxa"/>
              <w:bottom w:w="70" w:type="dxa"/>
              <w:right w:w="85" w:type="dxa"/>
            </w:tcMar>
          </w:tcPr>
          <w:p>
            <w:pPr>
              <w:spacing w:after="30" w:before="0"/>
              <w:jc w:val="left"/>
            </w:pPr>
            <w:r>
              <w:rPr>
                <w:rFonts w:ascii="Arial" w:hAnsi="Arial"/>
                <w:sz w:val="16"/>
              </w:rPr>
              <w:t xml:space="preserve">No standard exception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Domain-restricted sharing</w:t>
            </w:r>
          </w:p>
        </w:tc>
        <w:tc>
          <w:tcPr>
            <w:vAlign w:val="center"/>
            <w:tcMar>
              <w:top w:w="70" w:type="dxa"/>
              <w:left w:w="85" w:type="dxa"/>
              <w:bottom w:w="70" w:type="dxa"/>
              <w:right w:w="85" w:type="dxa"/>
            </w:tcMar>
          </w:tcPr>
          <w:p>
            <w:pPr>
              <w:spacing w:after="30" w:before="0"/>
              <w:jc w:val="left"/>
            </w:pPr>
            <w:r>
              <w:rPr>
                <w:rFonts w:ascii="Arial" w:hAnsi="Arial"/>
                <w:sz w:val="16"/>
              </w:rPr>
              <w:t xml:space="preserve">Enterprise domains only</w:t>
            </w:r>
          </w:p>
        </w:tc>
        <w:tc>
          <w:tcPr>
            <w:vAlign w:val="center"/>
            <w:tcMar>
              <w:top w:w="70" w:type="dxa"/>
              <w:left w:w="85" w:type="dxa"/>
              <w:bottom w:w="70" w:type="dxa"/>
              <w:right w:w="85" w:type="dxa"/>
            </w:tcMar>
          </w:tcPr>
          <w:p>
            <w:pPr>
              <w:spacing w:after="30" w:before="0"/>
              <w:jc w:val="left"/>
            </w:pPr>
            <w:r>
              <w:rPr>
                <w:rFonts w:ascii="Arial" w:hAnsi="Arial"/>
                <w:sz w:val="16"/>
              </w:rPr>
              <w:t xml:space="preserve">Legal and security approval</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Resource locations</w:t>
            </w:r>
          </w:p>
        </w:tc>
        <w:tc>
          <w:tcPr>
            <w:vAlign w:val="center"/>
            <w:tcMar>
              <w:top w:w="70" w:type="dxa"/>
              <w:left w:w="85" w:type="dxa"/>
              <w:bottom w:w="70" w:type="dxa"/>
              <w:right w:w="85" w:type="dxa"/>
            </w:tcMar>
          </w:tcPr>
          <w:p>
            <w:pPr>
              <w:spacing w:after="30" w:before="0"/>
              <w:jc w:val="left"/>
            </w:pPr>
            <w:r>
              <w:rPr>
                <w:rFonts w:ascii="Arial" w:hAnsi="Arial"/>
                <w:sz w:val="16"/>
              </w:rPr>
              <w:t xml:space="preserve">Approved region groups</w:t>
            </w:r>
          </w:p>
        </w:tc>
        <w:tc>
          <w:tcPr>
            <w:vAlign w:val="center"/>
            <w:tcMar>
              <w:top w:w="70" w:type="dxa"/>
              <w:left w:w="85" w:type="dxa"/>
              <w:bottom w:w="70" w:type="dxa"/>
              <w:right w:w="85" w:type="dxa"/>
            </w:tcMar>
          </w:tcPr>
          <w:p>
            <w:pPr>
              <w:spacing w:after="30" w:before="0"/>
              <w:jc w:val="left"/>
            </w:pPr>
            <w:r>
              <w:rPr>
                <w:rFonts w:ascii="Arial" w:hAnsi="Arial"/>
                <w:sz w:val="16"/>
              </w:rPr>
              <w:t xml:space="preserve">Sovereignty architecture review</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Default network creation</w:t>
            </w:r>
          </w:p>
        </w:tc>
        <w:tc>
          <w:tcPr>
            <w:vAlign w:val="center"/>
            <w:tcMar>
              <w:top w:w="70" w:type="dxa"/>
              <w:left w:w="85" w:type="dxa"/>
              <w:bottom w:w="70" w:type="dxa"/>
              <w:right w:w="85" w:type="dxa"/>
            </w:tcMar>
          </w:tcPr>
          <w:p>
            <w:pPr>
              <w:spacing w:after="30" w:before="0"/>
              <w:jc w:val="left"/>
            </w:pPr>
            <w:r>
              <w:rPr>
                <w:rFonts w:ascii="Arial" w:hAnsi="Arial"/>
                <w:sz w:val="16"/>
              </w:rPr>
              <w:t xml:space="preserve">Disabled</w:t>
            </w:r>
          </w:p>
        </w:tc>
        <w:tc>
          <w:tcPr>
            <w:vAlign w:val="center"/>
            <w:tcMar>
              <w:top w:w="70" w:type="dxa"/>
              <w:left w:w="85" w:type="dxa"/>
              <w:bottom w:w="70" w:type="dxa"/>
              <w:right w:w="85" w:type="dxa"/>
            </w:tcMar>
          </w:tcPr>
          <w:p>
            <w:pPr>
              <w:spacing w:after="30" w:before="0"/>
              <w:jc w:val="left"/>
            </w:pPr>
            <w:r>
              <w:rPr>
                <w:rFonts w:ascii="Arial" w:hAnsi="Arial"/>
                <w:sz w:val="16"/>
              </w:rPr>
              <w:t xml:space="preserve">None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Serial port access</w:t>
            </w:r>
          </w:p>
        </w:tc>
        <w:tc>
          <w:tcPr>
            <w:vAlign w:val="center"/>
            <w:tcMar>
              <w:top w:w="70" w:type="dxa"/>
              <w:left w:w="85" w:type="dxa"/>
              <w:bottom w:w="70" w:type="dxa"/>
              <w:right w:w="85" w:type="dxa"/>
            </w:tcMar>
          </w:tcPr>
          <w:p>
            <w:pPr>
              <w:spacing w:after="30" w:before="0"/>
              <w:jc w:val="left"/>
            </w:pPr>
            <w:r>
              <w:rPr>
                <w:rFonts w:ascii="Arial" w:hAnsi="Arial"/>
                <w:sz w:val="16"/>
              </w:rPr>
              <w:t xml:space="preserve">Disabled</w:t>
            </w:r>
          </w:p>
        </w:tc>
        <w:tc>
          <w:tcPr>
            <w:vAlign w:val="center"/>
            <w:tcMar>
              <w:top w:w="70" w:type="dxa"/>
              <w:left w:w="85" w:type="dxa"/>
              <w:bottom w:w="70" w:type="dxa"/>
              <w:right w:w="85" w:type="dxa"/>
            </w:tcMar>
          </w:tcPr>
          <w:p>
            <w:pPr>
              <w:spacing w:after="30" w:before="0"/>
              <w:jc w:val="left"/>
            </w:pPr>
            <w:r>
              <w:rPr>
                <w:rFonts w:ascii="Arial" w:hAnsi="Arial"/>
                <w:sz w:val="16"/>
              </w:rPr>
              <w:t xml:space="preserve">Incident-specific approval</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OS Login</w:t>
            </w:r>
          </w:p>
        </w:tc>
        <w:tc>
          <w:tcPr>
            <w:vAlign w:val="center"/>
            <w:tcMar>
              <w:top w:w="70" w:type="dxa"/>
              <w:left w:w="85" w:type="dxa"/>
              <w:bottom w:w="70" w:type="dxa"/>
              <w:right w:w="85" w:type="dxa"/>
            </w:tcMar>
          </w:tcPr>
          <w:p>
            <w:pPr>
              <w:spacing w:after="30" w:before="0"/>
              <w:jc w:val="left"/>
            </w:pPr>
            <w:r>
              <w:rPr>
                <w:rFonts w:ascii="Arial" w:hAnsi="Arial"/>
                <w:sz w:val="16"/>
              </w:rPr>
              <w:t xml:space="preserve">Required for supported administrative VMs</w:t>
            </w:r>
          </w:p>
        </w:tc>
        <w:tc>
          <w:tcPr>
            <w:vAlign w:val="center"/>
            <w:tcMar>
              <w:top w:w="70" w:type="dxa"/>
              <w:left w:w="85" w:type="dxa"/>
              <w:bottom w:w="70" w:type="dxa"/>
              <w:right w:w="85" w:type="dxa"/>
            </w:tcMar>
          </w:tcPr>
          <w:p>
            <w:pPr>
              <w:spacing w:after="30" w:before="0"/>
              <w:jc w:val="left"/>
            </w:pPr>
            <w:r>
              <w:rPr>
                <w:rFonts w:ascii="Arial" w:hAnsi="Arial"/>
                <w:sz w:val="16"/>
              </w:rPr>
              <w:t xml:space="preserve">Documented incompatibility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Uniform bucket-level access</w:t>
            </w:r>
          </w:p>
        </w:tc>
        <w:tc>
          <w:tcPr>
            <w:vAlign w:val="center"/>
            <w:tcMar>
              <w:top w:w="70" w:type="dxa"/>
              <w:left w:w="85" w:type="dxa"/>
              <w:bottom w:w="70" w:type="dxa"/>
              <w:right w:w="85" w:type="dxa"/>
            </w:tcMar>
          </w:tcPr>
          <w:p>
            <w:pPr>
              <w:spacing w:after="30" w:before="0"/>
              <w:jc w:val="left"/>
            </w:pPr>
            <w:r>
              <w:rPr>
                <w:rFonts w:ascii="Arial" w:hAnsi="Arial"/>
                <w:sz w:val="16"/>
              </w:rPr>
              <w:t xml:space="preserve">Required</w:t>
            </w:r>
          </w:p>
        </w:tc>
        <w:tc>
          <w:tcPr>
            <w:vAlign w:val="center"/>
            <w:tcMar>
              <w:top w:w="70" w:type="dxa"/>
              <w:left w:w="85" w:type="dxa"/>
              <w:bottom w:w="70" w:type="dxa"/>
              <w:right w:w="85" w:type="dxa"/>
            </w:tcMar>
          </w:tcPr>
          <w:p>
            <w:pPr>
              <w:spacing w:after="30" w:before="0"/>
              <w:jc w:val="left"/>
            </w:pPr>
            <w:r>
              <w:rPr>
                <w:rFonts w:ascii="Arial" w:hAnsi="Arial"/>
                <w:sz w:val="16"/>
              </w:rPr>
              <w:t xml:space="preserve">No standard exception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Public bucket access</w:t>
            </w:r>
          </w:p>
        </w:tc>
        <w:tc>
          <w:tcPr>
            <w:vAlign w:val="center"/>
            <w:tcMar>
              <w:top w:w="70" w:type="dxa"/>
              <w:left w:w="85" w:type="dxa"/>
              <w:bottom w:w="70" w:type="dxa"/>
              <w:right w:w="85" w:type="dxa"/>
            </w:tcMar>
          </w:tcPr>
          <w:p>
            <w:pPr>
              <w:spacing w:after="30" w:before="0"/>
              <w:jc w:val="left"/>
            </w:pPr>
            <w:r>
              <w:rPr>
                <w:rFonts w:ascii="Arial" w:hAnsi="Arial"/>
                <w:sz w:val="16"/>
              </w:rPr>
              <w:t xml:space="preserve">Prevented</w:t>
            </w:r>
          </w:p>
        </w:tc>
        <w:tc>
          <w:tcPr>
            <w:vAlign w:val="center"/>
            <w:tcMar>
              <w:top w:w="70" w:type="dxa"/>
              <w:left w:w="85" w:type="dxa"/>
              <w:bottom w:w="70" w:type="dxa"/>
              <w:right w:w="85" w:type="dxa"/>
            </w:tcMar>
          </w:tcPr>
          <w:p>
            <w:pPr>
              <w:spacing w:after="30" w:before="0"/>
              <w:jc w:val="left"/>
            </w:pPr>
            <w:r>
              <w:rPr>
                <w:rFonts w:ascii="Arial" w:hAnsi="Arial"/>
                <w:sz w:val="16"/>
              </w:rPr>
              <w:t xml:space="preserve">Dedicated publication project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Shielded VM</w:t>
            </w:r>
          </w:p>
        </w:tc>
        <w:tc>
          <w:tcPr>
            <w:vAlign w:val="center"/>
            <w:tcMar>
              <w:top w:w="70" w:type="dxa"/>
              <w:left w:w="85" w:type="dxa"/>
              <w:bottom w:w="70" w:type="dxa"/>
              <w:right w:w="85" w:type="dxa"/>
            </w:tcMar>
          </w:tcPr>
          <w:p>
            <w:pPr>
              <w:spacing w:after="30" w:before="0"/>
              <w:jc w:val="left"/>
            </w:pPr>
            <w:r>
              <w:rPr>
                <w:rFonts w:ascii="Arial" w:hAnsi="Arial"/>
                <w:sz w:val="16"/>
              </w:rPr>
              <w:t xml:space="preserve">Required for applicable VM workloads</w:t>
            </w:r>
          </w:p>
        </w:tc>
        <w:tc>
          <w:tcPr>
            <w:vAlign w:val="center"/>
            <w:tcMar>
              <w:top w:w="70" w:type="dxa"/>
              <w:left w:w="85" w:type="dxa"/>
              <w:bottom w:w="70" w:type="dxa"/>
              <w:right w:w="85" w:type="dxa"/>
            </w:tcMar>
          </w:tcPr>
          <w:p>
            <w:pPr>
              <w:spacing w:after="30" w:before="0"/>
              <w:jc w:val="left"/>
            </w:pPr>
            <w:r>
              <w:rPr>
                <w:rFonts w:ascii="Arial" w:hAnsi="Arial"/>
                <w:sz w:val="16"/>
              </w:rPr>
              <w:t xml:space="preserve">Legacy technical exception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CMEK</w:t>
            </w:r>
          </w:p>
        </w:tc>
        <w:tc>
          <w:tcPr>
            <w:vAlign w:val="center"/>
            <w:tcMar>
              <w:top w:w="70" w:type="dxa"/>
              <w:left w:w="85" w:type="dxa"/>
              <w:bottom w:w="70" w:type="dxa"/>
              <w:right w:w="85" w:type="dxa"/>
            </w:tcMar>
          </w:tcPr>
          <w:p>
            <w:pPr>
              <w:spacing w:after="30" w:before="0"/>
              <w:jc w:val="left"/>
            </w:pPr>
            <w:r>
              <w:rPr>
                <w:rFonts w:ascii="Arial" w:hAnsi="Arial"/>
                <w:sz w:val="16"/>
              </w:rPr>
              <w:t xml:space="preserve">Required for classified services where policy supports it</w:t>
            </w:r>
          </w:p>
        </w:tc>
        <w:tc>
          <w:tcPr>
            <w:vAlign w:val="center"/>
            <w:tcMar>
              <w:top w:w="70" w:type="dxa"/>
              <w:left w:w="85" w:type="dxa"/>
              <w:bottom w:w="70" w:type="dxa"/>
              <w:right w:w="85" w:type="dxa"/>
            </w:tcMar>
          </w:tcPr>
          <w:p>
            <w:pPr>
              <w:spacing w:after="30" w:before="0"/>
              <w:jc w:val="left"/>
            </w:pPr>
            <w:r>
              <w:rPr>
                <w:rFonts w:ascii="Arial" w:hAnsi="Arial"/>
                <w:sz w:val="16"/>
              </w:rPr>
              <w:t xml:space="preserve">Data-risk approval</w:t>
            </w:r>
          </w:p>
        </w:tc>
      </w:tr>
    </w:tbl>
    <w:p>
      <w:pPr>
        <w:pStyle w:val="BodyText"/>
      </w:pPr>
      <w:r>
        <w:t xml:space="preserve">Policies that could disrupt existing workloads are introduced in observe, dry-run or targeted-folder phases where the product supports such rollout patterns.</w:t>
      </w:r>
    </w:p>
    <w:bookmarkEnd w:id="123"/>
    <w:bookmarkEnd w:id="124"/>
    <w:bookmarkStart w:id="130" w:name="vpc-service-controls"/>
    <w:p>
      <w:pPr>
        <w:pStyle w:val="Heading2"/>
        <w:keepNext/>
        <w:pageBreakBefore w:val="0"/>
      </w:pPr>
      <w:r>
        <w:t xml:space="preserve">6.3 VPC Service Controls</w:t>
      </w:r>
    </w:p>
    <w:p>
      <w:pPr>
        <w:pStyle w:val="CaptionedFigure"/>
      </w:pPr>
      <w:r>
        <w:drawing>
          <wp:inline>
            <wp:extent cx="6217920" cy="5059160"/>
            <wp:effectExtent b="0" l="0" r="0" t="0"/>
            <wp:docPr descr="VPC Service Controls" title="" id="126" name="Picture"/>
            <a:graphic>
              <a:graphicData uri="http://schemas.openxmlformats.org/drawingml/2006/picture">
                <pic:pic>
                  <pic:nvPicPr>
                    <pic:cNvPr descr="/mnt/data/Volume_02_Google_Cloud_Landing_Zone_Package/diagrams/06_vpc_service_controls.png" id="127" name="Picture"/>
                    <pic:cNvPicPr>
                      <a:picLocks noChangeArrowheads="1" noChangeAspect="1"/>
                    </pic:cNvPicPr>
                  </pic:nvPicPr>
                  <pic:blipFill>
                    <a:blip r:embed="rId125"/>
                    <a:stretch>
                      <a:fillRect/>
                    </a:stretch>
                  </pic:blipFill>
                  <pic:spPr bwMode="auto">
                    <a:xfrm>
                      <a:off x="0" y="0"/>
                      <a:ext cx="6217920" cy="5059160"/>
                    </a:xfrm>
                    <a:prstGeom prst="rect">
                      <a:avLst/>
                    </a:prstGeom>
                    <a:noFill/>
                    <a:ln w="9525">
                      <a:noFill/>
                      <a:headEnd/>
                      <a:tailEnd/>
                    </a:ln>
                  </pic:spPr>
                </pic:pic>
              </a:graphicData>
            </a:graphic>
          </wp:inline>
        </w:drawing>
      </w:r>
    </w:p>
    <w:p>
      <w:pPr>
        <w:pStyle w:val="ImageCaption"/>
      </w:pPr>
      <w:r>
        <w:t xml:space="preserve">VPC Service Controls</w:t>
      </w:r>
    </w:p>
    <w:p>
      <w:pPr>
        <w:pStyle w:val="BodyText"/>
      </w:pPr>
      <w:r>
        <w:t xml:space="preserve">VPC Service Controls reduce the risk of data exfiltration from supported Google-managed services by creating service perimeters and controlling ingress and egress. They complement IAM and do not replace it.</w:t>
      </w:r>
    </w:p>
    <w:bookmarkStart w:id="128" w:name="perimeter-model"/>
    <w:p>
      <w:pPr>
        <w:pStyle w:val="Heading3"/>
        <w:keepNext/>
        <w:pageBreakBefore w:val="0"/>
      </w:pPr>
      <w:r>
        <w:t xml:space="preserve">Perimeter model</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Perimeter</w:t>
            </w:r>
          </w:p>
        </w:tc>
        <w:tc>
          <w:tcPr>
            <w:vAlign w:val="center"/>
            <w:tcMar>
              <w:top w:w="70" w:type="dxa"/>
              <w:left w:w="85" w:type="dxa"/>
              <w:bottom w:w="70" w:type="dxa"/>
              <w:right w:w="85" w:type="dxa"/>
            </w:tcMar>
          </w:tcPr>
          <w:p>
            <w:pPr>
              <w:spacing w:after="30" w:before="0"/>
              <w:jc w:val="left"/>
            </w:pPr>
            <w:r>
              <w:rPr>
                <w:rFonts w:ascii="Arial" w:hAnsi="Arial"/>
                <w:b/>
                <w:sz w:val="16"/>
              </w:rPr>
              <w:t xml:space="preserve">Example contents</w:t>
            </w:r>
          </w:p>
        </w:tc>
        <w:tc>
          <w:tcPr>
            <w:vAlign w:val="center"/>
            <w:tcMar>
              <w:top w:w="70" w:type="dxa"/>
              <w:left w:w="85" w:type="dxa"/>
              <w:bottom w:w="70" w:type="dxa"/>
              <w:right w:w="85" w:type="dxa"/>
            </w:tcMar>
          </w:tcPr>
          <w:p>
            <w:pPr>
              <w:spacing w:after="30" w:before="0"/>
              <w:jc w:val="left"/>
            </w:pPr>
            <w:r>
              <w:rPr>
                <w:rFonts w:ascii="Arial" w:hAnsi="Arial"/>
                <w:b/>
                <w:sz w:val="16"/>
              </w:rPr>
              <w:t xml:space="preserve">Access pattern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Restricted data</w:t>
            </w:r>
          </w:p>
        </w:tc>
        <w:tc>
          <w:tcPr>
            <w:vAlign w:val="center"/>
            <w:tcMar>
              <w:top w:w="70" w:type="dxa"/>
              <w:left w:w="85" w:type="dxa"/>
              <w:bottom w:w="70" w:type="dxa"/>
              <w:right w:w="85" w:type="dxa"/>
            </w:tcMar>
          </w:tcPr>
          <w:p>
            <w:pPr>
              <w:spacing w:after="30" w:before="0"/>
              <w:jc w:val="left"/>
            </w:pPr>
            <w:r>
              <w:rPr>
                <w:rFonts w:ascii="Arial" w:hAnsi="Arial"/>
                <w:sz w:val="16"/>
              </w:rPr>
              <w:t xml:space="preserve">Sensitive BigQuery, Cloud Storage, Dataplex and approved AI projects</w:t>
            </w:r>
          </w:p>
        </w:tc>
        <w:tc>
          <w:tcPr>
            <w:vAlign w:val="center"/>
            <w:tcMar>
              <w:top w:w="70" w:type="dxa"/>
              <w:left w:w="85" w:type="dxa"/>
              <w:bottom w:w="70" w:type="dxa"/>
              <w:right w:w="85" w:type="dxa"/>
            </w:tcMar>
          </w:tcPr>
          <w:p>
            <w:pPr>
              <w:spacing w:after="30" w:before="0"/>
              <w:jc w:val="left"/>
            </w:pPr>
            <w:r>
              <w:rPr>
                <w:rFonts w:ascii="Arial" w:hAnsi="Arial"/>
                <w:sz w:val="16"/>
              </w:rPr>
              <w:t xml:space="preserve">Private/restricted API access; narrow ingress and egress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General production data</w:t>
            </w:r>
          </w:p>
        </w:tc>
        <w:tc>
          <w:tcPr>
            <w:vAlign w:val="center"/>
            <w:tcMar>
              <w:top w:w="70" w:type="dxa"/>
              <w:left w:w="85" w:type="dxa"/>
              <w:bottom w:w="70" w:type="dxa"/>
              <w:right w:w="85" w:type="dxa"/>
            </w:tcMar>
          </w:tcPr>
          <w:p>
            <w:pPr>
              <w:spacing w:after="30" w:before="0"/>
              <w:jc w:val="left"/>
            </w:pPr>
            <w:r>
              <w:rPr>
                <w:rFonts w:ascii="Arial" w:hAnsi="Arial"/>
                <w:sz w:val="16"/>
              </w:rPr>
              <w:t xml:space="preserve">Standard production data projects</w:t>
            </w:r>
          </w:p>
        </w:tc>
        <w:tc>
          <w:tcPr>
            <w:vAlign w:val="center"/>
            <w:tcMar>
              <w:top w:w="70" w:type="dxa"/>
              <w:left w:w="85" w:type="dxa"/>
              <w:bottom w:w="70" w:type="dxa"/>
              <w:right w:w="85" w:type="dxa"/>
            </w:tcMar>
          </w:tcPr>
          <w:p>
            <w:pPr>
              <w:spacing w:after="30" w:before="0"/>
              <w:jc w:val="left"/>
            </w:pPr>
            <w:r>
              <w:rPr>
                <w:rFonts w:ascii="Arial" w:hAnsi="Arial"/>
                <w:sz w:val="16"/>
              </w:rPr>
              <w:t xml:space="preserve">Enterprise users and approved services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Security tooling</w:t>
            </w:r>
          </w:p>
        </w:tc>
        <w:tc>
          <w:tcPr>
            <w:vAlign w:val="center"/>
            <w:tcMar>
              <w:top w:w="70" w:type="dxa"/>
              <w:left w:w="85" w:type="dxa"/>
              <w:bottom w:w="70" w:type="dxa"/>
              <w:right w:w="85" w:type="dxa"/>
            </w:tcMar>
          </w:tcPr>
          <w:p>
            <w:pPr>
              <w:spacing w:after="30" w:before="0"/>
              <w:jc w:val="left"/>
            </w:pPr>
            <w:r>
              <w:rPr>
                <w:rFonts w:ascii="Arial" w:hAnsi="Arial"/>
                <w:sz w:val="16"/>
              </w:rPr>
              <w:t xml:space="preserve">Security data, findings and forensic storage</w:t>
            </w:r>
          </w:p>
        </w:tc>
        <w:tc>
          <w:tcPr>
            <w:vAlign w:val="center"/>
            <w:tcMar>
              <w:top w:w="70" w:type="dxa"/>
              <w:left w:w="85" w:type="dxa"/>
              <w:bottom w:w="70" w:type="dxa"/>
              <w:right w:w="85" w:type="dxa"/>
            </w:tcMar>
          </w:tcPr>
          <w:p>
            <w:pPr>
              <w:spacing w:after="30" w:before="0"/>
              <w:jc w:val="left"/>
            </w:pPr>
            <w:r>
              <w:rPr>
                <w:rFonts w:ascii="Arial" w:hAnsi="Arial"/>
                <w:sz w:val="16"/>
              </w:rPr>
              <w:t xml:space="preserve">Security operations identities only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Development protected</w:t>
            </w:r>
          </w:p>
        </w:tc>
        <w:tc>
          <w:tcPr>
            <w:vAlign w:val="center"/>
            <w:tcMar>
              <w:top w:w="70" w:type="dxa"/>
              <w:left w:w="85" w:type="dxa"/>
              <w:bottom w:w="70" w:type="dxa"/>
              <w:right w:w="85" w:type="dxa"/>
            </w:tcMar>
          </w:tcPr>
          <w:p>
            <w:pPr>
              <w:spacing w:after="30" w:before="0"/>
              <w:jc w:val="left"/>
            </w:pPr>
            <w:r>
              <w:rPr>
                <w:rFonts w:ascii="Arial" w:hAnsi="Arial"/>
                <w:sz w:val="16"/>
              </w:rPr>
              <w:t xml:space="preserve">Synthetic or masked development data</w:t>
            </w:r>
          </w:p>
        </w:tc>
        <w:tc>
          <w:tcPr>
            <w:vAlign w:val="center"/>
            <w:tcMar>
              <w:top w:w="70" w:type="dxa"/>
              <w:left w:w="85" w:type="dxa"/>
              <w:bottom w:w="70" w:type="dxa"/>
              <w:right w:w="85" w:type="dxa"/>
            </w:tcMar>
          </w:tcPr>
          <w:p>
            <w:pPr>
              <w:spacing w:after="30" w:before="0"/>
              <w:jc w:val="left"/>
            </w:pPr>
            <w:r>
              <w:rPr>
                <w:rFonts w:ascii="Arial" w:hAnsi="Arial"/>
                <w:sz w:val="16"/>
              </w:rPr>
              <w:t xml:space="preserve">Developer groups and approved CI/CD</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Bridge</w:t>
            </w:r>
          </w:p>
        </w:tc>
        <w:tc>
          <w:tcPr>
            <w:vAlign w:val="center"/>
            <w:tcMar>
              <w:top w:w="70" w:type="dxa"/>
              <w:left w:w="85" w:type="dxa"/>
              <w:bottom w:w="70" w:type="dxa"/>
              <w:right w:w="85" w:type="dxa"/>
            </w:tcMar>
          </w:tcPr>
          <w:p>
            <w:pPr>
              <w:spacing w:after="30" w:before="0"/>
              <w:jc w:val="left"/>
            </w:pPr>
            <w:r>
              <w:rPr>
                <w:rFonts w:ascii="Arial" w:hAnsi="Arial"/>
                <w:sz w:val="16"/>
              </w:rPr>
              <w:t xml:space="preserve">Explicit shared services only</w:t>
            </w:r>
          </w:p>
        </w:tc>
        <w:tc>
          <w:tcPr>
            <w:vAlign w:val="center"/>
            <w:tcMar>
              <w:top w:w="70" w:type="dxa"/>
              <w:left w:w="85" w:type="dxa"/>
              <w:bottom w:w="70" w:type="dxa"/>
              <w:right w:w="85" w:type="dxa"/>
            </w:tcMar>
          </w:tcPr>
          <w:p>
            <w:pPr>
              <w:spacing w:after="30" w:before="0"/>
              <w:jc w:val="left"/>
            </w:pPr>
            <w:r>
              <w:rPr>
                <w:rFonts w:ascii="Arial" w:hAnsi="Arial"/>
                <w:sz w:val="16"/>
              </w:rPr>
              <w:t xml:space="preserve">Used sparingly for justified cross-perimeter access</w:t>
            </w:r>
          </w:p>
        </w:tc>
      </w:tr>
    </w:tbl>
    <w:bookmarkEnd w:id="128"/>
    <w:bookmarkStart w:id="129" w:name="implementation-method"/>
    <w:p>
      <w:pPr>
        <w:pStyle w:val="Heading3"/>
        <w:keepNext/>
        <w:pageBreakBefore w:val="0"/>
      </w:pPr>
      <w:r>
        <w:t xml:space="preserve">Implementation method</w:t>
      </w:r>
    </w:p>
    <w:p>
      <w:pPr>
        <w:pStyle w:val="Compact"/>
        <w:numPr>
          <w:ilvl w:val="0"/>
          <w:numId w:val="1024"/>
        </w:numPr>
      </w:pPr>
      <w:r>
        <w:t xml:space="preserve">Inventory protected services, clients, identities and data flows.</w:t>
      </w:r>
    </w:p>
    <w:p>
      <w:pPr>
        <w:pStyle w:val="Compact"/>
        <w:numPr>
          <w:ilvl w:val="0"/>
          <w:numId w:val="1024"/>
        </w:numPr>
      </w:pPr>
      <w:r>
        <w:t xml:space="preserve">Define access levels in Access Context Manager.</w:t>
      </w:r>
    </w:p>
    <w:p>
      <w:pPr>
        <w:pStyle w:val="Compact"/>
        <w:numPr>
          <w:ilvl w:val="0"/>
          <w:numId w:val="1024"/>
        </w:numPr>
      </w:pPr>
      <w:r>
        <w:t xml:space="preserve">Create dry-run perimeters and collect violation logs.</w:t>
      </w:r>
    </w:p>
    <w:p>
      <w:pPr>
        <w:pStyle w:val="Compact"/>
        <w:numPr>
          <w:ilvl w:val="0"/>
          <w:numId w:val="1024"/>
        </w:numPr>
      </w:pPr>
      <w:r>
        <w:t xml:space="preserve">Classify violations as required flow, misconfiguration or prohibited access.</w:t>
      </w:r>
    </w:p>
    <w:p>
      <w:pPr>
        <w:pStyle w:val="Compact"/>
        <w:numPr>
          <w:ilvl w:val="0"/>
          <w:numId w:val="1024"/>
        </w:numPr>
      </w:pPr>
      <w:r>
        <w:t xml:space="preserve">Write narrow ingress and egress policies using identities, resources and access levels.</w:t>
      </w:r>
    </w:p>
    <w:p>
      <w:pPr>
        <w:pStyle w:val="Compact"/>
        <w:numPr>
          <w:ilvl w:val="0"/>
          <w:numId w:val="1024"/>
        </w:numPr>
      </w:pPr>
      <w:r>
        <w:t xml:space="preserve">Test user, workload, support, DR and CI/CD paths.</w:t>
      </w:r>
    </w:p>
    <w:p>
      <w:pPr>
        <w:pStyle w:val="Compact"/>
        <w:numPr>
          <w:ilvl w:val="0"/>
          <w:numId w:val="1024"/>
        </w:numPr>
      </w:pPr>
      <w:r>
        <w:t xml:space="preserve">Enforce in staged waves.</w:t>
      </w:r>
    </w:p>
    <w:p>
      <w:pPr>
        <w:pStyle w:val="Compact"/>
        <w:numPr>
          <w:ilvl w:val="0"/>
          <w:numId w:val="1024"/>
        </w:numPr>
      </w:pPr>
      <w:r>
        <w:t xml:space="preserve">Continuously monitor violations and policy drift.</w:t>
      </w:r>
    </w:p>
    <w:p>
      <w:pPr>
        <w:pStyle w:val="FirstParagraph"/>
      </w:pPr>
      <w:r>
        <w:t xml:space="preserve">A project belongs to one regular service perimeter at a time. Perimeter bridges and ingress/egress rules are governed centrally because they can materially change data-exfiltration risk.</w:t>
      </w:r>
    </w:p>
    <w:bookmarkEnd w:id="129"/>
    <w:bookmarkEnd w:id="130"/>
    <w:bookmarkStart w:id="131" w:name="access-context-manager"/>
    <w:p>
      <w:pPr>
        <w:pStyle w:val="Heading2"/>
        <w:keepNext/>
        <w:pageBreakBefore w:val="0"/>
      </w:pPr>
      <w:r>
        <w:t xml:space="preserve">6.4 Access Context Manager</w:t>
      </w:r>
    </w:p>
    <w:p>
      <w:pPr>
        <w:pStyle w:val="FirstParagraph"/>
      </w:pPr>
      <w:r>
        <w:t xml:space="preserve">Access Context Manager defines context-aware access levels used by VPC Service Controls and supported access policies. Signals may include user identity, device state, IP range, geographic context and authentication assurance.</w:t>
      </w:r>
    </w:p>
    <w:p>
      <w:pPr>
        <w:pStyle w:val="BodyText"/>
      </w:pPr>
      <w:r>
        <w:t xml:space="preserve">Access levels are designed as reusable controls such as:</w:t>
      </w:r>
    </w:p>
    <w:p>
      <w:pPr>
        <w:pStyle w:val="Compact"/>
        <w:numPr>
          <w:ilvl w:val="0"/>
          <w:numId w:val="1025"/>
        </w:numPr>
      </w:pPr>
      <w:r>
        <w:rPr>
          <w:rStyle w:val="VerbatimChar"/>
        </w:rPr>
        <w:t xml:space="preserve">corp_managed_device</w:t>
      </w:r>
    </w:p>
    <w:p>
      <w:pPr>
        <w:pStyle w:val="Compact"/>
        <w:numPr>
          <w:ilvl w:val="0"/>
          <w:numId w:val="1025"/>
        </w:numPr>
      </w:pPr>
      <w:r>
        <w:rPr>
          <w:rStyle w:val="VerbatimChar"/>
        </w:rPr>
        <w:t xml:space="preserve">corp_network_or_vpn</w:t>
      </w:r>
    </w:p>
    <w:p>
      <w:pPr>
        <w:pStyle w:val="Compact"/>
        <w:numPr>
          <w:ilvl w:val="0"/>
          <w:numId w:val="1025"/>
        </w:numPr>
      </w:pPr>
      <w:r>
        <w:rPr>
          <w:rStyle w:val="VerbatimChar"/>
        </w:rPr>
        <w:t xml:space="preserve">privileged_admin_context</w:t>
      </w:r>
    </w:p>
    <w:p>
      <w:pPr>
        <w:pStyle w:val="Compact"/>
        <w:numPr>
          <w:ilvl w:val="0"/>
          <w:numId w:val="1025"/>
        </w:numPr>
      </w:pPr>
      <w:r>
        <w:rPr>
          <w:rStyle w:val="VerbatimChar"/>
        </w:rPr>
        <w:t xml:space="preserve">approved_partner_context</w:t>
      </w:r>
    </w:p>
    <w:p>
      <w:pPr>
        <w:pStyle w:val="Compact"/>
        <w:numPr>
          <w:ilvl w:val="0"/>
          <w:numId w:val="1025"/>
        </w:numPr>
      </w:pPr>
      <w:r>
        <w:rPr>
          <w:rStyle w:val="VerbatimChar"/>
        </w:rPr>
        <w:t xml:space="preserve">breakglass_context</w:t>
      </w:r>
    </w:p>
    <w:p>
      <w:pPr>
        <w:pStyle w:val="FirstParagraph"/>
      </w:pPr>
      <w:r>
        <w:t xml:space="preserve">Context is not treated as infallible. Sensitive operations still require IAM, workload authorization and audit.</w:t>
      </w:r>
    </w:p>
    <w:bookmarkEnd w:id="131"/>
    <w:bookmarkStart w:id="133" w:name="security-command-center"/>
    <w:p>
      <w:pPr>
        <w:pStyle w:val="Heading2"/>
        <w:keepNext/>
        <w:pageBreakBefore w:val="0"/>
      </w:pPr>
      <w:r>
        <w:t xml:space="preserve">6.5 Security Command Center</w:t>
      </w:r>
    </w:p>
    <w:p>
      <w:pPr>
        <w:pStyle w:val="FirstParagraph"/>
      </w:pPr>
      <w:r>
        <w:t xml:space="preserve">Security Command Center provides centralized asset, vulnerability, misconfiguration and threat findings. The enterprise activates the appropriate service tier based on risk and integrates findings with SIEM, SOAR, ticketing and incident-management workflows.</w:t>
      </w:r>
    </w:p>
    <w:bookmarkStart w:id="132" w:name="operating-model"/>
    <w:p>
      <w:pPr>
        <w:pStyle w:val="Heading3"/>
        <w:keepNext/>
        <w:pageBreakBefore w:val="0"/>
      </w:pPr>
      <w:r>
        <w:t xml:space="preserve">Operating model</w:t>
      </w:r>
    </w:p>
    <w:p>
      <w:pPr>
        <w:pStyle w:val="Compact"/>
        <w:numPr>
          <w:ilvl w:val="0"/>
          <w:numId w:val="1026"/>
        </w:numPr>
      </w:pPr>
      <w:r>
        <w:t xml:space="preserve">Security owns organization-level activation and finding governance.</w:t>
      </w:r>
    </w:p>
    <w:p>
      <w:pPr>
        <w:pStyle w:val="Compact"/>
        <w:numPr>
          <w:ilvl w:val="0"/>
          <w:numId w:val="1026"/>
        </w:numPr>
      </w:pPr>
      <w:r>
        <w:t xml:space="preserve">Platform teams own remediation of landing-zone findings.</w:t>
      </w:r>
    </w:p>
    <w:p>
      <w:pPr>
        <w:pStyle w:val="Compact"/>
        <w:numPr>
          <w:ilvl w:val="0"/>
          <w:numId w:val="1026"/>
        </w:numPr>
      </w:pPr>
      <w:r>
        <w:t xml:space="preserve">Domain teams own workload findings.</w:t>
      </w:r>
    </w:p>
    <w:p>
      <w:pPr>
        <w:pStyle w:val="Compact"/>
        <w:numPr>
          <w:ilvl w:val="0"/>
          <w:numId w:val="1026"/>
        </w:numPr>
      </w:pPr>
      <w:r>
        <w:t xml:space="preserve">Critical findings page on-call responders.</w:t>
      </w:r>
    </w:p>
    <w:p>
      <w:pPr>
        <w:pStyle w:val="Compact"/>
        <w:numPr>
          <w:ilvl w:val="0"/>
          <w:numId w:val="1026"/>
        </w:numPr>
      </w:pPr>
      <w:r>
        <w:t xml:space="preserve">High findings create tracked incidents within defined time.</w:t>
      </w:r>
    </w:p>
    <w:p>
      <w:pPr>
        <w:pStyle w:val="Compact"/>
        <w:numPr>
          <w:ilvl w:val="0"/>
          <w:numId w:val="1026"/>
        </w:numPr>
      </w:pPr>
      <w:r>
        <w:t xml:space="preserve">Medium and low findings enter risk-based remediation queues.</w:t>
      </w:r>
    </w:p>
    <w:p>
      <w:pPr>
        <w:pStyle w:val="Compact"/>
        <w:numPr>
          <w:ilvl w:val="0"/>
          <w:numId w:val="1026"/>
        </w:numPr>
      </w:pPr>
      <w:r>
        <w:t xml:space="preserve">False-positive suppressions require an owner, rationale and review date.</w:t>
      </w:r>
    </w:p>
    <w:p>
      <w:pPr>
        <w:pStyle w:val="Compact"/>
        <w:numPr>
          <w:ilvl w:val="0"/>
          <w:numId w:val="1026"/>
        </w:numPr>
      </w:pPr>
      <w:r>
        <w:t xml:space="preserve">Posture metrics are reported by folder, domain and control family.</w:t>
      </w:r>
    </w:p>
    <w:bookmarkEnd w:id="132"/>
    <w:bookmarkEnd w:id="133"/>
    <w:bookmarkStart w:id="135" w:name="secret-manager"/>
    <w:p>
      <w:pPr>
        <w:pStyle w:val="Heading2"/>
        <w:keepNext/>
        <w:pageBreakBefore w:val="0"/>
      </w:pPr>
      <w:r>
        <w:t xml:space="preserve">6.6 Secret Manager</w:t>
      </w:r>
    </w:p>
    <w:p>
      <w:pPr>
        <w:pStyle w:val="FirstParagraph"/>
      </w:pPr>
      <w:r>
        <w:t xml:space="preserve">Secret Manager stores application secrets, certificates or tokens that cannot be replaced by workload identity. It is not used to store general configuration.</w:t>
      </w:r>
    </w:p>
    <w:bookmarkStart w:id="134" w:name="secret-standards"/>
    <w:p>
      <w:pPr>
        <w:pStyle w:val="Heading3"/>
        <w:keepNext/>
        <w:pageBreakBefore w:val="0"/>
      </w:pPr>
      <w:r>
        <w:t xml:space="preserve">Secret standards</w:t>
      </w:r>
    </w:p>
    <w:p>
      <w:pPr>
        <w:pStyle w:val="Compact"/>
        <w:numPr>
          <w:ilvl w:val="0"/>
          <w:numId w:val="1027"/>
        </w:numPr>
      </w:pPr>
      <w:r>
        <w:t xml:space="preserve">Separate secrets by environment and trust boundary.</w:t>
      </w:r>
    </w:p>
    <w:p>
      <w:pPr>
        <w:pStyle w:val="Compact"/>
        <w:numPr>
          <w:ilvl w:val="0"/>
          <w:numId w:val="1027"/>
        </w:numPr>
      </w:pPr>
      <w:r>
        <w:t xml:space="preserve">Grant access to workload identities, not broad human groups.</w:t>
      </w:r>
    </w:p>
    <w:p>
      <w:pPr>
        <w:pStyle w:val="Compact"/>
        <w:numPr>
          <w:ilvl w:val="0"/>
          <w:numId w:val="1027"/>
        </w:numPr>
      </w:pPr>
      <w:r>
        <w:t xml:space="preserve">Use automatic or scheduled rotation where the dependent system supports it.</w:t>
      </w:r>
    </w:p>
    <w:p>
      <w:pPr>
        <w:pStyle w:val="Compact"/>
        <w:numPr>
          <w:ilvl w:val="0"/>
          <w:numId w:val="1027"/>
        </w:numPr>
      </w:pPr>
      <w:r>
        <w:t xml:space="preserve">Replication policy follows residency and recovery requirements.</w:t>
      </w:r>
    </w:p>
    <w:p>
      <w:pPr>
        <w:pStyle w:val="Compact"/>
        <w:numPr>
          <w:ilvl w:val="0"/>
          <w:numId w:val="1027"/>
        </w:numPr>
      </w:pPr>
      <w:r>
        <w:t xml:space="preserve">Secret payload access logging is enabled and monitored.</w:t>
      </w:r>
    </w:p>
    <w:p>
      <w:pPr>
        <w:pStyle w:val="Compact"/>
        <w:numPr>
          <w:ilvl w:val="0"/>
          <w:numId w:val="1027"/>
        </w:numPr>
      </w:pPr>
      <w:r>
        <w:t xml:space="preserve">Versions are disabled before destruction to support safe rollback.</w:t>
      </w:r>
    </w:p>
    <w:p>
      <w:pPr>
        <w:pStyle w:val="Compact"/>
        <w:numPr>
          <w:ilvl w:val="0"/>
          <w:numId w:val="1027"/>
        </w:numPr>
      </w:pPr>
      <w:r>
        <w:t xml:space="preserve">CI/CD injects secret references, never plaintext values.</w:t>
      </w:r>
    </w:p>
    <w:p>
      <w:pPr>
        <w:pStyle w:val="Compact"/>
        <w:numPr>
          <w:ilvl w:val="0"/>
          <w:numId w:val="1027"/>
        </w:numPr>
      </w:pPr>
      <w:r>
        <w:t xml:space="preserve">Applications cache secrets only for the minimum necessary duration.</w:t>
      </w:r>
    </w:p>
    <w:bookmarkEnd w:id="134"/>
    <w:bookmarkEnd w:id="135"/>
    <w:bookmarkStart w:id="139" w:name="cloud-kms-cloud-hsm-and-cmek"/>
    <w:p>
      <w:pPr>
        <w:pStyle w:val="Heading2"/>
        <w:keepNext/>
        <w:pageBreakBefore w:val="0"/>
      </w:pPr>
      <w:r>
        <w:t xml:space="preserve">6.7 Cloud KMS, Cloud HSM and CMEK</w:t>
      </w:r>
    </w:p>
    <w:p>
      <w:pPr>
        <w:pStyle w:val="FirstParagraph"/>
      </w:pPr>
      <w:r>
        <w:t xml:space="preserve">Cloud KMS centralizes cryptographic key lifecycle. Cloud HSM is used where hardware-backed key protection is required. Customer-managed encryption keys are applied according to data classification, regulation and operational capability.</w:t>
      </w:r>
    </w:p>
    <w:bookmarkStart w:id="136" w:name="key-hierarchy"/>
    <w:p>
      <w:pPr>
        <w:pStyle w:val="Heading3"/>
        <w:keepNext/>
        <w:pageBreakBefore w:val="0"/>
      </w:pPr>
      <w:r>
        <w:t xml:space="preserve">Key hierarchy</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Level</w:t>
            </w:r>
          </w:p>
        </w:tc>
        <w:tc>
          <w:tcPr>
            <w:vAlign w:val="center"/>
            <w:tcMar>
              <w:top w:w="70" w:type="dxa"/>
              <w:left w:w="85" w:type="dxa"/>
              <w:bottom w:w="70" w:type="dxa"/>
              <w:right w:w="85" w:type="dxa"/>
            </w:tcMar>
          </w:tcPr>
          <w:p>
            <w:pPr>
              <w:spacing w:after="30" w:before="0"/>
              <w:jc w:val="left"/>
            </w:pPr>
            <w:r>
              <w:rPr>
                <w:rFonts w:ascii="Arial" w:hAnsi="Arial"/>
                <w:b/>
                <w:sz w:val="16"/>
              </w:rPr>
              <w:t xml:space="preserve">Example</w:t>
            </w:r>
          </w:p>
        </w:tc>
        <w:tc>
          <w:tcPr>
            <w:vAlign w:val="center"/>
            <w:tcMar>
              <w:top w:w="70" w:type="dxa"/>
              <w:left w:w="85" w:type="dxa"/>
              <w:bottom w:w="70" w:type="dxa"/>
              <w:right w:w="85" w:type="dxa"/>
            </w:tcMar>
          </w:tcPr>
          <w:p>
            <w:pPr>
              <w:spacing w:after="30" w:before="0"/>
              <w:jc w:val="left"/>
            </w:pPr>
            <w:r>
              <w:rPr>
                <w:rFonts w:ascii="Arial" w:hAnsi="Arial"/>
                <w:b/>
                <w:sz w:val="16"/>
              </w:rPr>
              <w:t xml:space="preserve">Ownership</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Key project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prj-kms-prod-amer</w:t>
            </w:r>
          </w:p>
        </w:tc>
        <w:tc>
          <w:tcPr>
            <w:vAlign w:val="center"/>
            <w:tcMar>
              <w:top w:w="70" w:type="dxa"/>
              <w:left w:w="85" w:type="dxa"/>
              <w:bottom w:w="70" w:type="dxa"/>
              <w:right w:w="85" w:type="dxa"/>
            </w:tcMar>
          </w:tcPr>
          <w:p>
            <w:pPr>
              <w:spacing w:after="30" w:before="0"/>
              <w:jc w:val="left"/>
            </w:pPr>
            <w:r>
              <w:rPr>
                <w:rFonts w:ascii="Arial" w:hAnsi="Arial"/>
                <w:sz w:val="16"/>
              </w:rPr>
              <w:t xml:space="preserve">Central security platform</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Key ring</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kr-data-uscentral1-prod</w:t>
            </w:r>
          </w:p>
        </w:tc>
        <w:tc>
          <w:tcPr>
            <w:vAlign w:val="center"/>
            <w:tcMar>
              <w:top w:w="70" w:type="dxa"/>
              <w:left w:w="85" w:type="dxa"/>
              <w:bottom w:w="70" w:type="dxa"/>
              <w:right w:w="85" w:type="dxa"/>
            </w:tcMar>
          </w:tcPr>
          <w:p>
            <w:pPr>
              <w:spacing w:after="30" w:before="0"/>
              <w:jc w:val="left"/>
            </w:pPr>
            <w:r>
              <w:rPr>
                <w:rFonts w:ascii="Arial" w:hAnsi="Arial"/>
                <w:sz w:val="16"/>
              </w:rPr>
              <w:t xml:space="preserve">Security platform</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Key</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key-bq-restricted-customer</w:t>
            </w:r>
          </w:p>
        </w:tc>
        <w:tc>
          <w:tcPr>
            <w:vAlign w:val="center"/>
            <w:tcMar>
              <w:top w:w="70" w:type="dxa"/>
              <w:left w:w="85" w:type="dxa"/>
              <w:bottom w:w="70" w:type="dxa"/>
              <w:right w:w="85" w:type="dxa"/>
            </w:tcMar>
          </w:tcPr>
          <w:p>
            <w:pPr>
              <w:spacing w:after="30" w:before="0"/>
              <w:jc w:val="left"/>
            </w:pPr>
            <w:r>
              <w:rPr>
                <w:rFonts w:ascii="Arial" w:hAnsi="Arial"/>
                <w:sz w:val="16"/>
              </w:rPr>
              <w:t xml:space="preserve">Data owner plus security custodian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Crypto role</w:t>
            </w:r>
          </w:p>
        </w:tc>
        <w:tc>
          <w:tcPr>
            <w:vAlign w:val="center"/>
            <w:tcMar>
              <w:top w:w="70" w:type="dxa"/>
              <w:left w:w="85" w:type="dxa"/>
              <w:bottom w:w="70" w:type="dxa"/>
              <w:right w:w="85" w:type="dxa"/>
            </w:tcMar>
          </w:tcPr>
          <w:p>
            <w:pPr>
              <w:spacing w:after="30" w:before="0"/>
              <w:jc w:val="left"/>
            </w:pPr>
            <w:r>
              <w:rPr>
                <w:rFonts w:ascii="Arial" w:hAnsi="Arial"/>
                <w:sz w:val="16"/>
              </w:rPr>
              <w:t xml:space="preserve">Encrypter/decrypter for service agent</w:t>
            </w:r>
          </w:p>
        </w:tc>
        <w:tc>
          <w:tcPr>
            <w:vAlign w:val="center"/>
            <w:tcMar>
              <w:top w:w="70" w:type="dxa"/>
              <w:left w:w="85" w:type="dxa"/>
              <w:bottom w:w="70" w:type="dxa"/>
              <w:right w:w="85" w:type="dxa"/>
            </w:tcMar>
          </w:tcPr>
          <w:p>
            <w:pPr>
              <w:spacing w:after="30" w:before="0"/>
              <w:jc w:val="left"/>
            </w:pPr>
            <w:r>
              <w:rPr>
                <w:rFonts w:ascii="Arial" w:hAnsi="Arial"/>
                <w:sz w:val="16"/>
              </w:rPr>
              <w:t xml:space="preserve">Narrow service identity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Administration</w:t>
            </w:r>
          </w:p>
        </w:tc>
        <w:tc>
          <w:tcPr>
            <w:vAlign w:val="center"/>
            <w:tcMar>
              <w:top w:w="70" w:type="dxa"/>
              <w:left w:w="85" w:type="dxa"/>
              <w:bottom w:w="70" w:type="dxa"/>
              <w:right w:w="85" w:type="dxa"/>
            </w:tcMar>
          </w:tcPr>
          <w:p>
            <w:pPr>
              <w:spacing w:after="30" w:before="0"/>
              <w:jc w:val="left"/>
            </w:pPr>
            <w:r>
              <w:rPr>
                <w:rFonts w:ascii="Arial" w:hAnsi="Arial"/>
                <w:sz w:val="16"/>
              </w:rPr>
              <w:t xml:space="preserve">Rotation and policy administration</w:t>
            </w:r>
          </w:p>
        </w:tc>
        <w:tc>
          <w:tcPr>
            <w:vAlign w:val="center"/>
            <w:tcMar>
              <w:top w:w="70" w:type="dxa"/>
              <w:left w:w="85" w:type="dxa"/>
              <w:bottom w:w="70" w:type="dxa"/>
              <w:right w:w="85" w:type="dxa"/>
            </w:tcMar>
          </w:tcPr>
          <w:p>
            <w:pPr>
              <w:spacing w:after="30" w:before="0"/>
              <w:jc w:val="left"/>
            </w:pPr>
            <w:r>
              <w:rPr>
                <w:rFonts w:ascii="Arial" w:hAnsi="Arial"/>
                <w:sz w:val="16"/>
              </w:rPr>
              <w:t xml:space="preserve">Separate key administrators</w:t>
            </w:r>
          </w:p>
        </w:tc>
      </w:tr>
    </w:tbl>
    <w:bookmarkEnd w:id="136"/>
    <w:bookmarkStart w:id="137" w:name="cmek-decision-model"/>
    <w:p>
      <w:pPr>
        <w:pStyle w:val="Heading3"/>
        <w:keepNext/>
        <w:pageBreakBefore w:val="0"/>
      </w:pPr>
      <w:r>
        <w:t xml:space="preserve">CMEK decision model</w:t>
      </w:r>
    </w:p>
    <w:p>
      <w:pPr>
        <w:pStyle w:val="FirstParagraph"/>
      </w:pPr>
      <w:r>
        <w:t xml:space="preserve">Use CMEK when one or more of the following apply:</w:t>
      </w:r>
    </w:p>
    <w:p>
      <w:pPr>
        <w:pStyle w:val="Compact"/>
        <w:numPr>
          <w:ilvl w:val="0"/>
          <w:numId w:val="1028"/>
        </w:numPr>
      </w:pPr>
      <w:r>
        <w:t xml:space="preserve">Regulation or contract requires customer-controlled keys.</w:t>
      </w:r>
    </w:p>
    <w:p>
      <w:pPr>
        <w:pStyle w:val="Compact"/>
        <w:numPr>
          <w:ilvl w:val="0"/>
          <w:numId w:val="1028"/>
        </w:numPr>
      </w:pPr>
      <w:r>
        <w:t xml:space="preserve">Data is classified restricted or highly confidential.</w:t>
      </w:r>
    </w:p>
    <w:p>
      <w:pPr>
        <w:pStyle w:val="Compact"/>
        <w:numPr>
          <w:ilvl w:val="0"/>
          <w:numId w:val="1028"/>
        </w:numPr>
      </w:pPr>
      <w:r>
        <w:t xml:space="preserve">Cryptographic separation by legal entity or jurisdiction is required.</w:t>
      </w:r>
    </w:p>
    <w:p>
      <w:pPr>
        <w:pStyle w:val="Compact"/>
        <w:numPr>
          <w:ilvl w:val="0"/>
          <w:numId w:val="1028"/>
        </w:numPr>
      </w:pPr>
      <w:r>
        <w:t xml:space="preserve">Key disablement is an approved containment control.</w:t>
      </w:r>
    </w:p>
    <w:p>
      <w:pPr>
        <w:pStyle w:val="Compact"/>
        <w:numPr>
          <w:ilvl w:val="0"/>
          <w:numId w:val="1028"/>
        </w:numPr>
      </w:pPr>
      <w:r>
        <w:t xml:space="preserve">External assurance requires explicit key lifecycle evidence.</w:t>
      </w:r>
    </w:p>
    <w:p>
      <w:pPr>
        <w:pStyle w:val="FirstParagraph"/>
      </w:pPr>
      <w:r>
        <w:t xml:space="preserve">Do not use CMEK mechanically without planning key availability, service-agent permissions, regional compatibility, rotation, recovery and incident response. A disabled or inaccessible key can make protected data unavailable.</w:t>
      </w:r>
    </w:p>
    <w:bookmarkEnd w:id="137"/>
    <w:bookmarkStart w:id="138" w:name="separation-of-duties"/>
    <w:p>
      <w:pPr>
        <w:pStyle w:val="Heading3"/>
        <w:keepNext/>
        <w:pageBreakBefore w:val="0"/>
      </w:pPr>
      <w:r>
        <w:t xml:space="preserve">Separation of duties</w:t>
      </w:r>
    </w:p>
    <w:p>
      <w:pPr>
        <w:pStyle w:val="Compact"/>
        <w:numPr>
          <w:ilvl w:val="0"/>
          <w:numId w:val="1029"/>
        </w:numPr>
      </w:pPr>
      <w:r>
        <w:t xml:space="preserve">Key administrators cannot read protected data solely through key administration.</w:t>
      </w:r>
    </w:p>
    <w:p>
      <w:pPr>
        <w:pStyle w:val="Compact"/>
        <w:numPr>
          <w:ilvl w:val="0"/>
          <w:numId w:val="1029"/>
        </w:numPr>
      </w:pPr>
      <w:r>
        <w:t xml:space="preserve">Data administrators cannot change key policy.</w:t>
      </w:r>
    </w:p>
    <w:p>
      <w:pPr>
        <w:pStyle w:val="Compact"/>
        <w:numPr>
          <w:ilvl w:val="0"/>
          <w:numId w:val="1029"/>
        </w:numPr>
      </w:pPr>
      <w:r>
        <w:t xml:space="preserve">Service agents receive only cryptographic use permissions.</w:t>
      </w:r>
    </w:p>
    <w:p>
      <w:pPr>
        <w:pStyle w:val="Compact"/>
        <w:numPr>
          <w:ilvl w:val="0"/>
          <w:numId w:val="1029"/>
        </w:numPr>
      </w:pPr>
      <w:r>
        <w:t xml:space="preserve">Key destruction requires multiple approvals and retention validation.</w:t>
      </w:r>
    </w:p>
    <w:p>
      <w:pPr>
        <w:pStyle w:val="Compact"/>
        <w:numPr>
          <w:ilvl w:val="0"/>
          <w:numId w:val="1029"/>
        </w:numPr>
      </w:pPr>
      <w:r>
        <w:t xml:space="preserve">Key access and policy changes are centrally logged and alerted.</w:t>
      </w:r>
    </w:p>
    <w:bookmarkEnd w:id="138"/>
    <w:bookmarkEnd w:id="139"/>
    <w:bookmarkEnd w:id="140"/>
    <w:bookmarkStart w:id="149" w:name="X007d6b7235c0e02aa83e2b053cb43e6b8a072b6"/>
    <w:p>
      <w:pPr>
        <w:pStyle w:val="Heading1"/>
        <w:keepNext/>
        <w:pageBreakBefore w:val="0"/>
      </w:pPr>
      <w:r>
        <w:t xml:space="preserve">7. Audit, Monitoring, Logging and Security Operations</w:t>
      </w:r>
    </w:p>
    <w:bookmarkStart w:id="143" w:name="audit-logging"/>
    <w:p>
      <w:pPr>
        <w:pStyle w:val="Heading2"/>
        <w:keepNext/>
        <w:pageBreakBefore w:val="0"/>
      </w:pPr>
      <w:r>
        <w:t xml:space="preserve">7.1 Audit logging</w:t>
      </w:r>
    </w:p>
    <w:p>
      <w:pPr>
        <w:pStyle w:val="FirstParagraph"/>
      </w:pPr>
      <w:r>
        <w:t xml:space="preserve">Cloud Audit Logs are aggregated from organization, folder, project and billing scopes as applicable. Admin Activity and System Event logs are retained according to security policy. Data Access logging is enabled based on risk, service capability, volume and regulatory need.</w:t>
      </w:r>
    </w:p>
    <w:bookmarkStart w:id="141" w:name="log-classes"/>
    <w:p>
      <w:pPr>
        <w:pStyle w:val="Heading3"/>
        <w:keepNext/>
        <w:pageBreakBefore w:val="0"/>
      </w:pPr>
      <w:r>
        <w:t xml:space="preserve">Log classes</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Log class</w:t>
            </w:r>
          </w:p>
        </w:tc>
        <w:tc>
          <w:tcPr>
            <w:vAlign w:val="center"/>
            <w:tcMar>
              <w:top w:w="70" w:type="dxa"/>
              <w:left w:w="85" w:type="dxa"/>
              <w:bottom w:w="70" w:type="dxa"/>
              <w:right w:w="85" w:type="dxa"/>
            </w:tcMar>
          </w:tcPr>
          <w:p>
            <w:pPr>
              <w:spacing w:after="30" w:before="0"/>
              <w:jc w:val="left"/>
            </w:pPr>
            <w:r>
              <w:rPr>
                <w:rFonts w:ascii="Arial" w:hAnsi="Arial"/>
                <w:b/>
                <w:sz w:val="16"/>
              </w:rPr>
              <w:t xml:space="preserve">Purpose</w:t>
            </w:r>
          </w:p>
        </w:tc>
        <w:tc>
          <w:tcPr>
            <w:vAlign w:val="center"/>
            <w:tcMar>
              <w:top w:w="70" w:type="dxa"/>
              <w:left w:w="85" w:type="dxa"/>
              <w:bottom w:w="70" w:type="dxa"/>
              <w:right w:w="85" w:type="dxa"/>
            </w:tcMar>
          </w:tcPr>
          <w:p>
            <w:pPr>
              <w:spacing w:after="30" w:before="0"/>
              <w:jc w:val="left"/>
            </w:pPr>
            <w:r>
              <w:rPr>
                <w:rFonts w:ascii="Arial" w:hAnsi="Arial"/>
                <w:b/>
                <w:sz w:val="16"/>
              </w:rPr>
              <w:t xml:space="preserve">Retention guidance</w:t>
            </w:r>
          </w:p>
        </w:tc>
        <w:tc>
          <w:tcPr>
            <w:vAlign w:val="center"/>
            <w:tcMar>
              <w:top w:w="70" w:type="dxa"/>
              <w:left w:w="85" w:type="dxa"/>
              <w:bottom w:w="70" w:type="dxa"/>
              <w:right w:w="85" w:type="dxa"/>
            </w:tcMar>
          </w:tcPr>
          <w:p>
            <w:pPr>
              <w:spacing w:after="30" w:before="0"/>
              <w:jc w:val="left"/>
            </w:pPr>
            <w:r>
              <w:rPr>
                <w:rFonts w:ascii="Arial" w:hAnsi="Arial"/>
                <w:b/>
                <w:sz w:val="16"/>
              </w:rPr>
              <w:t xml:space="preserve">Primary consumers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Admin Activity</w:t>
            </w:r>
          </w:p>
        </w:tc>
        <w:tc>
          <w:tcPr>
            <w:vAlign w:val="center"/>
            <w:tcMar>
              <w:top w:w="70" w:type="dxa"/>
              <w:left w:w="85" w:type="dxa"/>
              <w:bottom w:w="70" w:type="dxa"/>
              <w:right w:w="85" w:type="dxa"/>
            </w:tcMar>
          </w:tcPr>
          <w:p>
            <w:pPr>
              <w:spacing w:after="30" w:before="0"/>
              <w:jc w:val="left"/>
            </w:pPr>
            <w:r>
              <w:rPr>
                <w:rFonts w:ascii="Arial" w:hAnsi="Arial"/>
                <w:sz w:val="16"/>
              </w:rPr>
              <w:t xml:space="preserve">Configuration and policy changes</w:t>
            </w:r>
          </w:p>
        </w:tc>
        <w:tc>
          <w:tcPr>
            <w:vAlign w:val="center"/>
            <w:tcMar>
              <w:top w:w="70" w:type="dxa"/>
              <w:left w:w="85" w:type="dxa"/>
              <w:bottom w:w="70" w:type="dxa"/>
              <w:right w:w="85" w:type="dxa"/>
            </w:tcMar>
          </w:tcPr>
          <w:p>
            <w:pPr>
              <w:spacing w:after="30" w:before="0"/>
              <w:jc w:val="left"/>
            </w:pPr>
            <w:r>
              <w:rPr>
                <w:rFonts w:ascii="Arial" w:hAnsi="Arial"/>
                <w:sz w:val="16"/>
              </w:rPr>
              <w:t xml:space="preserve">Long-term security retention</w:t>
            </w:r>
          </w:p>
        </w:tc>
        <w:tc>
          <w:tcPr>
            <w:vAlign w:val="center"/>
            <w:tcMar>
              <w:top w:w="70" w:type="dxa"/>
              <w:left w:w="85" w:type="dxa"/>
              <w:bottom w:w="70" w:type="dxa"/>
              <w:right w:w="85" w:type="dxa"/>
            </w:tcMar>
          </w:tcPr>
          <w:p>
            <w:pPr>
              <w:spacing w:after="30" w:before="0"/>
              <w:jc w:val="left"/>
            </w:pPr>
            <w:r>
              <w:rPr>
                <w:rFonts w:ascii="Arial" w:hAnsi="Arial"/>
                <w:sz w:val="16"/>
              </w:rPr>
              <w:t xml:space="preserve">Security, audit and platform</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Data Access</w:t>
            </w:r>
          </w:p>
        </w:tc>
        <w:tc>
          <w:tcPr>
            <w:vAlign w:val="center"/>
            <w:tcMar>
              <w:top w:w="70" w:type="dxa"/>
              <w:left w:w="85" w:type="dxa"/>
              <w:bottom w:w="70" w:type="dxa"/>
              <w:right w:w="85" w:type="dxa"/>
            </w:tcMar>
          </w:tcPr>
          <w:p>
            <w:pPr>
              <w:spacing w:after="30" w:before="0"/>
              <w:jc w:val="left"/>
            </w:pPr>
            <w:r>
              <w:rPr>
                <w:rFonts w:ascii="Arial" w:hAnsi="Arial"/>
                <w:sz w:val="16"/>
              </w:rPr>
              <w:t xml:space="preserve">Reads and writes to protected data</w:t>
            </w:r>
          </w:p>
        </w:tc>
        <w:tc>
          <w:tcPr>
            <w:vAlign w:val="center"/>
            <w:tcMar>
              <w:top w:w="70" w:type="dxa"/>
              <w:left w:w="85" w:type="dxa"/>
              <w:bottom w:w="70" w:type="dxa"/>
              <w:right w:w="85" w:type="dxa"/>
            </w:tcMar>
          </w:tcPr>
          <w:p>
            <w:pPr>
              <w:spacing w:after="30" w:before="0"/>
              <w:jc w:val="left"/>
            </w:pPr>
            <w:r>
              <w:rPr>
                <w:rFonts w:ascii="Arial" w:hAnsi="Arial"/>
                <w:sz w:val="16"/>
              </w:rPr>
              <w:t xml:space="preserve">Classification-based</w:t>
            </w:r>
          </w:p>
        </w:tc>
        <w:tc>
          <w:tcPr>
            <w:vAlign w:val="center"/>
            <w:tcMar>
              <w:top w:w="70" w:type="dxa"/>
              <w:left w:w="85" w:type="dxa"/>
              <w:bottom w:w="70" w:type="dxa"/>
              <w:right w:w="85" w:type="dxa"/>
            </w:tcMar>
          </w:tcPr>
          <w:p>
            <w:pPr>
              <w:spacing w:after="30" w:before="0"/>
              <w:jc w:val="left"/>
            </w:pPr>
            <w:r>
              <w:rPr>
                <w:rFonts w:ascii="Arial" w:hAnsi="Arial"/>
                <w:sz w:val="16"/>
              </w:rPr>
              <w:t xml:space="preserve">Security, privacy and data governance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System Event</w:t>
            </w:r>
          </w:p>
        </w:tc>
        <w:tc>
          <w:tcPr>
            <w:vAlign w:val="center"/>
            <w:tcMar>
              <w:top w:w="70" w:type="dxa"/>
              <w:left w:w="85" w:type="dxa"/>
              <w:bottom w:w="70" w:type="dxa"/>
              <w:right w:w="85" w:type="dxa"/>
            </w:tcMar>
          </w:tcPr>
          <w:p>
            <w:pPr>
              <w:spacing w:after="30" w:before="0"/>
              <w:jc w:val="left"/>
            </w:pPr>
            <w:r>
              <w:rPr>
                <w:rFonts w:ascii="Arial" w:hAnsi="Arial"/>
                <w:sz w:val="16"/>
              </w:rPr>
              <w:t xml:space="preserve">Google system administrative actions</w:t>
            </w:r>
          </w:p>
        </w:tc>
        <w:tc>
          <w:tcPr>
            <w:vAlign w:val="center"/>
            <w:tcMar>
              <w:top w:w="70" w:type="dxa"/>
              <w:left w:w="85" w:type="dxa"/>
              <w:bottom w:w="70" w:type="dxa"/>
              <w:right w:w="85" w:type="dxa"/>
            </w:tcMar>
          </w:tcPr>
          <w:p>
            <w:pPr>
              <w:spacing w:after="30" w:before="0"/>
              <w:jc w:val="left"/>
            </w:pPr>
            <w:r>
              <w:rPr>
                <w:rFonts w:ascii="Arial" w:hAnsi="Arial"/>
                <w:sz w:val="16"/>
              </w:rPr>
              <w:t xml:space="preserve">Operational and audit retention</w:t>
            </w:r>
          </w:p>
        </w:tc>
        <w:tc>
          <w:tcPr>
            <w:vAlign w:val="center"/>
            <w:tcMar>
              <w:top w:w="70" w:type="dxa"/>
              <w:left w:w="85" w:type="dxa"/>
              <w:bottom w:w="70" w:type="dxa"/>
              <w:right w:w="85" w:type="dxa"/>
            </w:tcMar>
          </w:tcPr>
          <w:p>
            <w:pPr>
              <w:spacing w:after="30" w:before="0"/>
              <w:jc w:val="left"/>
            </w:pPr>
            <w:r>
              <w:rPr>
                <w:rFonts w:ascii="Arial" w:hAnsi="Arial"/>
                <w:sz w:val="16"/>
              </w:rPr>
              <w:t xml:space="preserve">SRE and audit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Policy Denied</w:t>
            </w:r>
          </w:p>
        </w:tc>
        <w:tc>
          <w:tcPr>
            <w:vAlign w:val="center"/>
            <w:tcMar>
              <w:top w:w="70" w:type="dxa"/>
              <w:left w:w="85" w:type="dxa"/>
              <w:bottom w:w="70" w:type="dxa"/>
              <w:right w:w="85" w:type="dxa"/>
            </w:tcMar>
          </w:tcPr>
          <w:p>
            <w:pPr>
              <w:spacing w:after="30" w:before="0"/>
              <w:jc w:val="left"/>
            </w:pPr>
            <w:r>
              <w:rPr>
                <w:rFonts w:ascii="Arial" w:hAnsi="Arial"/>
                <w:sz w:val="16"/>
              </w:rPr>
              <w:t xml:space="preserve">Authorization failures</w:t>
            </w:r>
          </w:p>
        </w:tc>
        <w:tc>
          <w:tcPr>
            <w:vAlign w:val="center"/>
            <w:tcMar>
              <w:top w:w="70" w:type="dxa"/>
              <w:left w:w="85" w:type="dxa"/>
              <w:bottom w:w="70" w:type="dxa"/>
              <w:right w:w="85" w:type="dxa"/>
            </w:tcMar>
          </w:tcPr>
          <w:p>
            <w:pPr>
              <w:spacing w:after="30" w:before="0"/>
              <w:jc w:val="left"/>
            </w:pPr>
            <w:r>
              <w:rPr>
                <w:rFonts w:ascii="Arial" w:hAnsi="Arial"/>
                <w:sz w:val="16"/>
              </w:rPr>
              <w:t xml:space="preserve">Security retention</w:t>
            </w:r>
          </w:p>
        </w:tc>
        <w:tc>
          <w:tcPr>
            <w:vAlign w:val="center"/>
            <w:tcMar>
              <w:top w:w="70" w:type="dxa"/>
              <w:left w:w="85" w:type="dxa"/>
              <w:bottom w:w="70" w:type="dxa"/>
              <w:right w:w="85" w:type="dxa"/>
            </w:tcMar>
          </w:tcPr>
          <w:p>
            <w:pPr>
              <w:spacing w:after="30" w:before="0"/>
              <w:jc w:val="left"/>
            </w:pPr>
            <w:r>
              <w:rPr>
                <w:rFonts w:ascii="Arial" w:hAnsi="Arial"/>
                <w:sz w:val="16"/>
              </w:rPr>
              <w:t xml:space="preserve">Security operations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VPC Flow Logs</w:t>
            </w:r>
          </w:p>
        </w:tc>
        <w:tc>
          <w:tcPr>
            <w:vAlign w:val="center"/>
            <w:tcMar>
              <w:top w:w="70" w:type="dxa"/>
              <w:left w:w="85" w:type="dxa"/>
              <w:bottom w:w="70" w:type="dxa"/>
              <w:right w:w="85" w:type="dxa"/>
            </w:tcMar>
          </w:tcPr>
          <w:p>
            <w:pPr>
              <w:spacing w:after="30" w:before="0"/>
              <w:jc w:val="left"/>
            </w:pPr>
            <w:r>
              <w:rPr>
                <w:rFonts w:ascii="Arial" w:hAnsi="Arial"/>
                <w:sz w:val="16"/>
              </w:rPr>
              <w:t xml:space="preserve">Network flow evidence</w:t>
            </w:r>
          </w:p>
        </w:tc>
        <w:tc>
          <w:tcPr>
            <w:vAlign w:val="center"/>
            <w:tcMar>
              <w:top w:w="70" w:type="dxa"/>
              <w:left w:w="85" w:type="dxa"/>
              <w:bottom w:w="70" w:type="dxa"/>
              <w:right w:w="85" w:type="dxa"/>
            </w:tcMar>
          </w:tcPr>
          <w:p>
            <w:pPr>
              <w:spacing w:after="30" w:before="0"/>
              <w:jc w:val="left"/>
            </w:pPr>
            <w:r>
              <w:rPr>
                <w:rFonts w:ascii="Arial" w:hAnsi="Arial"/>
                <w:sz w:val="16"/>
              </w:rPr>
              <w:t xml:space="preserve">Risk and cost based</w:t>
            </w:r>
          </w:p>
        </w:tc>
        <w:tc>
          <w:tcPr>
            <w:vAlign w:val="center"/>
            <w:tcMar>
              <w:top w:w="70" w:type="dxa"/>
              <w:left w:w="85" w:type="dxa"/>
              <w:bottom w:w="70" w:type="dxa"/>
              <w:right w:w="85" w:type="dxa"/>
            </w:tcMar>
          </w:tcPr>
          <w:p>
            <w:pPr>
              <w:spacing w:after="30" w:before="0"/>
              <w:jc w:val="left"/>
            </w:pPr>
            <w:r>
              <w:rPr>
                <w:rFonts w:ascii="Arial" w:hAnsi="Arial"/>
                <w:sz w:val="16"/>
              </w:rPr>
              <w:t xml:space="preserve">Network and security operations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DNS logs</w:t>
            </w:r>
          </w:p>
        </w:tc>
        <w:tc>
          <w:tcPr>
            <w:vAlign w:val="center"/>
            <w:tcMar>
              <w:top w:w="70" w:type="dxa"/>
              <w:left w:w="85" w:type="dxa"/>
              <w:bottom w:w="70" w:type="dxa"/>
              <w:right w:w="85" w:type="dxa"/>
            </w:tcMar>
          </w:tcPr>
          <w:p>
            <w:pPr>
              <w:spacing w:after="30" w:before="0"/>
              <w:jc w:val="left"/>
            </w:pPr>
            <w:r>
              <w:rPr>
                <w:rFonts w:ascii="Arial" w:hAnsi="Arial"/>
                <w:sz w:val="16"/>
              </w:rPr>
              <w:t xml:space="preserve">Name-resolution evidence</w:t>
            </w:r>
          </w:p>
        </w:tc>
        <w:tc>
          <w:tcPr>
            <w:vAlign w:val="center"/>
            <w:tcMar>
              <w:top w:w="70" w:type="dxa"/>
              <w:left w:w="85" w:type="dxa"/>
              <w:bottom w:w="70" w:type="dxa"/>
              <w:right w:w="85" w:type="dxa"/>
            </w:tcMar>
          </w:tcPr>
          <w:p>
            <w:pPr>
              <w:spacing w:after="30" w:before="0"/>
              <w:jc w:val="left"/>
            </w:pPr>
            <w:r>
              <w:rPr>
                <w:rFonts w:ascii="Arial" w:hAnsi="Arial"/>
                <w:sz w:val="16"/>
              </w:rPr>
              <w:t xml:space="preserve">High-value networks</w:t>
            </w:r>
          </w:p>
        </w:tc>
        <w:tc>
          <w:tcPr>
            <w:vAlign w:val="center"/>
            <w:tcMar>
              <w:top w:w="70" w:type="dxa"/>
              <w:left w:w="85" w:type="dxa"/>
              <w:bottom w:w="70" w:type="dxa"/>
              <w:right w:w="85" w:type="dxa"/>
            </w:tcMar>
          </w:tcPr>
          <w:p>
            <w:pPr>
              <w:spacing w:after="30" w:before="0"/>
              <w:jc w:val="left"/>
            </w:pPr>
            <w:r>
              <w:rPr>
                <w:rFonts w:ascii="Arial" w:hAnsi="Arial"/>
                <w:sz w:val="16"/>
              </w:rPr>
              <w:t xml:space="preserve">Security and network operations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Firewall logs</w:t>
            </w:r>
          </w:p>
        </w:tc>
        <w:tc>
          <w:tcPr>
            <w:vAlign w:val="center"/>
            <w:tcMar>
              <w:top w:w="70" w:type="dxa"/>
              <w:left w:w="85" w:type="dxa"/>
              <w:bottom w:w="70" w:type="dxa"/>
              <w:right w:w="85" w:type="dxa"/>
            </w:tcMar>
          </w:tcPr>
          <w:p>
            <w:pPr>
              <w:spacing w:after="30" w:before="0"/>
              <w:jc w:val="left"/>
            </w:pPr>
            <w:r>
              <w:rPr>
                <w:rFonts w:ascii="Arial" w:hAnsi="Arial"/>
                <w:sz w:val="16"/>
              </w:rPr>
              <w:t xml:space="preserve">Rule decisions</w:t>
            </w:r>
          </w:p>
        </w:tc>
        <w:tc>
          <w:tcPr>
            <w:vAlign w:val="center"/>
            <w:tcMar>
              <w:top w:w="70" w:type="dxa"/>
              <w:left w:w="85" w:type="dxa"/>
              <w:bottom w:w="70" w:type="dxa"/>
              <w:right w:w="85" w:type="dxa"/>
            </w:tcMar>
          </w:tcPr>
          <w:p>
            <w:pPr>
              <w:spacing w:after="30" w:before="0"/>
              <w:jc w:val="left"/>
            </w:pPr>
            <w:r>
              <w:rPr>
                <w:rFonts w:ascii="Arial" w:hAnsi="Arial"/>
                <w:sz w:val="16"/>
              </w:rPr>
              <w:t xml:space="preserve">High-risk allow/deny rules</w:t>
            </w:r>
          </w:p>
        </w:tc>
        <w:tc>
          <w:tcPr>
            <w:vAlign w:val="center"/>
            <w:tcMar>
              <w:top w:w="70" w:type="dxa"/>
              <w:left w:w="85" w:type="dxa"/>
              <w:bottom w:w="70" w:type="dxa"/>
              <w:right w:w="85" w:type="dxa"/>
            </w:tcMar>
          </w:tcPr>
          <w:p>
            <w:pPr>
              <w:spacing w:after="30" w:before="0"/>
              <w:jc w:val="left"/>
            </w:pPr>
            <w:r>
              <w:rPr>
                <w:rFonts w:ascii="Arial" w:hAnsi="Arial"/>
                <w:sz w:val="16"/>
              </w:rPr>
              <w:t xml:space="preserve">Security and network operations</w:t>
            </w:r>
          </w:p>
        </w:tc>
      </w:tr>
    </w:tbl>
    <w:bookmarkEnd w:id="141"/>
    <w:bookmarkStart w:id="142" w:name="logging-architecture"/>
    <w:p>
      <w:pPr>
        <w:pStyle w:val="Heading3"/>
        <w:keepNext/>
        <w:pageBreakBefore w:val="0"/>
      </w:pPr>
      <w:r>
        <w:t xml:space="preserve">Logging architecture</w:t>
      </w:r>
    </w:p>
    <w:p>
      <w:pPr>
        <w:pStyle w:val="Compact"/>
        <w:numPr>
          <w:ilvl w:val="0"/>
          <w:numId w:val="1030"/>
        </w:numPr>
      </w:pPr>
      <w:r>
        <w:t xml:space="preserve">Organization-level aggregated sinks route logs to centralized logging projects.</w:t>
      </w:r>
    </w:p>
    <w:p>
      <w:pPr>
        <w:pStyle w:val="Compact"/>
        <w:numPr>
          <w:ilvl w:val="0"/>
          <w:numId w:val="1030"/>
        </w:numPr>
      </w:pPr>
      <w:r>
        <w:t xml:space="preserve">Security logs are stored in protected log buckets with restricted writer and reader roles.</w:t>
      </w:r>
    </w:p>
    <w:p>
      <w:pPr>
        <w:pStyle w:val="Compact"/>
        <w:numPr>
          <w:ilvl w:val="0"/>
          <w:numId w:val="1030"/>
        </w:numPr>
      </w:pPr>
      <w:r>
        <w:t xml:space="preserve">Operational logs remain accessible to workload teams through log views or scopes without exposing unrelated domains.</w:t>
      </w:r>
    </w:p>
    <w:p>
      <w:pPr>
        <w:pStyle w:val="Compact"/>
        <w:numPr>
          <w:ilvl w:val="0"/>
          <w:numId w:val="1030"/>
        </w:numPr>
      </w:pPr>
      <w:r>
        <w:t xml:space="preserve">High-volume logs use exclusions only after security and operations review.</w:t>
      </w:r>
    </w:p>
    <w:p>
      <w:pPr>
        <w:pStyle w:val="Compact"/>
        <w:numPr>
          <w:ilvl w:val="0"/>
          <w:numId w:val="1030"/>
        </w:numPr>
      </w:pPr>
      <w:r>
        <w:t xml:space="preserve">Long-term archives use locked retention where legal and forensic requirements justify it.</w:t>
      </w:r>
    </w:p>
    <w:p>
      <w:pPr>
        <w:pStyle w:val="Compact"/>
        <w:numPr>
          <w:ilvl w:val="0"/>
          <w:numId w:val="1030"/>
        </w:numPr>
      </w:pPr>
      <w:r>
        <w:t xml:space="preserve">Log routing failures and sink-writer permissions are monitored.</w:t>
      </w:r>
    </w:p>
    <w:bookmarkEnd w:id="142"/>
    <w:bookmarkEnd w:id="143"/>
    <w:bookmarkStart w:id="145" w:name="centralized-monitoring"/>
    <w:p>
      <w:pPr>
        <w:pStyle w:val="Heading2"/>
        <w:keepNext/>
        <w:pageBreakBefore w:val="0"/>
      </w:pPr>
      <w:r>
        <w:t xml:space="preserve">7.2 Centralized monitoring</w:t>
      </w:r>
    </w:p>
    <w:p>
      <w:pPr>
        <w:pStyle w:val="FirstParagraph"/>
      </w:pPr>
      <w:r>
        <w:t xml:space="preserve">Monitoring uses metrics scopes, dashboards, alert policies and SLOs across shared services and workload projects. The landing zone provides standard dashboards and alert modules rather than forcing teams to build from scratch.</w:t>
      </w:r>
    </w:p>
    <w:bookmarkStart w:id="144" w:name="foundation-slos"/>
    <w:p>
      <w:pPr>
        <w:pStyle w:val="Heading3"/>
        <w:keepNext/>
        <w:pageBreakBefore w:val="0"/>
      </w:pPr>
      <w:r>
        <w:t xml:space="preserve">Foundation SLOs</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Service objective</w:t>
            </w:r>
          </w:p>
        </w:tc>
        <w:tc>
          <w:tcPr>
            <w:vAlign w:val="center"/>
            <w:tcMar>
              <w:top w:w="70" w:type="dxa"/>
              <w:left w:w="85" w:type="dxa"/>
              <w:bottom w:w="70" w:type="dxa"/>
              <w:right w:w="85" w:type="dxa"/>
            </w:tcMar>
          </w:tcPr>
          <w:p>
            <w:pPr>
              <w:spacing w:after="30" w:before="0"/>
              <w:jc w:val="left"/>
            </w:pPr>
            <w:r>
              <w:rPr>
                <w:rFonts w:ascii="Arial" w:hAnsi="Arial"/>
                <w:b/>
                <w:sz w:val="16"/>
              </w:rPr>
              <w:t xml:space="preserve">Example SLI</w:t>
            </w:r>
          </w:p>
        </w:tc>
        <w:tc>
          <w:tcPr>
            <w:vAlign w:val="center"/>
            <w:tcMar>
              <w:top w:w="70" w:type="dxa"/>
              <w:left w:w="85" w:type="dxa"/>
              <w:bottom w:w="70" w:type="dxa"/>
              <w:right w:w="85" w:type="dxa"/>
            </w:tcMar>
          </w:tcPr>
          <w:p>
            <w:pPr>
              <w:spacing w:after="30" w:before="0"/>
              <w:jc w:val="left"/>
            </w:pPr>
            <w:r>
              <w:rPr>
                <w:rFonts w:ascii="Arial" w:hAnsi="Arial"/>
                <w:b/>
                <w:sz w:val="16"/>
              </w:rPr>
              <w:t xml:space="preserve">Target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Hybrid connectivity availability</w:t>
            </w:r>
          </w:p>
        </w:tc>
        <w:tc>
          <w:tcPr>
            <w:vAlign w:val="center"/>
            <w:tcMar>
              <w:top w:w="70" w:type="dxa"/>
              <w:left w:w="85" w:type="dxa"/>
              <w:bottom w:w="70" w:type="dxa"/>
              <w:right w:w="85" w:type="dxa"/>
            </w:tcMar>
          </w:tcPr>
          <w:p>
            <w:pPr>
              <w:spacing w:after="30" w:before="0"/>
              <w:jc w:val="left"/>
            </w:pPr>
            <w:r>
              <w:rPr>
                <w:rFonts w:ascii="Arial" w:hAnsi="Arial"/>
                <w:sz w:val="16"/>
              </w:rPr>
              <w:t xml:space="preserve">Healthy redundant attachment minutes / total minutes</w:t>
            </w:r>
          </w:p>
        </w:tc>
        <w:tc>
          <w:tcPr>
            <w:vAlign w:val="center"/>
            <w:tcMar>
              <w:top w:w="70" w:type="dxa"/>
              <w:left w:w="85" w:type="dxa"/>
              <w:bottom w:w="70" w:type="dxa"/>
              <w:right w:w="85" w:type="dxa"/>
            </w:tcMar>
          </w:tcPr>
          <w:p>
            <w:pPr>
              <w:spacing w:after="30" w:before="0"/>
              <w:jc w:val="left"/>
            </w:pPr>
            <w:r>
              <w:rPr>
                <w:rFonts w:ascii="Arial" w:hAnsi="Arial"/>
                <w:sz w:val="16"/>
              </w:rPr>
              <w:t xml:space="preserve">99.99% for Tier 0 paths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DNS resolution</w:t>
            </w:r>
          </w:p>
        </w:tc>
        <w:tc>
          <w:tcPr>
            <w:vAlign w:val="center"/>
            <w:tcMar>
              <w:top w:w="70" w:type="dxa"/>
              <w:left w:w="85" w:type="dxa"/>
              <w:bottom w:w="70" w:type="dxa"/>
              <w:right w:w="85" w:type="dxa"/>
            </w:tcMar>
          </w:tcPr>
          <w:p>
            <w:pPr>
              <w:spacing w:after="30" w:before="0"/>
              <w:jc w:val="left"/>
            </w:pPr>
            <w:r>
              <w:rPr>
                <w:rFonts w:ascii="Arial" w:hAnsi="Arial"/>
                <w:sz w:val="16"/>
              </w:rPr>
              <w:t xml:space="preserve">Successful enterprise DNS queries / total</w:t>
            </w:r>
          </w:p>
        </w:tc>
        <w:tc>
          <w:tcPr>
            <w:vAlign w:val="center"/>
            <w:tcMar>
              <w:top w:w="70" w:type="dxa"/>
              <w:left w:w="85" w:type="dxa"/>
              <w:bottom w:w="70" w:type="dxa"/>
              <w:right w:w="85" w:type="dxa"/>
            </w:tcMar>
          </w:tcPr>
          <w:p>
            <w:pPr>
              <w:spacing w:after="30" w:before="0"/>
              <w:jc w:val="left"/>
            </w:pPr>
            <w:r>
              <w:rPr>
                <w:rFonts w:ascii="Arial" w:hAnsi="Arial"/>
                <w:sz w:val="16"/>
              </w:rPr>
              <w:t xml:space="preserve">99.99%</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Project factory lead time</w:t>
            </w:r>
          </w:p>
        </w:tc>
        <w:tc>
          <w:tcPr>
            <w:vAlign w:val="center"/>
            <w:tcMar>
              <w:top w:w="70" w:type="dxa"/>
              <w:left w:w="85" w:type="dxa"/>
              <w:bottom w:w="70" w:type="dxa"/>
              <w:right w:w="85" w:type="dxa"/>
            </w:tcMar>
          </w:tcPr>
          <w:p>
            <w:pPr>
              <w:spacing w:after="30" w:before="0"/>
              <w:jc w:val="left"/>
            </w:pPr>
            <w:r>
              <w:rPr>
                <w:rFonts w:ascii="Arial" w:hAnsi="Arial"/>
                <w:sz w:val="16"/>
              </w:rPr>
              <w:t xml:space="preserve">Requests completed within target</w:t>
            </w:r>
          </w:p>
        </w:tc>
        <w:tc>
          <w:tcPr>
            <w:vAlign w:val="center"/>
            <w:tcMar>
              <w:top w:w="70" w:type="dxa"/>
              <w:left w:w="85" w:type="dxa"/>
              <w:bottom w:w="70" w:type="dxa"/>
              <w:right w:w="85" w:type="dxa"/>
            </w:tcMar>
          </w:tcPr>
          <w:p>
            <w:pPr>
              <w:spacing w:after="30" w:before="0"/>
              <w:jc w:val="left"/>
            </w:pPr>
            <w:r>
              <w:rPr>
                <w:rFonts w:ascii="Arial" w:hAnsi="Arial"/>
                <w:sz w:val="16"/>
              </w:rPr>
              <w:t xml:space="preserve">95% within 1 business day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Logging completeness</w:t>
            </w:r>
          </w:p>
        </w:tc>
        <w:tc>
          <w:tcPr>
            <w:vAlign w:val="center"/>
            <w:tcMar>
              <w:top w:w="70" w:type="dxa"/>
              <w:left w:w="85" w:type="dxa"/>
              <w:bottom w:w="70" w:type="dxa"/>
              <w:right w:w="85" w:type="dxa"/>
            </w:tcMar>
          </w:tcPr>
          <w:p>
            <w:pPr>
              <w:spacing w:after="30" w:before="0"/>
              <w:jc w:val="left"/>
            </w:pPr>
            <w:r>
              <w:rPr>
                <w:rFonts w:ascii="Arial" w:hAnsi="Arial"/>
                <w:sz w:val="16"/>
              </w:rPr>
              <w:t xml:space="preserve">Expected projects delivering required logs</w:t>
            </w:r>
          </w:p>
        </w:tc>
        <w:tc>
          <w:tcPr>
            <w:vAlign w:val="center"/>
            <w:tcMar>
              <w:top w:w="70" w:type="dxa"/>
              <w:left w:w="85" w:type="dxa"/>
              <w:bottom w:w="70" w:type="dxa"/>
              <w:right w:w="85" w:type="dxa"/>
            </w:tcMar>
          </w:tcPr>
          <w:p>
            <w:pPr>
              <w:spacing w:after="30" w:before="0"/>
              <w:jc w:val="left"/>
            </w:pPr>
            <w:r>
              <w:rPr>
                <w:rFonts w:ascii="Arial" w:hAnsi="Arial"/>
                <w:sz w:val="16"/>
              </w:rPr>
              <w:t xml:space="preserve">100%</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Security finding response</w:t>
            </w:r>
          </w:p>
        </w:tc>
        <w:tc>
          <w:tcPr>
            <w:vAlign w:val="center"/>
            <w:tcMar>
              <w:top w:w="70" w:type="dxa"/>
              <w:left w:w="85" w:type="dxa"/>
              <w:bottom w:w="70" w:type="dxa"/>
              <w:right w:w="85" w:type="dxa"/>
            </w:tcMar>
          </w:tcPr>
          <w:p>
            <w:pPr>
              <w:spacing w:after="30" w:before="0"/>
              <w:jc w:val="left"/>
            </w:pPr>
            <w:r>
              <w:rPr>
                <w:rFonts w:ascii="Arial" w:hAnsi="Arial"/>
                <w:sz w:val="16"/>
              </w:rPr>
              <w:t xml:space="preserve">Critical findings acknowledged within target</w:t>
            </w:r>
          </w:p>
        </w:tc>
        <w:tc>
          <w:tcPr>
            <w:vAlign w:val="center"/>
            <w:tcMar>
              <w:top w:w="70" w:type="dxa"/>
              <w:left w:w="85" w:type="dxa"/>
              <w:bottom w:w="70" w:type="dxa"/>
              <w:right w:w="85" w:type="dxa"/>
            </w:tcMar>
          </w:tcPr>
          <w:p>
            <w:pPr>
              <w:spacing w:after="30" w:before="0"/>
              <w:jc w:val="left"/>
            </w:pPr>
            <w:r>
              <w:rPr>
                <w:rFonts w:ascii="Arial" w:hAnsi="Arial"/>
                <w:sz w:val="16"/>
              </w:rPr>
              <w:t xml:space="preserve">95% within 15 minutes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IAM review completion</w:t>
            </w:r>
          </w:p>
        </w:tc>
        <w:tc>
          <w:tcPr>
            <w:vAlign w:val="center"/>
            <w:tcMar>
              <w:top w:w="70" w:type="dxa"/>
              <w:left w:w="85" w:type="dxa"/>
              <w:bottom w:w="70" w:type="dxa"/>
              <w:right w:w="85" w:type="dxa"/>
            </w:tcMar>
          </w:tcPr>
          <w:p>
            <w:pPr>
              <w:spacing w:after="30" w:before="0"/>
              <w:jc w:val="left"/>
            </w:pPr>
            <w:r>
              <w:rPr>
                <w:rFonts w:ascii="Arial" w:hAnsi="Arial"/>
                <w:sz w:val="16"/>
              </w:rPr>
              <w:t xml:space="preserve">Privileged grants reviewed by due date</w:t>
            </w:r>
          </w:p>
        </w:tc>
        <w:tc>
          <w:tcPr>
            <w:vAlign w:val="center"/>
            <w:tcMar>
              <w:top w:w="70" w:type="dxa"/>
              <w:left w:w="85" w:type="dxa"/>
              <w:bottom w:w="70" w:type="dxa"/>
              <w:right w:w="85" w:type="dxa"/>
            </w:tcMar>
          </w:tcPr>
          <w:p>
            <w:pPr>
              <w:spacing w:after="30" w:before="0"/>
              <w:jc w:val="left"/>
            </w:pPr>
            <w:r>
              <w:rPr>
                <w:rFonts w:ascii="Arial" w:hAnsi="Arial"/>
                <w:sz w:val="16"/>
              </w:rPr>
              <w:t xml:space="preserve">100%</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Policy compliance</w:t>
            </w:r>
          </w:p>
        </w:tc>
        <w:tc>
          <w:tcPr>
            <w:vAlign w:val="center"/>
            <w:tcMar>
              <w:top w:w="70" w:type="dxa"/>
              <w:left w:w="85" w:type="dxa"/>
              <w:bottom w:w="70" w:type="dxa"/>
              <w:right w:w="85" w:type="dxa"/>
            </w:tcMar>
          </w:tcPr>
          <w:p>
            <w:pPr>
              <w:spacing w:after="30" w:before="0"/>
              <w:jc w:val="left"/>
            </w:pPr>
            <w:r>
              <w:rPr>
                <w:rFonts w:ascii="Arial" w:hAnsi="Arial"/>
                <w:sz w:val="16"/>
              </w:rPr>
              <w:t xml:space="preserve">Resources passing mandatory controls</w:t>
            </w:r>
          </w:p>
        </w:tc>
        <w:tc>
          <w:tcPr>
            <w:vAlign w:val="center"/>
            <w:tcMar>
              <w:top w:w="70" w:type="dxa"/>
              <w:left w:w="85" w:type="dxa"/>
              <w:bottom w:w="70" w:type="dxa"/>
              <w:right w:w="85" w:type="dxa"/>
            </w:tcMar>
          </w:tcPr>
          <w:p>
            <w:pPr>
              <w:spacing w:after="30" w:before="0"/>
              <w:jc w:val="left"/>
            </w:pPr>
            <w:r>
              <w:rPr>
                <w:rFonts w:ascii="Arial" w:hAnsi="Arial"/>
                <w:sz w:val="16"/>
              </w:rPr>
              <w:t xml:space="preserve">At least 99.5%, with zero unapproved critical exceptions</w:t>
            </w:r>
          </w:p>
        </w:tc>
      </w:tr>
    </w:tbl>
    <w:bookmarkEnd w:id="144"/>
    <w:bookmarkEnd w:id="145"/>
    <w:bookmarkStart w:id="146" w:name="centralized-logging-design"/>
    <w:p>
      <w:pPr>
        <w:pStyle w:val="Heading2"/>
        <w:keepNext/>
        <w:pageBreakBefore w:val="0"/>
      </w:pPr>
      <w:r>
        <w:t xml:space="preserve">7.3 Centralized logging design</w:t>
      </w:r>
    </w:p>
    <w:p>
      <w:pPr>
        <w:pStyle w:val="FirstParagraph"/>
      </w:pPr>
      <w:r>
        <w:t xml:space="preserve">Centralized logging uses separate projects and buckets for:</w:t>
      </w:r>
    </w:p>
    <w:p>
      <w:pPr>
        <w:pStyle w:val="Compact"/>
        <w:numPr>
          <w:ilvl w:val="0"/>
          <w:numId w:val="1031"/>
        </w:numPr>
      </w:pPr>
      <w:r>
        <w:t xml:space="preserve">Security and audit evidence.</w:t>
      </w:r>
    </w:p>
    <w:p>
      <w:pPr>
        <w:pStyle w:val="Compact"/>
        <w:numPr>
          <w:ilvl w:val="0"/>
          <w:numId w:val="1031"/>
        </w:numPr>
      </w:pPr>
      <w:r>
        <w:t xml:space="preserve">Network telemetry.</w:t>
      </w:r>
    </w:p>
    <w:p>
      <w:pPr>
        <w:pStyle w:val="Compact"/>
        <w:numPr>
          <w:ilvl w:val="0"/>
          <w:numId w:val="1031"/>
        </w:numPr>
      </w:pPr>
      <w:r>
        <w:t xml:space="preserve">Platform operations.</w:t>
      </w:r>
    </w:p>
    <w:p>
      <w:pPr>
        <w:pStyle w:val="Compact"/>
        <w:numPr>
          <w:ilvl w:val="0"/>
          <w:numId w:val="1031"/>
        </w:numPr>
      </w:pPr>
      <w:r>
        <w:t xml:space="preserve">Application and domain operations.</w:t>
      </w:r>
    </w:p>
    <w:p>
      <w:pPr>
        <w:pStyle w:val="Compact"/>
        <w:numPr>
          <w:ilvl w:val="0"/>
          <w:numId w:val="1031"/>
        </w:numPr>
      </w:pPr>
      <w:r>
        <w:t xml:space="preserve">Regulatory archives.</w:t>
      </w:r>
    </w:p>
    <w:p>
      <w:pPr>
        <w:pStyle w:val="FirstParagraph"/>
      </w:pPr>
      <w:r>
        <w:t xml:space="preserve">Log views provide least-privilege access without duplicating every log. Log Analytics and BigQuery-linked analysis are used where large-scale correlation is required. Export design accounts for storage, query and retention cost.</w:t>
      </w:r>
    </w:p>
    <w:bookmarkEnd w:id="146"/>
    <w:bookmarkStart w:id="148" w:name="security-operations-integration"/>
    <w:p>
      <w:pPr>
        <w:pStyle w:val="Heading2"/>
        <w:keepNext/>
        <w:pageBreakBefore w:val="0"/>
      </w:pPr>
      <w:r>
        <w:t xml:space="preserve">7.4 Security operations integration</w:t>
      </w:r>
    </w:p>
    <w:p>
      <w:pPr>
        <w:pStyle w:val="FirstParagraph"/>
      </w:pPr>
      <w:r>
        <w:t xml:space="preserve">Security telemetry flows to the enterprise SIEM and SOAR through supported connectors, Pub/Sub, APIs or approved exports. The integration preserves event identifiers, timestamps, resource hierarchy, actor identity, network context and finding severity.</w:t>
      </w:r>
    </w:p>
    <w:bookmarkStart w:id="147" w:name="security-event-workflow"/>
    <w:p>
      <w:pPr>
        <w:pStyle w:val="Heading3"/>
        <w:keepNext/>
        <w:pageBreakBefore w:val="0"/>
      </w:pPr>
      <w:r>
        <w:t xml:space="preserve">Security event workflow</w:t>
      </w:r>
    </w:p>
    <w:p>
      <w:pPr>
        <w:pStyle w:val="Compact"/>
        <w:numPr>
          <w:ilvl w:val="0"/>
          <w:numId w:val="1032"/>
        </w:numPr>
      </w:pPr>
      <w:r>
        <w:t xml:space="preserve">Google Cloud service or SCC generates an event or finding.</w:t>
      </w:r>
    </w:p>
    <w:p>
      <w:pPr>
        <w:pStyle w:val="Compact"/>
        <w:numPr>
          <w:ilvl w:val="0"/>
          <w:numId w:val="1032"/>
        </w:numPr>
      </w:pPr>
      <w:r>
        <w:t xml:space="preserve">Central routing enriches it with folder, project, domain and owner metadata.</w:t>
      </w:r>
    </w:p>
    <w:p>
      <w:pPr>
        <w:pStyle w:val="Compact"/>
        <w:numPr>
          <w:ilvl w:val="0"/>
          <w:numId w:val="1032"/>
        </w:numPr>
      </w:pPr>
      <w:r>
        <w:t xml:space="preserve">SIEM correlation combines identity, endpoint, network and business context.</w:t>
      </w:r>
    </w:p>
    <w:p>
      <w:pPr>
        <w:pStyle w:val="Compact"/>
        <w:numPr>
          <w:ilvl w:val="0"/>
          <w:numId w:val="1032"/>
        </w:numPr>
      </w:pPr>
      <w:r>
        <w:t xml:space="preserve">SOAR executes approved containment or evidence-gathering actions.</w:t>
      </w:r>
    </w:p>
    <w:p>
      <w:pPr>
        <w:pStyle w:val="Compact"/>
        <w:numPr>
          <w:ilvl w:val="0"/>
          <w:numId w:val="1032"/>
        </w:numPr>
      </w:pPr>
      <w:r>
        <w:t xml:space="preserve">ITSM creates and tracks the incident.</w:t>
      </w:r>
    </w:p>
    <w:p>
      <w:pPr>
        <w:pStyle w:val="Compact"/>
        <w:numPr>
          <w:ilvl w:val="0"/>
          <w:numId w:val="1032"/>
        </w:numPr>
      </w:pPr>
      <w:r>
        <w:t xml:space="preserve">Resource owner and security operations collaborate on remediation.</w:t>
      </w:r>
    </w:p>
    <w:p>
      <w:pPr>
        <w:pStyle w:val="Compact"/>
        <w:numPr>
          <w:ilvl w:val="0"/>
          <w:numId w:val="1032"/>
        </w:numPr>
      </w:pPr>
      <w:r>
        <w:t xml:space="preserve">Control owners review recurring patterns and update guardrails.</w:t>
      </w:r>
    </w:p>
    <w:p>
      <w:pPr>
        <w:pStyle w:val="FirstParagraph"/>
      </w:pPr>
      <w:r>
        <w:t xml:space="preserve">Automated remediation is limited to actions with tested rollback and acceptable business impact, such as disabling an exposed key, removing a public policy binding or quarantining a non-production project.</w:t>
      </w:r>
    </w:p>
    <w:bookmarkEnd w:id="147"/>
    <w:bookmarkEnd w:id="148"/>
    <w:bookmarkEnd w:id="149"/>
    <w:bookmarkStart w:id="153" w:name="naming-conventions-labels-and-tags"/>
    <w:p>
      <w:pPr>
        <w:pStyle w:val="Heading1"/>
        <w:keepNext/>
        <w:pageBreakBefore w:val="0"/>
      </w:pPr>
      <w:r>
        <w:t xml:space="preserve">8. Naming Conventions, Labels and Tags</w:t>
      </w:r>
    </w:p>
    <w:bookmarkStart w:id="150" w:name="naming-conventions"/>
    <w:p>
      <w:pPr>
        <w:pStyle w:val="Heading2"/>
        <w:keepNext/>
        <w:pageBreakBefore w:val="0"/>
      </w:pPr>
      <w:r>
        <w:t xml:space="preserve">8.1 Naming conventions</w:t>
      </w:r>
    </w:p>
    <w:p>
      <w:pPr>
        <w:pStyle w:val="FirstParagraph"/>
      </w:pPr>
      <w:r>
        <w:t xml:space="preserve">Names are deterministic, readable and compatible with service constraints. A logical naming model is maintained even when a service requires globally unique or length-limited identifiers.</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Resource</w:t>
            </w:r>
          </w:p>
        </w:tc>
        <w:tc>
          <w:tcPr>
            <w:vAlign w:val="center"/>
            <w:tcMar>
              <w:top w:w="70" w:type="dxa"/>
              <w:left w:w="85" w:type="dxa"/>
              <w:bottom w:w="70" w:type="dxa"/>
              <w:right w:w="85" w:type="dxa"/>
            </w:tcMar>
          </w:tcPr>
          <w:p>
            <w:pPr>
              <w:spacing w:after="30" w:before="0"/>
              <w:jc w:val="left"/>
            </w:pPr>
            <w:r>
              <w:rPr>
                <w:rFonts w:ascii="Arial" w:hAnsi="Arial"/>
                <w:b/>
                <w:sz w:val="16"/>
              </w:rPr>
              <w:t xml:space="preserve">Pattern</w:t>
            </w:r>
          </w:p>
        </w:tc>
        <w:tc>
          <w:tcPr>
            <w:vAlign w:val="center"/>
            <w:tcMar>
              <w:top w:w="70" w:type="dxa"/>
              <w:left w:w="85" w:type="dxa"/>
              <w:bottom w:w="70" w:type="dxa"/>
              <w:right w:w="85" w:type="dxa"/>
            </w:tcMar>
          </w:tcPr>
          <w:p>
            <w:pPr>
              <w:spacing w:after="30" w:before="0"/>
              <w:jc w:val="left"/>
            </w:pPr>
            <w:r>
              <w:rPr>
                <w:rFonts w:ascii="Arial" w:hAnsi="Arial"/>
                <w:b/>
                <w:sz w:val="16"/>
              </w:rPr>
              <w:t xml:space="preserve">Example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Project ID</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&lt;org&gt;-&lt;domain&gt;-&lt;purpose&gt;-&lt;env&gt;-&lt;geo&gt;-&lt;nn&gt;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acme-data-cust-prod-amer-01</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Folder display name</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&lt;Order&gt; - &lt;Purpose&gt;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30 - Production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VPC</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vpc-&lt;env&gt;-&lt;geo&gt;-&lt;purpose&gt;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vpc-prod-amer-shared</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Subnet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sn-&lt;region&gt;-&lt;purpose&gt;-&lt;nn&gt;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sn-uscentral1-data-01</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Router</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cr-&lt;region&gt;-&lt;env&gt;-&lt;nn&gt;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cr-uscentral1-prod-01</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VPN gateway</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havgw-&lt;region&gt;-&lt;site&gt;-&lt;nn&gt;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havgw-uscentral1-dc1-01</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Interconnect attachment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vlan-&lt;region&gt;-&lt;site&gt;-&lt;nn&gt;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vlan-uscentral1-dc1-01</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PSC endpoint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psc-&lt;service&gt;-&lt;env&gt;-&lt;region&gt;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psc-googleapis-prod-uscentral1</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DNS zone</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dns-&lt;scope&gt;-&lt;purpose&gt;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dns-prod-services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Service account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sa-&lt;workload&gt;-&lt;function&gt;-&lt;env&gt;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sa-dataflow-run-prod</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KMS key ring</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kr-&lt;purpose&gt;-&lt;region&gt;-&lt;env&gt;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kr-data-uscentral1-prod</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KMS key</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key-&lt;service&gt;-&lt;classification&gt;-&lt;domain&gt;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key-bq-restricted-customer</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Log bucket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lb-&lt;purpose&gt;-&lt;env&gt;-&lt;geo&gt;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lb-audit-prod-global</w:t>
            </w:r>
          </w:p>
        </w:tc>
      </w:tr>
    </w:tbl>
    <w:p>
      <w:pPr>
        <w:pStyle w:val="BodyText"/>
      </w:pPr>
      <w:r>
        <w:t xml:space="preserve">Globally unique resources append a controlled numeric or hash suffix. Random strings are generated and persisted by the project factory rather than manually chosen.</w:t>
      </w:r>
    </w:p>
    <w:bookmarkEnd w:id="150"/>
    <w:bookmarkStart w:id="151" w:name="labels"/>
    <w:p>
      <w:pPr>
        <w:pStyle w:val="Heading2"/>
        <w:keepNext/>
        <w:pageBreakBefore w:val="0"/>
      </w:pPr>
      <w:r>
        <w:t xml:space="preserve">8.2 Labels</w:t>
      </w:r>
    </w:p>
    <w:p>
      <w:pPr>
        <w:pStyle w:val="FirstParagraph"/>
      </w:pPr>
      <w:r>
        <w:t xml:space="preserve">Labels support cost allocation, operations and inventory. Mandatory labels are validated at deployment.</w:t>
      </w:r>
    </w:p>
    <w:tbl>
      <w:tblPr>
        <w:tblStyle w:val="LightShading-Accent1"/>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Label</w:t>
            </w:r>
          </w:p>
        </w:tc>
        <w:tc>
          <w:tcPr>
            <w:vAlign w:val="center"/>
            <w:tcMar>
              <w:top w:w="70" w:type="dxa"/>
              <w:left w:w="85" w:type="dxa"/>
              <w:bottom w:w="70" w:type="dxa"/>
              <w:right w:w="85" w:type="dxa"/>
            </w:tcMar>
          </w:tcPr>
          <w:p>
            <w:pPr>
              <w:spacing w:after="30" w:before="0"/>
              <w:jc w:val="left"/>
            </w:pPr>
            <w:r>
              <w:rPr>
                <w:rFonts w:ascii="Arial" w:hAnsi="Arial"/>
                <w:b/>
                <w:sz w:val="16"/>
              </w:rPr>
              <w:t xml:space="preserve">Example</w:t>
            </w:r>
          </w:p>
        </w:tc>
        <w:tc>
          <w:tcPr>
            <w:vAlign w:val="center"/>
            <w:tcMar>
              <w:top w:w="70" w:type="dxa"/>
              <w:left w:w="85" w:type="dxa"/>
              <w:bottom w:w="70" w:type="dxa"/>
              <w:right w:w="85" w:type="dxa"/>
            </w:tcMar>
          </w:tcPr>
          <w:p>
            <w:pPr>
              <w:spacing w:after="30" w:before="0"/>
              <w:jc w:val="left"/>
            </w:pPr>
            <w:r>
              <w:rPr>
                <w:rFonts w:ascii="Arial" w:hAnsi="Arial"/>
                <w:b/>
                <w:sz w:val="16"/>
              </w:rPr>
              <w:t xml:space="preserve">Purpose</w:t>
            </w:r>
          </w:p>
        </w:tc>
      </w:tr>
      <w:tr>
        <w:trPr>
          <w:cantSplit/>
        </w:trPr>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business_domain</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customer</w:t>
            </w:r>
          </w:p>
        </w:tc>
        <w:tc>
          <w:tcPr>
            <w:vAlign w:val="center"/>
            <w:tcMar>
              <w:top w:w="70" w:type="dxa"/>
              <w:left w:w="85" w:type="dxa"/>
              <w:bottom w:w="70" w:type="dxa"/>
              <w:right w:w="85" w:type="dxa"/>
            </w:tcMar>
          </w:tcPr>
          <w:p>
            <w:pPr>
              <w:spacing w:after="30" w:before="0"/>
              <w:jc w:val="left"/>
            </w:pPr>
            <w:r>
              <w:rPr>
                <w:rFonts w:ascii="Arial" w:hAnsi="Arial"/>
                <w:sz w:val="16"/>
              </w:rPr>
              <w:t xml:space="preserve">Domain ownership</w:t>
            </w:r>
          </w:p>
        </w:tc>
      </w:tr>
      <w:tr>
        <w:trPr>
          <w:cantSplit/>
        </w:trPr>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environment</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prod</w:t>
            </w:r>
          </w:p>
        </w:tc>
        <w:tc>
          <w:tcPr>
            <w:vAlign w:val="center"/>
            <w:tcMar>
              <w:top w:w="70" w:type="dxa"/>
              <w:left w:w="85" w:type="dxa"/>
              <w:bottom w:w="70" w:type="dxa"/>
              <w:right w:w="85" w:type="dxa"/>
            </w:tcMar>
          </w:tcPr>
          <w:p>
            <w:pPr>
              <w:spacing w:after="30" w:before="0"/>
              <w:jc w:val="left"/>
            </w:pPr>
            <w:r>
              <w:rPr>
                <w:rFonts w:ascii="Arial" w:hAnsi="Arial"/>
                <w:sz w:val="16"/>
              </w:rPr>
              <w:t xml:space="preserve">Environment classification</w:t>
            </w:r>
          </w:p>
        </w:tc>
      </w:tr>
      <w:tr>
        <w:trPr>
          <w:cantSplit/>
        </w:trPr>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cost_center</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cc-1042</w:t>
            </w:r>
          </w:p>
        </w:tc>
        <w:tc>
          <w:tcPr>
            <w:vAlign w:val="center"/>
            <w:tcMar>
              <w:top w:w="70" w:type="dxa"/>
              <w:left w:w="85" w:type="dxa"/>
              <w:bottom w:w="70" w:type="dxa"/>
              <w:right w:w="85" w:type="dxa"/>
            </w:tcMar>
          </w:tcPr>
          <w:p>
            <w:pPr>
              <w:spacing w:after="30" w:before="0"/>
              <w:jc w:val="left"/>
            </w:pPr>
            <w:r>
              <w:rPr>
                <w:rFonts w:ascii="Arial" w:hAnsi="Arial"/>
                <w:sz w:val="16"/>
              </w:rPr>
              <w:t xml:space="preserve">Financial allocation</w:t>
            </w:r>
          </w:p>
        </w:tc>
      </w:tr>
      <w:tr>
        <w:trPr>
          <w:cantSplit/>
        </w:trPr>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application_id</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app-02871</w:t>
            </w:r>
          </w:p>
        </w:tc>
        <w:tc>
          <w:tcPr>
            <w:vAlign w:val="center"/>
            <w:tcMar>
              <w:top w:w="70" w:type="dxa"/>
              <w:left w:w="85" w:type="dxa"/>
              <w:bottom w:w="70" w:type="dxa"/>
              <w:right w:w="85" w:type="dxa"/>
            </w:tcMar>
          </w:tcPr>
          <w:p>
            <w:pPr>
              <w:spacing w:after="30" w:before="0"/>
              <w:jc w:val="left"/>
            </w:pPr>
            <w:r>
              <w:rPr>
                <w:rFonts w:ascii="Arial" w:hAnsi="Arial"/>
                <w:sz w:val="16"/>
              </w:rPr>
              <w:t xml:space="preserve">CMDB correlation</w:t>
            </w:r>
          </w:p>
        </w:tc>
      </w:tr>
      <w:tr>
        <w:trPr>
          <w:cantSplit/>
        </w:trPr>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data_classification</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restricted</w:t>
            </w:r>
          </w:p>
        </w:tc>
        <w:tc>
          <w:tcPr>
            <w:vAlign w:val="center"/>
            <w:tcMar>
              <w:top w:w="70" w:type="dxa"/>
              <w:left w:w="85" w:type="dxa"/>
              <w:bottom w:w="70" w:type="dxa"/>
              <w:right w:w="85" w:type="dxa"/>
            </w:tcMar>
          </w:tcPr>
          <w:p>
            <w:pPr>
              <w:spacing w:after="30" w:before="0"/>
              <w:jc w:val="left"/>
            </w:pPr>
            <w:r>
              <w:rPr>
                <w:rFonts w:ascii="Arial" w:hAnsi="Arial"/>
                <w:sz w:val="16"/>
              </w:rPr>
              <w:t xml:space="preserve">Security and governance</w:t>
            </w:r>
          </w:p>
        </w:tc>
      </w:tr>
      <w:tr>
        <w:trPr>
          <w:cantSplit/>
        </w:trPr>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owner</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customer-platform</w:t>
            </w:r>
          </w:p>
        </w:tc>
        <w:tc>
          <w:tcPr>
            <w:vAlign w:val="center"/>
            <w:tcMar>
              <w:top w:w="70" w:type="dxa"/>
              <w:left w:w="85" w:type="dxa"/>
              <w:bottom w:w="70" w:type="dxa"/>
              <w:right w:w="85" w:type="dxa"/>
            </w:tcMar>
          </w:tcPr>
          <w:p>
            <w:pPr>
              <w:spacing w:after="30" w:before="0"/>
              <w:jc w:val="left"/>
            </w:pPr>
            <w:r>
              <w:rPr>
                <w:rFonts w:ascii="Arial" w:hAnsi="Arial"/>
                <w:sz w:val="16"/>
              </w:rPr>
              <w:t xml:space="preserve">Accountable team</w:t>
            </w:r>
          </w:p>
        </w:tc>
      </w:tr>
      <w:tr>
        <w:trPr>
          <w:cantSplit/>
        </w:trPr>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managed_by</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terraform</w:t>
            </w:r>
          </w:p>
        </w:tc>
        <w:tc>
          <w:tcPr>
            <w:vAlign w:val="center"/>
            <w:tcMar>
              <w:top w:w="70" w:type="dxa"/>
              <w:left w:w="85" w:type="dxa"/>
              <w:bottom w:w="70" w:type="dxa"/>
              <w:right w:w="85" w:type="dxa"/>
            </w:tcMar>
          </w:tcPr>
          <w:p>
            <w:pPr>
              <w:spacing w:after="30" w:before="0"/>
              <w:jc w:val="left"/>
            </w:pPr>
            <w:r>
              <w:rPr>
                <w:rFonts w:ascii="Arial" w:hAnsi="Arial"/>
                <w:sz w:val="16"/>
              </w:rPr>
              <w:t xml:space="preserve">Configuration authority</w:t>
            </w:r>
          </w:p>
        </w:tc>
      </w:tr>
      <w:tr>
        <w:trPr>
          <w:cantSplit/>
        </w:trPr>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criticality</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tier1</w:t>
            </w:r>
          </w:p>
        </w:tc>
        <w:tc>
          <w:tcPr>
            <w:vAlign w:val="center"/>
            <w:tcMar>
              <w:top w:w="70" w:type="dxa"/>
              <w:left w:w="85" w:type="dxa"/>
              <w:bottom w:w="70" w:type="dxa"/>
              <w:right w:w="85" w:type="dxa"/>
            </w:tcMar>
          </w:tcPr>
          <w:p>
            <w:pPr>
              <w:spacing w:after="30" w:before="0"/>
              <w:jc w:val="left"/>
            </w:pPr>
            <w:r>
              <w:rPr>
                <w:rFonts w:ascii="Arial" w:hAnsi="Arial"/>
                <w:sz w:val="16"/>
              </w:rPr>
              <w:t xml:space="preserve">Reliability and response</w:t>
            </w:r>
          </w:p>
        </w:tc>
      </w:tr>
      <w:tr>
        <w:trPr>
          <w:cantSplit/>
        </w:trPr>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region_group</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amer</w:t>
            </w:r>
          </w:p>
        </w:tc>
        <w:tc>
          <w:tcPr>
            <w:vAlign w:val="center"/>
            <w:tcMar>
              <w:top w:w="70" w:type="dxa"/>
              <w:left w:w="85" w:type="dxa"/>
              <w:bottom w:w="70" w:type="dxa"/>
              <w:right w:w="85" w:type="dxa"/>
            </w:tcMar>
          </w:tcPr>
          <w:p>
            <w:pPr>
              <w:spacing w:after="30" w:before="0"/>
              <w:jc w:val="left"/>
            </w:pPr>
            <w:r>
              <w:rPr>
                <w:rFonts w:ascii="Arial" w:hAnsi="Arial"/>
                <w:sz w:val="16"/>
              </w:rPr>
              <w:t xml:space="preserve">Residency and reporting</w:t>
            </w:r>
          </w:p>
        </w:tc>
      </w:tr>
      <w:tr>
        <w:trPr>
          <w:cantSplit/>
        </w:trPr>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expiry_date</w:t>
            </w:r>
          </w:p>
        </w:tc>
        <w:tc>
          <w:tcPr>
            <w:vAlign w:val="center"/>
            <w:tcMar>
              <w:top w:w="70" w:type="dxa"/>
              <w:left w:w="85" w:type="dxa"/>
              <w:bottom w:w="70" w:type="dxa"/>
              <w:right w:w="85" w:type="dxa"/>
            </w:tcMar>
          </w:tcPr>
          <w:p>
            <w:pPr>
              <w:spacing w:after="30" w:before="0"/>
              <w:jc w:val="left"/>
            </w:pPr>
            <w:r>
              <w:rPr>
                <w:rStyle w:val="VerbatimChar"/>
                <w:rFonts w:ascii="Arial" w:hAnsi="Arial"/>
                <w:sz w:val="16"/>
              </w:rPr>
              <w:t xml:space="preserve">2027-06-30</w:t>
            </w:r>
          </w:p>
        </w:tc>
        <w:tc>
          <w:tcPr>
            <w:vAlign w:val="center"/>
            <w:tcMar>
              <w:top w:w="70" w:type="dxa"/>
              <w:left w:w="85" w:type="dxa"/>
              <w:bottom w:w="70" w:type="dxa"/>
              <w:right w:w="85" w:type="dxa"/>
            </w:tcMar>
          </w:tcPr>
          <w:p>
            <w:pPr>
              <w:spacing w:after="30" w:before="0"/>
              <w:jc w:val="left"/>
            </w:pPr>
            <w:r>
              <w:rPr>
                <w:rFonts w:ascii="Arial" w:hAnsi="Arial"/>
                <w:sz w:val="16"/>
              </w:rPr>
              <w:t xml:space="preserve">Sandbox or exception lifecycle</w:t>
            </w:r>
          </w:p>
        </w:tc>
      </w:tr>
    </w:tbl>
    <w:bookmarkEnd w:id="151"/>
    <w:bookmarkStart w:id="152" w:name="resource-manager-tags"/>
    <w:p>
      <w:pPr>
        <w:pStyle w:val="Heading2"/>
        <w:keepNext/>
        <w:pageBreakBefore w:val="0"/>
      </w:pPr>
      <w:r>
        <w:t xml:space="preserve">8.3 Resource Manager tags</w:t>
      </w:r>
    </w:p>
    <w:p>
      <w:pPr>
        <w:pStyle w:val="FirstParagraph"/>
      </w:pPr>
      <w:r>
        <w:t xml:space="preserve">Tags are used when inherited policy or conditional IAM depends on business context. Example tag keys include:</w:t>
      </w:r>
    </w:p>
    <w:p>
      <w:pPr>
        <w:pStyle w:val="Compact"/>
        <w:numPr>
          <w:ilvl w:val="0"/>
          <w:numId w:val="1033"/>
        </w:numPr>
      </w:pPr>
      <w:r>
        <w:rPr>
          <w:rStyle w:val="VerbatimChar"/>
        </w:rPr>
        <w:t xml:space="preserve">environment/prod</w:t>
      </w:r>
    </w:p>
    <w:p>
      <w:pPr>
        <w:pStyle w:val="Compact"/>
        <w:numPr>
          <w:ilvl w:val="0"/>
          <w:numId w:val="1033"/>
        </w:numPr>
      </w:pPr>
      <w:r>
        <w:rPr>
          <w:rStyle w:val="VerbatimChar"/>
        </w:rPr>
        <w:t xml:space="preserve">data-classification/restricted</w:t>
      </w:r>
    </w:p>
    <w:p>
      <w:pPr>
        <w:pStyle w:val="Compact"/>
        <w:numPr>
          <w:ilvl w:val="0"/>
          <w:numId w:val="1033"/>
        </w:numPr>
      </w:pPr>
      <w:r>
        <w:rPr>
          <w:rStyle w:val="VerbatimChar"/>
        </w:rPr>
        <w:t xml:space="preserve">internet-exposure/approved</w:t>
      </w:r>
    </w:p>
    <w:p>
      <w:pPr>
        <w:pStyle w:val="Compact"/>
        <w:numPr>
          <w:ilvl w:val="0"/>
          <w:numId w:val="1033"/>
        </w:numPr>
      </w:pPr>
      <w:r>
        <w:rPr>
          <w:rStyle w:val="VerbatimChar"/>
        </w:rPr>
        <w:t xml:space="preserve">csek-or-cmek/required</w:t>
      </w:r>
    </w:p>
    <w:p>
      <w:pPr>
        <w:pStyle w:val="Compact"/>
        <w:numPr>
          <w:ilvl w:val="0"/>
          <w:numId w:val="1033"/>
        </w:numPr>
      </w:pPr>
      <w:r>
        <w:rPr>
          <w:rStyle w:val="VerbatimChar"/>
        </w:rPr>
        <w:t xml:space="preserve">service-perimeter/restricted-data</w:t>
      </w:r>
    </w:p>
    <w:p>
      <w:pPr>
        <w:pStyle w:val="Compact"/>
        <w:numPr>
          <w:ilvl w:val="0"/>
          <w:numId w:val="1033"/>
        </w:numPr>
      </w:pPr>
      <w:r>
        <w:rPr>
          <w:rStyle w:val="VerbatimChar"/>
        </w:rPr>
        <w:t xml:space="preserve">retention/legal-hold</w:t>
      </w:r>
    </w:p>
    <w:p>
      <w:pPr>
        <w:pStyle w:val="FirstParagraph"/>
      </w:pPr>
      <w:r>
        <w:t xml:space="preserve">Tag values are governed because they can affect policy. Workload teams cannot freely assign security-sensitive tags.</w:t>
      </w:r>
    </w:p>
    <w:bookmarkEnd w:id="152"/>
    <w:bookmarkEnd w:id="153"/>
    <w:bookmarkStart w:id="163" w:name="terraform-landing-zone-implementation"/>
    <w:p>
      <w:pPr>
        <w:pStyle w:val="Heading1"/>
        <w:keepNext/>
        <w:pageBreakBefore w:val="0"/>
      </w:pPr>
      <w:r>
        <w:t xml:space="preserve">9. Terraform Landing-Zone Implementation</w:t>
      </w:r>
    </w:p>
    <w:bookmarkStart w:id="155" w:name="infrastructure-as-code-architecture"/>
    <w:p>
      <w:pPr>
        <w:pStyle w:val="Heading2"/>
        <w:keepNext/>
        <w:pageBreakBefore w:val="0"/>
      </w:pPr>
      <w:r>
        <w:t xml:space="preserve">9.1 Infrastructure-as-Code architecture</w:t>
      </w:r>
    </w:p>
    <w:p>
      <w:pPr>
        <w:pStyle w:val="FirstParagraph"/>
      </w:pPr>
      <w:r>
        <w:t xml:space="preserve">Terraform is the system of record for organization structure, projects, networks, IAM, policies, logging, monitoring, encryption and service perimeters. Pipelines use short-lived federated credentials and separate plan from apply.</w:t>
      </w:r>
    </w:p>
    <w:bookmarkStart w:id="154" w:name="repository-structure"/>
    <w:p>
      <w:pPr>
        <w:pStyle w:val="Heading3"/>
        <w:keepNext/>
        <w:pageBreakBefore w:val="0"/>
      </w:pPr>
      <w:r>
        <w:t xml:space="preserve">Repository structure</w:t>
      </w:r>
    </w:p>
    <w:p>
      <w:pPr>
        <w:pStyle w:val="SourceCode"/>
      </w:pPr>
      <w:r>
        <w:rPr>
          <w:rStyle w:val="VerbatimChar"/>
        </w:rPr>
        <w:t xml:space="preserve">landing-zone/</w:t>
      </w:r>
      <w:r>
        <w:br/>
      </w:r>
      <w:r>
        <w:rPr>
          <w:rStyle w:val="VerbatimChar"/>
        </w:rPr>
        <w:t xml:space="preserve">├── bootstrap/</w:t>
      </w:r>
      <w:r>
        <w:br/>
      </w:r>
      <w:r>
        <w:rPr>
          <w:rStyle w:val="VerbatimChar"/>
        </w:rPr>
        <w:t xml:space="preserve">│   ├── state/</w:t>
      </w:r>
      <w:r>
        <w:br/>
      </w:r>
      <w:r>
        <w:rPr>
          <w:rStyle w:val="VerbatimChar"/>
        </w:rPr>
        <w:t xml:space="preserve">│   ├── cicd/</w:t>
      </w:r>
      <w:r>
        <w:br/>
      </w:r>
      <w:r>
        <w:rPr>
          <w:rStyle w:val="VerbatimChar"/>
        </w:rPr>
        <w:t xml:space="preserve">│   └── seed-project/</w:t>
      </w:r>
      <w:r>
        <w:br/>
      </w:r>
      <w:r>
        <w:rPr>
          <w:rStyle w:val="VerbatimChar"/>
        </w:rPr>
        <w:t xml:space="preserve">├── modules/</w:t>
      </w:r>
      <w:r>
        <w:br/>
      </w:r>
      <w:r>
        <w:rPr>
          <w:rStyle w:val="VerbatimChar"/>
        </w:rPr>
        <w:t xml:space="preserve">│   ├── organization/</w:t>
      </w:r>
      <w:r>
        <w:br/>
      </w:r>
      <w:r>
        <w:rPr>
          <w:rStyle w:val="VerbatimChar"/>
        </w:rPr>
        <w:t xml:space="preserve">│   ├── folder/</w:t>
      </w:r>
      <w:r>
        <w:br/>
      </w:r>
      <w:r>
        <w:rPr>
          <w:rStyle w:val="VerbatimChar"/>
        </w:rPr>
        <w:t xml:space="preserve">│   ├── project-factory/</w:t>
      </w:r>
      <w:r>
        <w:br/>
      </w:r>
      <w:r>
        <w:rPr>
          <w:rStyle w:val="VerbatimChar"/>
        </w:rPr>
        <w:t xml:space="preserve">│   ├── shared-vpc/</w:t>
      </w:r>
      <w:r>
        <w:br/>
      </w:r>
      <w:r>
        <w:rPr>
          <w:rStyle w:val="VerbatimChar"/>
        </w:rPr>
        <w:t xml:space="preserve">│   ├── hybrid-connectivity/</w:t>
      </w:r>
      <w:r>
        <w:br/>
      </w:r>
      <w:r>
        <w:rPr>
          <w:rStyle w:val="VerbatimChar"/>
        </w:rPr>
        <w:t xml:space="preserve">│   ├── dns/</w:t>
      </w:r>
      <w:r>
        <w:br/>
      </w:r>
      <w:r>
        <w:rPr>
          <w:rStyle w:val="VerbatimChar"/>
        </w:rPr>
        <w:t xml:space="preserve">│   ├── firewall-policy/</w:t>
      </w:r>
      <w:r>
        <w:br/>
      </w:r>
      <w:r>
        <w:rPr>
          <w:rStyle w:val="VerbatimChar"/>
        </w:rPr>
        <w:t xml:space="preserve">│   ├── iam/</w:t>
      </w:r>
      <w:r>
        <w:br/>
      </w:r>
      <w:r>
        <w:rPr>
          <w:rStyle w:val="VerbatimChar"/>
        </w:rPr>
        <w:t xml:space="preserve">│   ├── org-policy/</w:t>
      </w:r>
      <w:r>
        <w:br/>
      </w:r>
      <w:r>
        <w:rPr>
          <w:rStyle w:val="VerbatimChar"/>
        </w:rPr>
        <w:t xml:space="preserve">│   ├── logging/</w:t>
      </w:r>
      <w:r>
        <w:br/>
      </w:r>
      <w:r>
        <w:rPr>
          <w:rStyle w:val="VerbatimChar"/>
        </w:rPr>
        <w:t xml:space="preserve">│   ├── monitoring/</w:t>
      </w:r>
      <w:r>
        <w:br/>
      </w:r>
      <w:r>
        <w:rPr>
          <w:rStyle w:val="VerbatimChar"/>
        </w:rPr>
        <w:t xml:space="preserve">│   ├── kms/</w:t>
      </w:r>
      <w:r>
        <w:br/>
      </w:r>
      <w:r>
        <w:rPr>
          <w:rStyle w:val="VerbatimChar"/>
        </w:rPr>
        <w:t xml:space="preserve">│   ├── secret-manager/</w:t>
      </w:r>
      <w:r>
        <w:br/>
      </w:r>
      <w:r>
        <w:rPr>
          <w:rStyle w:val="VerbatimChar"/>
        </w:rPr>
        <w:t xml:space="preserve">│   ├── vpc-service-controls/</w:t>
      </w:r>
      <w:r>
        <w:br/>
      </w:r>
      <w:r>
        <w:rPr>
          <w:rStyle w:val="VerbatimChar"/>
        </w:rPr>
        <w:t xml:space="preserve">│   └── security-command-center/</w:t>
      </w:r>
      <w:r>
        <w:br/>
      </w:r>
      <w:r>
        <w:rPr>
          <w:rStyle w:val="VerbatimChar"/>
        </w:rPr>
        <w:t xml:space="preserve">├── environments/</w:t>
      </w:r>
      <w:r>
        <w:br/>
      </w:r>
      <w:r>
        <w:rPr>
          <w:rStyle w:val="VerbatimChar"/>
        </w:rPr>
        <w:t xml:space="preserve">│   ├── dev/</w:t>
      </w:r>
      <w:r>
        <w:br/>
      </w:r>
      <w:r>
        <w:rPr>
          <w:rStyle w:val="VerbatimChar"/>
        </w:rPr>
        <w:t xml:space="preserve">│   ├── nonprod/</w:t>
      </w:r>
      <w:r>
        <w:br/>
      </w:r>
      <w:r>
        <w:rPr>
          <w:rStyle w:val="VerbatimChar"/>
        </w:rPr>
        <w:t xml:space="preserve">│   └── prod/</w:t>
      </w:r>
      <w:r>
        <w:br/>
      </w:r>
      <w:r>
        <w:rPr>
          <w:rStyle w:val="VerbatimChar"/>
        </w:rPr>
        <w:t xml:space="preserve">├── geographies/</w:t>
      </w:r>
      <w:r>
        <w:br/>
      </w:r>
      <w:r>
        <w:rPr>
          <w:rStyle w:val="VerbatimChar"/>
        </w:rPr>
        <w:t xml:space="preserve">│   ├── amer/</w:t>
      </w:r>
      <w:r>
        <w:br/>
      </w:r>
      <w:r>
        <w:rPr>
          <w:rStyle w:val="VerbatimChar"/>
        </w:rPr>
        <w:t xml:space="preserve">│   ├── emea/</w:t>
      </w:r>
      <w:r>
        <w:br/>
      </w:r>
      <w:r>
        <w:rPr>
          <w:rStyle w:val="VerbatimChar"/>
        </w:rPr>
        <w:t xml:space="preserve">│   └── apac/</w:t>
      </w:r>
      <w:r>
        <w:br/>
      </w:r>
      <w:r>
        <w:rPr>
          <w:rStyle w:val="VerbatimChar"/>
        </w:rPr>
        <w:t xml:space="preserve">├── policies/</w:t>
      </w:r>
      <w:r>
        <w:br/>
      </w:r>
      <w:r>
        <w:rPr>
          <w:rStyle w:val="VerbatimChar"/>
        </w:rPr>
        <w:t xml:space="preserve">├── tests/</w:t>
      </w:r>
      <w:r>
        <w:br/>
      </w:r>
      <w:r>
        <w:rPr>
          <w:rStyle w:val="VerbatimChar"/>
        </w:rPr>
        <w:t xml:space="preserve">├── examples/</w:t>
      </w:r>
      <w:r>
        <w:br/>
      </w:r>
      <w:r>
        <w:rPr>
          <w:rStyle w:val="VerbatimChar"/>
        </w:rPr>
        <w:t xml:space="preserve">└── docs/</w:t>
      </w:r>
    </w:p>
    <w:bookmarkEnd w:id="154"/>
    <w:bookmarkEnd w:id="155"/>
    <w:bookmarkStart w:id="157" w:name="module-standards"/>
    <w:p>
      <w:pPr>
        <w:pStyle w:val="Heading2"/>
        <w:keepNext/>
        <w:pageBreakBefore w:val="0"/>
      </w:pPr>
      <w:r>
        <w:t xml:space="preserve">9.2 Module standards</w:t>
      </w:r>
    </w:p>
    <w:p>
      <w:pPr>
        <w:pStyle w:val="FirstParagraph"/>
      </w:pPr>
      <w:r>
        <w:t xml:space="preserve">Every reusable module includes:</w:t>
      </w:r>
    </w:p>
    <w:p>
      <w:pPr>
        <w:pStyle w:val="Compact"/>
        <w:numPr>
          <w:ilvl w:val="0"/>
          <w:numId w:val="1034"/>
        </w:numPr>
      </w:pPr>
      <w:r>
        <w:t xml:space="preserve">Purpose and architecture ownership.</w:t>
      </w:r>
    </w:p>
    <w:p>
      <w:pPr>
        <w:pStyle w:val="Compact"/>
        <w:numPr>
          <w:ilvl w:val="0"/>
          <w:numId w:val="1034"/>
        </w:numPr>
      </w:pPr>
      <w:r>
        <w:t xml:space="preserve">Supported provider and Terraform versions.</w:t>
      </w:r>
    </w:p>
    <w:p>
      <w:pPr>
        <w:pStyle w:val="Compact"/>
        <w:numPr>
          <w:ilvl w:val="0"/>
          <w:numId w:val="1034"/>
        </w:numPr>
      </w:pPr>
      <w:r>
        <w:t xml:space="preserve">Inputs with validation.</w:t>
      </w:r>
    </w:p>
    <w:p>
      <w:pPr>
        <w:pStyle w:val="Compact"/>
        <w:numPr>
          <w:ilvl w:val="0"/>
          <w:numId w:val="1034"/>
        </w:numPr>
      </w:pPr>
      <w:r>
        <w:t xml:space="preserve">Outputs required for composition.</w:t>
      </w:r>
    </w:p>
    <w:p>
      <w:pPr>
        <w:pStyle w:val="Compact"/>
        <w:numPr>
          <w:ilvl w:val="0"/>
          <w:numId w:val="1034"/>
        </w:numPr>
      </w:pPr>
      <w:r>
        <w:t xml:space="preserve">Secure defaults.</w:t>
      </w:r>
    </w:p>
    <w:p>
      <w:pPr>
        <w:pStyle w:val="Compact"/>
        <w:numPr>
          <w:ilvl w:val="0"/>
          <w:numId w:val="1034"/>
        </w:numPr>
      </w:pPr>
      <w:r>
        <w:t xml:space="preserve">Optional capabilities that do not weaken mandatory controls.</w:t>
      </w:r>
    </w:p>
    <w:p>
      <w:pPr>
        <w:pStyle w:val="Compact"/>
        <w:numPr>
          <w:ilvl w:val="0"/>
          <w:numId w:val="1034"/>
        </w:numPr>
      </w:pPr>
      <w:r>
        <w:t xml:space="preserve">Unit/static tests.</w:t>
      </w:r>
    </w:p>
    <w:p>
      <w:pPr>
        <w:pStyle w:val="Compact"/>
        <w:numPr>
          <w:ilvl w:val="0"/>
          <w:numId w:val="1034"/>
        </w:numPr>
      </w:pPr>
      <w:r>
        <w:t xml:space="preserve">Integration test fixture.</w:t>
      </w:r>
    </w:p>
    <w:p>
      <w:pPr>
        <w:pStyle w:val="Compact"/>
        <w:numPr>
          <w:ilvl w:val="0"/>
          <w:numId w:val="1034"/>
        </w:numPr>
      </w:pPr>
      <w:r>
        <w:t xml:space="preserve">Example usage.</w:t>
      </w:r>
    </w:p>
    <w:p>
      <w:pPr>
        <w:pStyle w:val="Compact"/>
        <w:numPr>
          <w:ilvl w:val="0"/>
          <w:numId w:val="1034"/>
        </w:numPr>
      </w:pPr>
      <w:r>
        <w:t xml:space="preserve">Upgrade and rollback notes.</w:t>
      </w:r>
    </w:p>
    <w:p>
      <w:pPr>
        <w:pStyle w:val="Compact"/>
        <w:numPr>
          <w:ilvl w:val="0"/>
          <w:numId w:val="1034"/>
        </w:numPr>
      </w:pPr>
      <w:r>
        <w:t xml:space="preserve">Known limitations.</w:t>
      </w:r>
    </w:p>
    <w:p>
      <w:pPr>
        <w:pStyle w:val="Compact"/>
        <w:numPr>
          <w:ilvl w:val="0"/>
          <w:numId w:val="1034"/>
        </w:numPr>
      </w:pPr>
      <w:r>
        <w:t xml:space="preserve">Versioned release notes.</w:t>
      </w:r>
    </w:p>
    <w:bookmarkStart w:id="156" w:name="module-catalog"/>
    <w:p>
      <w:pPr>
        <w:pStyle w:val="Heading3"/>
        <w:keepNext/>
        <w:pageBreakBefore w:val="0"/>
      </w:pPr>
      <w:r>
        <w:t xml:space="preserve">Module catalog</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Module</w:t>
            </w:r>
          </w:p>
        </w:tc>
        <w:tc>
          <w:tcPr>
            <w:vAlign w:val="center"/>
            <w:tcMar>
              <w:top w:w="70" w:type="dxa"/>
              <w:left w:w="85" w:type="dxa"/>
              <w:bottom w:w="70" w:type="dxa"/>
              <w:right w:w="85" w:type="dxa"/>
            </w:tcMar>
          </w:tcPr>
          <w:p>
            <w:pPr>
              <w:spacing w:after="30" w:before="0"/>
              <w:jc w:val="left"/>
            </w:pPr>
            <w:r>
              <w:rPr>
                <w:rFonts w:ascii="Arial" w:hAnsi="Arial"/>
                <w:b/>
                <w:sz w:val="16"/>
              </w:rPr>
              <w:t xml:space="preserve">Primary resources</w:t>
            </w:r>
          </w:p>
        </w:tc>
        <w:tc>
          <w:tcPr>
            <w:vAlign w:val="center"/>
            <w:tcMar>
              <w:top w:w="70" w:type="dxa"/>
              <w:left w:w="85" w:type="dxa"/>
              <w:bottom w:w="70" w:type="dxa"/>
              <w:right w:w="85" w:type="dxa"/>
            </w:tcMar>
          </w:tcPr>
          <w:p>
            <w:pPr>
              <w:spacing w:after="30" w:before="0"/>
              <w:jc w:val="left"/>
            </w:pPr>
            <w:r>
              <w:rPr>
                <w:rFonts w:ascii="Arial" w:hAnsi="Arial"/>
                <w:b/>
                <w:sz w:val="16"/>
              </w:rPr>
              <w:t xml:space="preserve">Key controls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Project factory</w:t>
            </w:r>
          </w:p>
        </w:tc>
        <w:tc>
          <w:tcPr>
            <w:vAlign w:val="center"/>
            <w:tcMar>
              <w:top w:w="70" w:type="dxa"/>
              <w:left w:w="85" w:type="dxa"/>
              <w:bottom w:w="70" w:type="dxa"/>
              <w:right w:w="85" w:type="dxa"/>
            </w:tcMar>
          </w:tcPr>
          <w:p>
            <w:pPr>
              <w:spacing w:after="30" w:before="0"/>
              <w:jc w:val="left"/>
            </w:pPr>
            <w:r>
              <w:rPr>
                <w:rFonts w:ascii="Arial" w:hAnsi="Arial"/>
                <w:sz w:val="16"/>
              </w:rPr>
              <w:t xml:space="preserve">Project, billing, APIs, labels and IAM</w:t>
            </w:r>
          </w:p>
        </w:tc>
        <w:tc>
          <w:tcPr>
            <w:vAlign w:val="center"/>
            <w:tcMar>
              <w:top w:w="70" w:type="dxa"/>
              <w:left w:w="85" w:type="dxa"/>
              <w:bottom w:w="70" w:type="dxa"/>
              <w:right w:w="85" w:type="dxa"/>
            </w:tcMar>
          </w:tcPr>
          <w:p>
            <w:pPr>
              <w:spacing w:after="30" w:before="0"/>
              <w:jc w:val="left"/>
            </w:pPr>
            <w:r>
              <w:rPr>
                <w:rFonts w:ascii="Arial" w:hAnsi="Arial"/>
                <w:sz w:val="16"/>
              </w:rPr>
              <w:t xml:space="preserve">Naming, owner, log sinks and policy inheritance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Shared VPC</w:t>
            </w:r>
          </w:p>
        </w:tc>
        <w:tc>
          <w:tcPr>
            <w:vAlign w:val="center"/>
            <w:tcMar>
              <w:top w:w="70" w:type="dxa"/>
              <w:left w:w="85" w:type="dxa"/>
              <w:bottom w:w="70" w:type="dxa"/>
              <w:right w:w="85" w:type="dxa"/>
            </w:tcMar>
          </w:tcPr>
          <w:p>
            <w:pPr>
              <w:spacing w:after="30" w:before="0"/>
              <w:jc w:val="left"/>
            </w:pPr>
            <w:r>
              <w:rPr>
                <w:rFonts w:ascii="Arial" w:hAnsi="Arial"/>
                <w:sz w:val="16"/>
              </w:rPr>
              <w:t xml:space="preserve">Network, subnet, routes and service-project attachment</w:t>
            </w:r>
          </w:p>
        </w:tc>
        <w:tc>
          <w:tcPr>
            <w:vAlign w:val="center"/>
            <w:tcMar>
              <w:top w:w="70" w:type="dxa"/>
              <w:left w:w="85" w:type="dxa"/>
              <w:bottom w:w="70" w:type="dxa"/>
              <w:right w:w="85" w:type="dxa"/>
            </w:tcMar>
          </w:tcPr>
          <w:p>
            <w:pPr>
              <w:spacing w:after="30" w:before="0"/>
              <w:jc w:val="left"/>
            </w:pPr>
            <w:r>
              <w:rPr>
                <w:rFonts w:ascii="Arial" w:hAnsi="Arial"/>
                <w:sz w:val="16"/>
              </w:rPr>
              <w:t xml:space="preserve">Private access, flow logs and delegated subnet use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Firewall policy</w:t>
            </w:r>
          </w:p>
        </w:tc>
        <w:tc>
          <w:tcPr>
            <w:vAlign w:val="center"/>
            <w:tcMar>
              <w:top w:w="70" w:type="dxa"/>
              <w:left w:w="85" w:type="dxa"/>
              <w:bottom w:w="70" w:type="dxa"/>
              <w:right w:w="85" w:type="dxa"/>
            </w:tcMar>
          </w:tcPr>
          <w:p>
            <w:pPr>
              <w:spacing w:after="30" w:before="0"/>
              <w:jc w:val="left"/>
            </w:pPr>
            <w:r>
              <w:rPr>
                <w:rFonts w:ascii="Arial" w:hAnsi="Arial"/>
                <w:sz w:val="16"/>
              </w:rPr>
              <w:t xml:space="preserve">Hierarchical/network rules</w:t>
            </w:r>
          </w:p>
        </w:tc>
        <w:tc>
          <w:tcPr>
            <w:vAlign w:val="center"/>
            <w:tcMar>
              <w:top w:w="70" w:type="dxa"/>
              <w:left w:w="85" w:type="dxa"/>
              <w:bottom w:w="70" w:type="dxa"/>
              <w:right w:w="85" w:type="dxa"/>
            </w:tcMar>
          </w:tcPr>
          <w:p>
            <w:pPr>
              <w:spacing w:after="30" w:before="0"/>
              <w:jc w:val="left"/>
            </w:pPr>
            <w:r>
              <w:rPr>
                <w:rFonts w:ascii="Arial" w:hAnsi="Arial"/>
                <w:sz w:val="16"/>
              </w:rPr>
              <w:t xml:space="preserve">Priority ranges, logging and exceptions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Logging</w:t>
            </w:r>
          </w:p>
        </w:tc>
        <w:tc>
          <w:tcPr>
            <w:vAlign w:val="center"/>
            <w:tcMar>
              <w:top w:w="70" w:type="dxa"/>
              <w:left w:w="85" w:type="dxa"/>
              <w:bottom w:w="70" w:type="dxa"/>
              <w:right w:w="85" w:type="dxa"/>
            </w:tcMar>
          </w:tcPr>
          <w:p>
            <w:pPr>
              <w:spacing w:after="30" w:before="0"/>
              <w:jc w:val="left"/>
            </w:pPr>
            <w:r>
              <w:rPr>
                <w:rFonts w:ascii="Arial" w:hAnsi="Arial"/>
                <w:sz w:val="16"/>
              </w:rPr>
              <w:t xml:space="preserve">Aggregated sinks, buckets and views</w:t>
            </w:r>
          </w:p>
        </w:tc>
        <w:tc>
          <w:tcPr>
            <w:vAlign w:val="center"/>
            <w:tcMar>
              <w:top w:w="70" w:type="dxa"/>
              <w:left w:w="85" w:type="dxa"/>
              <w:bottom w:w="70" w:type="dxa"/>
              <w:right w:w="85" w:type="dxa"/>
            </w:tcMar>
          </w:tcPr>
          <w:p>
            <w:pPr>
              <w:spacing w:after="30" w:before="0"/>
              <w:jc w:val="left"/>
            </w:pPr>
            <w:r>
              <w:rPr>
                <w:rFonts w:ascii="Arial" w:hAnsi="Arial"/>
                <w:sz w:val="16"/>
              </w:rPr>
              <w:t xml:space="preserve">Retention, restricted readers and routing health</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KMS</w:t>
            </w:r>
          </w:p>
        </w:tc>
        <w:tc>
          <w:tcPr>
            <w:vAlign w:val="center"/>
            <w:tcMar>
              <w:top w:w="70" w:type="dxa"/>
              <w:left w:w="85" w:type="dxa"/>
              <w:bottom w:w="70" w:type="dxa"/>
              <w:right w:w="85" w:type="dxa"/>
            </w:tcMar>
          </w:tcPr>
          <w:p>
            <w:pPr>
              <w:spacing w:after="30" w:before="0"/>
              <w:jc w:val="left"/>
            </w:pPr>
            <w:r>
              <w:rPr>
                <w:rFonts w:ascii="Arial" w:hAnsi="Arial"/>
                <w:sz w:val="16"/>
              </w:rPr>
              <w:t xml:space="preserve">Key projects, rings, keys and IAM</w:t>
            </w:r>
          </w:p>
        </w:tc>
        <w:tc>
          <w:tcPr>
            <w:vAlign w:val="center"/>
            <w:tcMar>
              <w:top w:w="70" w:type="dxa"/>
              <w:left w:w="85" w:type="dxa"/>
              <w:bottom w:w="70" w:type="dxa"/>
              <w:right w:w="85" w:type="dxa"/>
            </w:tcMar>
          </w:tcPr>
          <w:p>
            <w:pPr>
              <w:spacing w:after="30" w:before="0"/>
              <w:jc w:val="left"/>
            </w:pPr>
            <w:r>
              <w:rPr>
                <w:rFonts w:ascii="Arial" w:hAnsi="Arial"/>
                <w:sz w:val="16"/>
              </w:rPr>
              <w:t xml:space="preserve">Separation of duties and rotation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VPC SC</w:t>
            </w:r>
          </w:p>
        </w:tc>
        <w:tc>
          <w:tcPr>
            <w:vAlign w:val="center"/>
            <w:tcMar>
              <w:top w:w="70" w:type="dxa"/>
              <w:left w:w="85" w:type="dxa"/>
              <w:bottom w:w="70" w:type="dxa"/>
              <w:right w:w="85" w:type="dxa"/>
            </w:tcMar>
          </w:tcPr>
          <w:p>
            <w:pPr>
              <w:spacing w:after="30" w:before="0"/>
              <w:jc w:val="left"/>
            </w:pPr>
            <w:r>
              <w:rPr>
                <w:rFonts w:ascii="Arial" w:hAnsi="Arial"/>
                <w:sz w:val="16"/>
              </w:rPr>
              <w:t xml:space="preserve">Access policies, perimeters and rules</w:t>
            </w:r>
          </w:p>
        </w:tc>
        <w:tc>
          <w:tcPr>
            <w:vAlign w:val="center"/>
            <w:tcMar>
              <w:top w:w="70" w:type="dxa"/>
              <w:left w:w="85" w:type="dxa"/>
              <w:bottom w:w="70" w:type="dxa"/>
              <w:right w:w="85" w:type="dxa"/>
            </w:tcMar>
          </w:tcPr>
          <w:p>
            <w:pPr>
              <w:spacing w:after="30" w:before="0"/>
              <w:jc w:val="left"/>
            </w:pPr>
            <w:r>
              <w:rPr>
                <w:rFonts w:ascii="Arial" w:hAnsi="Arial"/>
                <w:sz w:val="16"/>
              </w:rPr>
              <w:t xml:space="preserve">Dry run, narrow ingress/egress and validation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Monitoring</w:t>
            </w:r>
          </w:p>
        </w:tc>
        <w:tc>
          <w:tcPr>
            <w:vAlign w:val="center"/>
            <w:tcMar>
              <w:top w:w="70" w:type="dxa"/>
              <w:left w:w="85" w:type="dxa"/>
              <w:bottom w:w="70" w:type="dxa"/>
              <w:right w:w="85" w:type="dxa"/>
            </w:tcMar>
          </w:tcPr>
          <w:p>
            <w:pPr>
              <w:spacing w:after="30" w:before="0"/>
              <w:jc w:val="left"/>
            </w:pPr>
            <w:r>
              <w:rPr>
                <w:rFonts w:ascii="Arial" w:hAnsi="Arial"/>
                <w:sz w:val="16"/>
              </w:rPr>
              <w:t xml:space="preserve">Scopes, dashboards and alerts</w:t>
            </w:r>
          </w:p>
        </w:tc>
        <w:tc>
          <w:tcPr>
            <w:vAlign w:val="center"/>
            <w:tcMar>
              <w:top w:w="70" w:type="dxa"/>
              <w:left w:w="85" w:type="dxa"/>
              <w:bottom w:w="70" w:type="dxa"/>
              <w:right w:w="85" w:type="dxa"/>
            </w:tcMar>
          </w:tcPr>
          <w:p>
            <w:pPr>
              <w:spacing w:after="30" w:before="0"/>
              <w:jc w:val="left"/>
            </w:pPr>
            <w:r>
              <w:rPr>
                <w:rFonts w:ascii="Arial" w:hAnsi="Arial"/>
                <w:sz w:val="16"/>
              </w:rPr>
              <w:t xml:space="preserve">SLOs, paging and ownership</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Identity</w:t>
            </w:r>
          </w:p>
        </w:tc>
        <w:tc>
          <w:tcPr>
            <w:vAlign w:val="center"/>
            <w:tcMar>
              <w:top w:w="70" w:type="dxa"/>
              <w:left w:w="85" w:type="dxa"/>
              <w:bottom w:w="70" w:type="dxa"/>
              <w:right w:w="85" w:type="dxa"/>
            </w:tcMar>
          </w:tcPr>
          <w:p>
            <w:pPr>
              <w:spacing w:after="30" w:before="0"/>
              <w:jc w:val="left"/>
            </w:pPr>
            <w:r>
              <w:rPr>
                <w:rFonts w:ascii="Arial" w:hAnsi="Arial"/>
                <w:sz w:val="16"/>
              </w:rPr>
              <w:t xml:space="preserve">Groups, service accounts and IAM</w:t>
            </w:r>
          </w:p>
        </w:tc>
        <w:tc>
          <w:tcPr>
            <w:vAlign w:val="center"/>
            <w:tcMar>
              <w:top w:w="70" w:type="dxa"/>
              <w:left w:w="85" w:type="dxa"/>
              <w:bottom w:w="70" w:type="dxa"/>
              <w:right w:w="85" w:type="dxa"/>
            </w:tcMar>
          </w:tcPr>
          <w:p>
            <w:pPr>
              <w:spacing w:after="30" w:before="0"/>
              <w:jc w:val="left"/>
            </w:pPr>
            <w:r>
              <w:rPr>
                <w:rFonts w:ascii="Arial" w:hAnsi="Arial"/>
                <w:sz w:val="16"/>
              </w:rPr>
              <w:t xml:space="preserve">Least privilege and federation</w:t>
            </w:r>
          </w:p>
        </w:tc>
      </w:tr>
    </w:tbl>
    <w:bookmarkEnd w:id="156"/>
    <w:bookmarkEnd w:id="157"/>
    <w:bookmarkStart w:id="158" w:name="project-factory-example"/>
    <w:p>
      <w:pPr>
        <w:pStyle w:val="Heading2"/>
        <w:keepNext/>
        <w:pageBreakBefore w:val="0"/>
      </w:pPr>
      <w:r>
        <w:t xml:space="preserve">9.3 Project factory example</w:t>
      </w:r>
    </w:p>
    <w:p>
      <w:pPr>
        <w:pStyle w:val="FirstParagraph"/>
      </w:pPr>
      <w:r>
        <w:t xml:space="preserve">The complete reusable example is included in</w:t>
      </w:r>
      <w:r>
        <w:t xml:space="preserve"> </w:t>
      </w:r>
      <w:r>
        <w:rPr>
          <w:rStyle w:val="VerbatimChar"/>
        </w:rPr>
        <w:t xml:space="preserve">terraform/modules/project_factory</w:t>
      </w:r>
      <w:r>
        <w:t xml:space="preserve"> </w:t>
      </w:r>
      <w:r>
        <w:t xml:space="preserve">within the package. The pattern below shows the composition intent.</w:t>
      </w:r>
    </w:p>
    <w:p>
      <w:pPr>
        <w:pStyle w:val="SourceCode"/>
      </w:pPr>
      <w:r>
        <w:rPr>
          <w:rStyle w:val="VerbatimChar"/>
        </w:rPr>
        <w:t xml:space="preserve">module "domain_project" {</w:t>
      </w:r>
      <w:r>
        <w:br/>
      </w:r>
      <w:r>
        <w:rPr>
          <w:rStyle w:val="VerbatimChar"/>
        </w:rPr>
        <w:t xml:space="preserve">  source = "../../modules/project_factory"</w:t>
      </w:r>
      <w:r>
        <w:br/>
      </w:r>
      <w:r>
        <w:br/>
      </w:r>
      <w:r>
        <w:rPr>
          <w:rStyle w:val="VerbatimChar"/>
        </w:rPr>
        <w:t xml:space="preserve">  project_id          = "acme-data-cust-prod-amer-01"</w:t>
      </w:r>
      <w:r>
        <w:br/>
      </w:r>
      <w:r>
        <w:rPr>
          <w:rStyle w:val="VerbatimChar"/>
        </w:rPr>
        <w:t xml:space="preserve">  name                = "Customer Data Production"</w:t>
      </w:r>
      <w:r>
        <w:br/>
      </w:r>
      <w:r>
        <w:rPr>
          <w:rStyle w:val="VerbatimChar"/>
        </w:rPr>
        <w:t xml:space="preserve">  folder_id           = var.production_folder_id</w:t>
      </w:r>
      <w:r>
        <w:br/>
      </w:r>
      <w:r>
        <w:rPr>
          <w:rStyle w:val="VerbatimChar"/>
        </w:rPr>
        <w:t xml:space="preserve">  billing_account     = var.billing_account</w:t>
      </w:r>
      <w:r>
        <w:br/>
      </w:r>
      <w:r>
        <w:rPr>
          <w:rStyle w:val="VerbatimChar"/>
        </w:rPr>
        <w:t xml:space="preserve">  environment         = "prod"</w:t>
      </w:r>
      <w:r>
        <w:br/>
      </w:r>
      <w:r>
        <w:rPr>
          <w:rStyle w:val="VerbatimChar"/>
        </w:rPr>
        <w:t xml:space="preserve">  business_domain     = "customer"</w:t>
      </w:r>
      <w:r>
        <w:br/>
      </w:r>
      <w:r>
        <w:rPr>
          <w:rStyle w:val="VerbatimChar"/>
        </w:rPr>
        <w:t xml:space="preserve">  cost_center         = "cc-1042"</w:t>
      </w:r>
      <w:r>
        <w:br/>
      </w:r>
      <w:r>
        <w:rPr>
          <w:rStyle w:val="VerbatimChar"/>
        </w:rPr>
        <w:t xml:space="preserve">  application_id      = "app-02871"</w:t>
      </w:r>
      <w:r>
        <w:br/>
      </w:r>
      <w:r>
        <w:rPr>
          <w:rStyle w:val="VerbatimChar"/>
        </w:rPr>
        <w:t xml:space="preserve">  data_classification = "restricted"</w:t>
      </w:r>
      <w:r>
        <w:br/>
      </w:r>
      <w:r>
        <w:rPr>
          <w:rStyle w:val="VerbatimChar"/>
        </w:rPr>
        <w:t xml:space="preserve">  shared_vpc_host     = var.prod_amer_host_project</w:t>
      </w:r>
      <w:r>
        <w:br/>
      </w:r>
      <w:r>
        <w:rPr>
          <w:rStyle w:val="VerbatimChar"/>
        </w:rPr>
        <w:t xml:space="preserve">  subnet_self_links   = [var.data_subnet]</w:t>
      </w:r>
      <w:r>
        <w:br/>
      </w:r>
      <w:r>
        <w:rPr>
          <w:rStyle w:val="VerbatimChar"/>
        </w:rPr>
        <w:t xml:space="preserve">  perimeter_name      = var.restricted_data_perimeter</w:t>
      </w:r>
      <w:r>
        <w:br/>
      </w:r>
      <w:r>
        <w:rPr>
          <w:rStyle w:val="VerbatimChar"/>
        </w:rPr>
        <w:t xml:space="preserve">  activate_apis = [</w:t>
      </w:r>
      <w:r>
        <w:br/>
      </w:r>
      <w:r>
        <w:rPr>
          <w:rStyle w:val="VerbatimChar"/>
        </w:rPr>
        <w:t xml:space="preserve">    "bigquery.googleapis.com",</w:t>
      </w:r>
      <w:r>
        <w:br/>
      </w:r>
      <w:r>
        <w:rPr>
          <w:rStyle w:val="VerbatimChar"/>
        </w:rPr>
        <w:t xml:space="preserve">    "storage.googleapis.com",</w:t>
      </w:r>
      <w:r>
        <w:br/>
      </w:r>
      <w:r>
        <w:rPr>
          <w:rStyle w:val="VerbatimChar"/>
        </w:rPr>
        <w:t xml:space="preserve">    "logging.googleapis.com",</w:t>
      </w:r>
      <w:r>
        <w:br/>
      </w:r>
      <w:r>
        <w:rPr>
          <w:rStyle w:val="VerbatimChar"/>
        </w:rPr>
        <w:t xml:space="preserve">    "monitoring.googleapis.com"</w:t>
      </w:r>
      <w:r>
        <w:br/>
      </w:r>
      <w:r>
        <w:rPr>
          <w:rStyle w:val="VerbatimChar"/>
        </w:rPr>
        <w:t xml:space="preserve">  ]</w:t>
      </w:r>
      <w:r>
        <w:br/>
      </w:r>
      <w:r>
        <w:rPr>
          <w:rStyle w:val="VerbatimChar"/>
        </w:rPr>
        <w:t xml:space="preserve">}</w:t>
      </w:r>
    </w:p>
    <w:bookmarkEnd w:id="158"/>
    <w:bookmarkStart w:id="159" w:name="organization-policy-example"/>
    <w:p>
      <w:pPr>
        <w:pStyle w:val="Heading2"/>
        <w:keepNext/>
        <w:pageBreakBefore w:val="0"/>
      </w:pPr>
      <w:r>
        <w:t xml:space="preserve">9.4 Organization-policy example</w:t>
      </w:r>
    </w:p>
    <w:p>
      <w:pPr>
        <w:pStyle w:val="SourceCode"/>
      </w:pPr>
      <w:r>
        <w:rPr>
          <w:rStyle w:val="FunctionTok"/>
        </w:rPr>
        <w:t xml:space="preserve">name</w:t>
      </w:r>
      <w:r>
        <w:rPr>
          <w:rStyle w:val="KeywordTok"/>
        </w:rPr>
        <w:t xml:space="preserve">:</w:t>
      </w:r>
      <w:r>
        <w:rPr>
          <w:rStyle w:val="AttributeTok"/>
        </w:rPr>
        <w:t xml:space="preserve"> organizations/123456789/policies/iam.disableServiceAccountKeyCreation</w:t>
      </w:r>
      <w:r>
        <w:br/>
      </w:r>
      <w:r>
        <w:rPr>
          <w:rStyle w:val="FunctionTok"/>
        </w:rPr>
        <w:t xml:space="preserve">spec</w:t>
      </w:r>
      <w:r>
        <w:rPr>
          <w:rStyle w:val="KeywordTok"/>
        </w:rPr>
        <w:t xml:space="preserv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enforce</w:t>
      </w:r>
      <w:r>
        <w:rPr>
          <w:rStyle w:val="KeywordTok"/>
        </w:rPr>
        <w:t xml:space="preserve">:</w:t>
      </w:r>
      <w:r>
        <w:rPr>
          <w:rStyle w:val="AttributeTok"/>
        </w:rPr>
        <w:t xml:space="preserve"> </w:t>
      </w:r>
      <w:r>
        <w:rPr>
          <w:rStyle w:val="CharTok"/>
        </w:rPr>
        <w:t xml:space="preserve">true</w:t>
      </w:r>
    </w:p>
    <w:p>
      <w:pPr>
        <w:pStyle w:val="FirstParagraph"/>
      </w:pPr>
      <w:r>
        <w:t xml:space="preserve">Policies in the package are examples and must be reconciled with current constraint names, inherited policy state and service dependencies before apply.</w:t>
      </w:r>
    </w:p>
    <w:bookmarkEnd w:id="159"/>
    <w:bookmarkStart w:id="160" w:name="iam-example"/>
    <w:p>
      <w:pPr>
        <w:pStyle w:val="Heading2"/>
        <w:keepNext/>
        <w:pageBreakBefore w:val="0"/>
      </w:pPr>
      <w:r>
        <w:t xml:space="preserve">9.5 IAM example</w:t>
      </w:r>
    </w:p>
    <w:p>
      <w:pPr>
        <w:pStyle w:val="SourceCode"/>
      </w:pPr>
      <w:r>
        <w:rPr>
          <w:rStyle w:val="FunctionTok"/>
        </w:rPr>
        <w:t xml:space="preserve">bindings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roles/compute.networkUser</w:t>
      </w:r>
      <w:r>
        <w:br/>
      </w:r>
      <w:r>
        <w:rPr>
          <w:rStyle w:val="AttributeTok"/>
        </w:rPr>
        <w:t xml:space="preserve">    </w:t>
      </w:r>
      <w:r>
        <w:rPr>
          <w:rStyle w:val="FunctionTok"/>
        </w:rPr>
        <w:t xml:space="preserve">members</w:t>
      </w:r>
      <w:r>
        <w:rPr>
          <w:rStyle w:val="KeywordTok"/>
        </w:rPr>
        <w:t xml:space="preserve">:</w:t>
      </w:r>
      <w:r>
        <w:br/>
      </w:r>
      <w:r>
        <w:rPr>
          <w:rStyle w:val="AttributeTok"/>
        </w:rPr>
        <w:t xml:space="preserve">      </w:t>
      </w:r>
      <w:r>
        <w:rPr>
          <w:rStyle w:val="KeywordTok"/>
        </w:rPr>
        <w:t xml:space="preserve">-</w:t>
      </w:r>
      <w:r>
        <w:rPr>
          <w:rStyle w:val="AttributeTok"/>
        </w:rPr>
        <w:t xml:space="preserve"> serviceAccount:sa-dataflow-run-prod@acme-data-cust-prod-amer-01.iam.gserviceaccount.com</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approved_data_subnet</w:t>
      </w:r>
      <w:r>
        <w:br/>
      </w:r>
      <w:r>
        <w:rPr>
          <w:rStyle w:val="AttributeTok"/>
        </w:rPr>
        <w:t xml:space="preserve">      </w:t>
      </w:r>
      <w:r>
        <w:rPr>
          <w:rStyle w:val="FunctionTok"/>
        </w:rPr>
        <w:t xml:space="preserve">expression</w:t>
      </w:r>
      <w:r>
        <w:rPr>
          <w:rStyle w:val="KeywordTok"/>
        </w:rPr>
        <w:t xml:space="preserve">:</w:t>
      </w:r>
      <w:r>
        <w:rPr>
          <w:rStyle w:val="AttributeTok"/>
        </w:rPr>
        <w:t xml:space="preserve"> resource.name.startsWith("projects/prj-net-prod-amer/regions/us-central1/subnetworks/sn-uscentral1-data")</w:t>
      </w:r>
    </w:p>
    <w:p>
      <w:pPr>
        <w:pStyle w:val="FirstParagraph"/>
      </w:pPr>
      <w:r>
        <w:t xml:space="preserve">The actual condition syntax and resource support must be tested against the target API and policy version.</w:t>
      </w:r>
    </w:p>
    <w:bookmarkEnd w:id="160"/>
    <w:bookmarkStart w:id="161" w:name="firewall-policy-example"/>
    <w:p>
      <w:pPr>
        <w:pStyle w:val="Heading2"/>
        <w:keepNext/>
        <w:pageBreakBefore w:val="0"/>
      </w:pPr>
      <w:r>
        <w:t xml:space="preserve">9.6 Firewall-policy example</w:t>
      </w:r>
    </w:p>
    <w:p>
      <w:pPr>
        <w:pStyle w:val="SourceCode"/>
      </w:pP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direction</w:t>
      </w:r>
      <w:r>
        <w:rPr>
          <w:rStyle w:val="KeywordTok"/>
        </w:rPr>
        <w:t xml:space="preserve">:</w:t>
      </w:r>
      <w:r>
        <w:rPr>
          <w:rStyle w:val="AttributeTok"/>
        </w:rPr>
        <w:t xml:space="preserve"> INGRESS</w:t>
      </w:r>
      <w:r>
        <w:br/>
      </w:r>
      <w:r>
        <w:rPr>
          <w:rStyle w:val="AttributeTok"/>
        </w:rPr>
        <w:t xml:space="preserve">    </w:t>
      </w:r>
      <w:r>
        <w:rPr>
          <w:rStyle w:val="FunctionTok"/>
        </w:rPr>
        <w:t xml:space="preserve">action</w:t>
      </w:r>
      <w:r>
        <w:rPr>
          <w:rStyle w:val="KeywordTok"/>
        </w:rPr>
        <w:t xml:space="preserve">:</w:t>
      </w:r>
      <w:r>
        <w:rPr>
          <w:rStyle w:val="AttributeTok"/>
        </w:rPr>
        <w:t xml:space="preserve"> deny</w:t>
      </w:r>
      <w:r>
        <w:br/>
      </w:r>
      <w:r>
        <w:rPr>
          <w:rStyle w:val="AttributeTok"/>
        </w:rPr>
        <w:t xml:space="preserve">    </w:t>
      </w:r>
      <w:r>
        <w:rPr>
          <w:rStyle w:val="FunctionTok"/>
        </w:rPr>
        <w:t xml:space="preserve">sourceRanges</w:t>
      </w:r>
      <w:r>
        <w:rPr>
          <w:rStyle w:val="KeywordTok"/>
        </w:rPr>
        <w:t xml:space="preserve">:</w:t>
      </w:r>
      <w:r>
        <w:rPr>
          <w:rStyle w:val="AttributeTok"/>
        </w:rPr>
        <w:t xml:space="preserve"> </w:t>
      </w:r>
      <w:r>
        <w:rPr>
          <w:rStyle w:val="KeywordTok"/>
        </w:rPr>
        <w:t xml:space="preserve">[</w:t>
      </w:r>
      <w:r>
        <w:rPr>
          <w:rStyle w:val="StringTok"/>
        </w:rPr>
        <w:t xml:space="preserve">"0.0.0.0/0"</w:t>
      </w:r>
      <w:r>
        <w:rPr>
          <w:rStyle w:val="KeywordTok"/>
        </w:rPr>
        <w:t xml:space="preserve">]</w:t>
      </w:r>
      <w:r>
        <w:br/>
      </w:r>
      <w:r>
        <w:rPr>
          <w:rStyle w:val="AttributeTok"/>
        </w:rPr>
        <w:t xml:space="preserve">    </w:t>
      </w:r>
      <w:r>
        <w:rPr>
          <w:rStyle w:val="FunctionTok"/>
        </w:rPr>
        <w:t xml:space="preserve">layer4Configs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ipProtocol</w:t>
      </w:r>
      <w:r>
        <w:rPr>
          <w:rStyle w:val="KeywordTok"/>
        </w:rPr>
        <w:t xml:space="preserve">:</w:t>
      </w:r>
      <w:r>
        <w:rPr>
          <w:rStyle w:val="AttributeTok"/>
        </w:rPr>
        <w:t xml:space="preserve"> all</w:t>
      </w:r>
      <w:r>
        <w:br/>
      </w:r>
      <w:r>
        <w:rPr>
          <w:rStyle w:val="AttributeTok"/>
        </w:rPr>
        <w:t xml:space="preserve">    </w:t>
      </w:r>
      <w:r>
        <w:rPr>
          <w:rStyle w:val="FunctionTok"/>
        </w:rPr>
        <w:t xml:space="preserve">targetResources</w:t>
      </w:r>
      <w:r>
        <w:rPr>
          <w:rStyle w:val="KeywordTok"/>
        </w:rPr>
        <w:t xml:space="preserve">:</w:t>
      </w:r>
      <w:r>
        <w:br/>
      </w:r>
      <w:r>
        <w:rPr>
          <w:rStyle w:val="AttributeTok"/>
        </w:rPr>
        <w:t xml:space="preserve">      </w:t>
      </w:r>
      <w:r>
        <w:rPr>
          <w:rStyle w:val="KeywordTok"/>
        </w:rPr>
        <w:t xml:space="preserve">-</w:t>
      </w:r>
      <w:r>
        <w:rPr>
          <w:rStyle w:val="AttributeTok"/>
        </w:rPr>
        <w:t xml:space="preserve"> tagValues/INTERNET_ADMIN_PROHIBITED</w:t>
      </w:r>
      <w:r>
        <w:br/>
      </w:r>
      <w:r>
        <w:rPr>
          <w:rStyle w:val="AttributeTok"/>
        </w:rPr>
        <w:t xml:space="preserve">    </w:t>
      </w:r>
      <w:r>
        <w:rPr>
          <w:rStyle w:val="FunctionTok"/>
        </w:rPr>
        <w:t xml:space="preserve">enableLogging</w:t>
      </w:r>
      <w:r>
        <w:rPr>
          <w:rStyle w:val="KeywordTok"/>
        </w:rPr>
        <w:t xml:space="preserve">:</w:t>
      </w:r>
      <w:r>
        <w:rPr>
          <w:rStyle w:val="AttributeTok"/>
        </w:rPr>
        <w:t xml:space="preserve"> </w:t>
      </w:r>
      <w:r>
        <w:rPr>
          <w:rStyle w:val="CharTok"/>
        </w:rPr>
        <w:t xml:space="preserve">true</w:t>
      </w:r>
    </w:p>
    <w:p>
      <w:pPr>
        <w:pStyle w:val="FirstParagraph"/>
      </w:pPr>
      <w:r>
        <w:t xml:space="preserve">The package includes a more complete example with rule ownership and exception metadata.</w:t>
      </w:r>
    </w:p>
    <w:bookmarkEnd w:id="161"/>
    <w:bookmarkStart w:id="162" w:name="cicd-controls"/>
    <w:p>
      <w:pPr>
        <w:pStyle w:val="Heading2"/>
        <w:keepNext/>
        <w:pageBreakBefore w:val="0"/>
      </w:pPr>
      <w:r>
        <w:t xml:space="preserve">9.7 CI/CD controls</w:t>
      </w:r>
    </w:p>
    <w:p>
      <w:pPr>
        <w:pStyle w:val="FirstParagraph"/>
      </w:pPr>
      <w:r>
        <w:t xml:space="preserve">The landing-zone pipeline performs:</w:t>
      </w:r>
    </w:p>
    <w:p>
      <w:pPr>
        <w:pStyle w:val="Compact"/>
        <w:numPr>
          <w:ilvl w:val="0"/>
          <w:numId w:val="1035"/>
        </w:numPr>
      </w:pPr>
      <w:r>
        <w:t xml:space="preserve">Formatting and linting.</w:t>
      </w:r>
    </w:p>
    <w:p>
      <w:pPr>
        <w:pStyle w:val="Compact"/>
        <w:numPr>
          <w:ilvl w:val="0"/>
          <w:numId w:val="1035"/>
        </w:numPr>
      </w:pPr>
      <w:r>
        <w:t xml:space="preserve">Provider and module version checks.</w:t>
      </w:r>
    </w:p>
    <w:p>
      <w:pPr>
        <w:pStyle w:val="Compact"/>
        <w:numPr>
          <w:ilvl w:val="0"/>
          <w:numId w:val="1035"/>
        </w:numPr>
      </w:pPr>
      <w:r>
        <w:t xml:space="preserve">Terraform validation.</w:t>
      </w:r>
    </w:p>
    <w:p>
      <w:pPr>
        <w:pStyle w:val="Compact"/>
        <w:numPr>
          <w:ilvl w:val="0"/>
          <w:numId w:val="1035"/>
        </w:numPr>
      </w:pPr>
      <w:r>
        <w:t xml:space="preserve">Static security analysis.</w:t>
      </w:r>
    </w:p>
    <w:p>
      <w:pPr>
        <w:pStyle w:val="Compact"/>
        <w:numPr>
          <w:ilvl w:val="0"/>
          <w:numId w:val="1035"/>
        </w:numPr>
      </w:pPr>
      <w:r>
        <w:t xml:space="preserve">Policy-as-code evaluation.</w:t>
      </w:r>
    </w:p>
    <w:p>
      <w:pPr>
        <w:pStyle w:val="Compact"/>
        <w:numPr>
          <w:ilvl w:val="0"/>
          <w:numId w:val="1035"/>
        </w:numPr>
      </w:pPr>
      <w:r>
        <w:t xml:space="preserve">Unit and contract tests.</w:t>
      </w:r>
    </w:p>
    <w:p>
      <w:pPr>
        <w:pStyle w:val="Compact"/>
        <w:numPr>
          <w:ilvl w:val="0"/>
          <w:numId w:val="1035"/>
        </w:numPr>
      </w:pPr>
      <w:r>
        <w:t xml:space="preserve">Plan generation in a controlled execution project.</w:t>
      </w:r>
    </w:p>
    <w:p>
      <w:pPr>
        <w:pStyle w:val="Compact"/>
        <w:numPr>
          <w:ilvl w:val="0"/>
          <w:numId w:val="1035"/>
        </w:numPr>
      </w:pPr>
      <w:r>
        <w:t xml:space="preserve">Human approval for production-impacting changes.</w:t>
      </w:r>
    </w:p>
    <w:p>
      <w:pPr>
        <w:pStyle w:val="Compact"/>
        <w:numPr>
          <w:ilvl w:val="0"/>
          <w:numId w:val="1035"/>
        </w:numPr>
      </w:pPr>
      <w:r>
        <w:t xml:space="preserve">Apply using a dedicated deployment identity.</w:t>
      </w:r>
    </w:p>
    <w:p>
      <w:pPr>
        <w:pStyle w:val="Compact"/>
        <w:numPr>
          <w:ilvl w:val="0"/>
          <w:numId w:val="1035"/>
        </w:numPr>
      </w:pPr>
      <w:r>
        <w:t xml:space="preserve">Post-deployment verification.</w:t>
      </w:r>
    </w:p>
    <w:p>
      <w:pPr>
        <w:pStyle w:val="Compact"/>
        <w:numPr>
          <w:ilvl w:val="0"/>
          <w:numId w:val="1035"/>
        </w:numPr>
      </w:pPr>
      <w:r>
        <w:t xml:space="preserve">Evidence publication and CMDB update.</w:t>
      </w:r>
    </w:p>
    <w:p>
      <w:pPr>
        <w:pStyle w:val="Compact"/>
        <w:numPr>
          <w:ilvl w:val="0"/>
          <w:numId w:val="1035"/>
        </w:numPr>
      </w:pPr>
      <w:r>
        <w:t xml:space="preserve">Drift monitoring.</w:t>
      </w:r>
    </w:p>
    <w:p>
      <w:pPr>
        <w:pStyle w:val="FirstParagraph"/>
      </w:pPr>
      <w:r>
        <w:t xml:space="preserve">Production applies are not executed from developer workstations.</w:t>
      </w:r>
    </w:p>
    <w:bookmarkEnd w:id="162"/>
    <w:bookmarkEnd w:id="163"/>
    <w:bookmarkStart w:id="172" w:name="landing-zone-deployment-sequence"/>
    <w:p>
      <w:pPr>
        <w:pStyle w:val="Heading1"/>
        <w:keepNext/>
        <w:pageBreakBefore w:val="0"/>
      </w:pPr>
      <w:r>
        <w:t xml:space="preserve">10. Landing-Zone Deployment Sequence</w:t>
      </w:r>
    </w:p>
    <w:bookmarkStart w:id="164" w:name="deployment-waves"/>
    <w:p>
      <w:pPr>
        <w:pStyle w:val="Heading2"/>
        <w:keepNext/>
        <w:pageBreakBefore w:val="0"/>
      </w:pPr>
      <w:r>
        <w:t xml:space="preserve">10.1 Deployment waves</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Wave</w:t>
            </w:r>
          </w:p>
        </w:tc>
        <w:tc>
          <w:tcPr>
            <w:vAlign w:val="center"/>
            <w:tcMar>
              <w:top w:w="70" w:type="dxa"/>
              <w:left w:w="85" w:type="dxa"/>
              <w:bottom w:w="70" w:type="dxa"/>
              <w:right w:w="85" w:type="dxa"/>
            </w:tcMar>
          </w:tcPr>
          <w:p>
            <w:pPr>
              <w:spacing w:after="30" w:before="0"/>
              <w:jc w:val="left"/>
            </w:pPr>
            <w:r>
              <w:rPr>
                <w:rFonts w:ascii="Arial" w:hAnsi="Arial"/>
                <w:b/>
                <w:sz w:val="16"/>
              </w:rPr>
              <w:t xml:space="preserve">Scope</w:t>
            </w:r>
          </w:p>
        </w:tc>
        <w:tc>
          <w:tcPr>
            <w:vAlign w:val="center"/>
            <w:tcMar>
              <w:top w:w="70" w:type="dxa"/>
              <w:left w:w="85" w:type="dxa"/>
              <w:bottom w:w="70" w:type="dxa"/>
              <w:right w:w="85" w:type="dxa"/>
            </w:tcMar>
          </w:tcPr>
          <w:p>
            <w:pPr>
              <w:spacing w:after="30" w:before="0"/>
              <w:jc w:val="left"/>
            </w:pPr>
            <w:r>
              <w:rPr>
                <w:rFonts w:ascii="Arial" w:hAnsi="Arial"/>
                <w:b/>
                <w:sz w:val="16"/>
              </w:rPr>
              <w:t xml:space="preserve">Exit 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0</w:t>
            </w:r>
          </w:p>
        </w:tc>
        <w:tc>
          <w:tcPr>
            <w:vAlign w:val="center"/>
            <w:tcMar>
              <w:top w:w="70" w:type="dxa"/>
              <w:left w:w="85" w:type="dxa"/>
              <w:bottom w:w="70" w:type="dxa"/>
              <w:right w:w="85" w:type="dxa"/>
            </w:tcMar>
          </w:tcPr>
          <w:p>
            <w:pPr>
              <w:spacing w:after="30" w:before="0"/>
              <w:jc w:val="left"/>
            </w:pPr>
            <w:r>
              <w:rPr>
                <w:rFonts w:ascii="Arial" w:hAnsi="Arial"/>
                <w:sz w:val="16"/>
              </w:rPr>
              <w:t xml:space="preserve">Governance and prerequisites</w:t>
            </w:r>
          </w:p>
        </w:tc>
        <w:tc>
          <w:tcPr>
            <w:vAlign w:val="center"/>
            <w:tcMar>
              <w:top w:w="70" w:type="dxa"/>
              <w:left w:w="85" w:type="dxa"/>
              <w:bottom w:w="70" w:type="dxa"/>
              <w:right w:w="85" w:type="dxa"/>
            </w:tcMar>
          </w:tcPr>
          <w:p>
            <w:pPr>
              <w:spacing w:after="30" w:before="0"/>
              <w:jc w:val="left"/>
            </w:pPr>
            <w:r>
              <w:rPr>
                <w:rFonts w:ascii="Arial" w:hAnsi="Arial"/>
                <w:sz w:val="16"/>
              </w:rPr>
              <w:t xml:space="preserve">Executive sponsor, owners, billing, domain and region decisions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1</w:t>
            </w:r>
          </w:p>
        </w:tc>
        <w:tc>
          <w:tcPr>
            <w:vAlign w:val="center"/>
            <w:tcMar>
              <w:top w:w="70" w:type="dxa"/>
              <w:left w:w="85" w:type="dxa"/>
              <w:bottom w:w="70" w:type="dxa"/>
              <w:right w:w="85" w:type="dxa"/>
            </w:tcMar>
          </w:tcPr>
          <w:p>
            <w:pPr>
              <w:spacing w:after="30" w:before="0"/>
              <w:jc w:val="left"/>
            </w:pPr>
            <w:r>
              <w:rPr>
                <w:rFonts w:ascii="Arial" w:hAnsi="Arial"/>
                <w:sz w:val="16"/>
              </w:rPr>
              <w:t xml:space="preserve">Bootstrap</w:t>
            </w:r>
          </w:p>
        </w:tc>
        <w:tc>
          <w:tcPr>
            <w:vAlign w:val="center"/>
            <w:tcMar>
              <w:top w:w="70" w:type="dxa"/>
              <w:left w:w="85" w:type="dxa"/>
              <w:bottom w:w="70" w:type="dxa"/>
              <w:right w:w="85" w:type="dxa"/>
            </w:tcMar>
          </w:tcPr>
          <w:p>
            <w:pPr>
              <w:spacing w:after="30" w:before="0"/>
              <w:jc w:val="left"/>
            </w:pPr>
            <w:r>
              <w:rPr>
                <w:rFonts w:ascii="Arial" w:hAnsi="Arial"/>
                <w:sz w:val="16"/>
              </w:rPr>
              <w:t xml:space="preserve">State storage, seed project, federated CI/CD and audit trail</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2</w:t>
            </w:r>
          </w:p>
        </w:tc>
        <w:tc>
          <w:tcPr>
            <w:vAlign w:val="center"/>
            <w:tcMar>
              <w:top w:w="70" w:type="dxa"/>
              <w:left w:w="85" w:type="dxa"/>
              <w:bottom w:w="70" w:type="dxa"/>
              <w:right w:w="85" w:type="dxa"/>
            </w:tcMar>
          </w:tcPr>
          <w:p>
            <w:pPr>
              <w:spacing w:after="30" w:before="0"/>
              <w:jc w:val="left"/>
            </w:pPr>
            <w:r>
              <w:rPr>
                <w:rFonts w:ascii="Arial" w:hAnsi="Arial"/>
                <w:sz w:val="16"/>
              </w:rPr>
              <w:t xml:space="preserve">Organization hierarchy</w:t>
            </w:r>
          </w:p>
        </w:tc>
        <w:tc>
          <w:tcPr>
            <w:vAlign w:val="center"/>
            <w:tcMar>
              <w:top w:w="70" w:type="dxa"/>
              <w:left w:w="85" w:type="dxa"/>
              <w:bottom w:w="70" w:type="dxa"/>
              <w:right w:w="85" w:type="dxa"/>
            </w:tcMar>
          </w:tcPr>
          <w:p>
            <w:pPr>
              <w:spacing w:after="30" w:before="0"/>
              <w:jc w:val="left"/>
            </w:pPr>
            <w:r>
              <w:rPr>
                <w:rFonts w:ascii="Arial" w:hAnsi="Arial"/>
                <w:sz w:val="16"/>
              </w:rPr>
              <w:t xml:space="preserve">Folders, groups, baseline IAM and resource-location policy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3</w:t>
            </w:r>
          </w:p>
        </w:tc>
        <w:tc>
          <w:tcPr>
            <w:vAlign w:val="center"/>
            <w:tcMar>
              <w:top w:w="70" w:type="dxa"/>
              <w:left w:w="85" w:type="dxa"/>
              <w:bottom w:w="70" w:type="dxa"/>
              <w:right w:w="85" w:type="dxa"/>
            </w:tcMar>
          </w:tcPr>
          <w:p>
            <w:pPr>
              <w:spacing w:after="30" w:before="0"/>
              <w:jc w:val="left"/>
            </w:pPr>
            <w:r>
              <w:rPr>
                <w:rFonts w:ascii="Arial" w:hAnsi="Arial"/>
                <w:sz w:val="16"/>
              </w:rPr>
              <w:t xml:space="preserve">Security foundation</w:t>
            </w:r>
          </w:p>
        </w:tc>
        <w:tc>
          <w:tcPr>
            <w:vAlign w:val="center"/>
            <w:tcMar>
              <w:top w:w="70" w:type="dxa"/>
              <w:left w:w="85" w:type="dxa"/>
              <w:bottom w:w="70" w:type="dxa"/>
              <w:right w:w="85" w:type="dxa"/>
            </w:tcMar>
          </w:tcPr>
          <w:p>
            <w:pPr>
              <w:spacing w:after="30" w:before="0"/>
              <w:jc w:val="left"/>
            </w:pPr>
            <w:r>
              <w:rPr>
                <w:rFonts w:ascii="Arial" w:hAnsi="Arial"/>
                <w:sz w:val="16"/>
              </w:rPr>
              <w:t xml:space="preserve">Organization policies, SCC, logging sinks, KMS and break glass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4</w:t>
            </w:r>
          </w:p>
        </w:tc>
        <w:tc>
          <w:tcPr>
            <w:vAlign w:val="center"/>
            <w:tcMar>
              <w:top w:w="70" w:type="dxa"/>
              <w:left w:w="85" w:type="dxa"/>
              <w:bottom w:w="70" w:type="dxa"/>
              <w:right w:w="85" w:type="dxa"/>
            </w:tcMar>
          </w:tcPr>
          <w:p>
            <w:pPr>
              <w:spacing w:after="30" w:before="0"/>
              <w:jc w:val="left"/>
            </w:pPr>
            <w:r>
              <w:rPr>
                <w:rFonts w:ascii="Arial" w:hAnsi="Arial"/>
                <w:sz w:val="16"/>
              </w:rPr>
              <w:t xml:space="preserve">Network foundation</w:t>
            </w:r>
          </w:p>
        </w:tc>
        <w:tc>
          <w:tcPr>
            <w:vAlign w:val="center"/>
            <w:tcMar>
              <w:top w:w="70" w:type="dxa"/>
              <w:left w:w="85" w:type="dxa"/>
              <w:bottom w:w="70" w:type="dxa"/>
              <w:right w:w="85" w:type="dxa"/>
            </w:tcMar>
          </w:tcPr>
          <w:p>
            <w:pPr>
              <w:spacing w:after="30" w:before="0"/>
              <w:jc w:val="left"/>
            </w:pPr>
            <w:r>
              <w:rPr>
                <w:rFonts w:ascii="Arial" w:hAnsi="Arial"/>
                <w:sz w:val="16"/>
              </w:rPr>
              <w:t xml:space="preserve">Shared VPCs, IPAM, DNS, firewall and private API access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5</w:t>
            </w:r>
          </w:p>
        </w:tc>
        <w:tc>
          <w:tcPr>
            <w:vAlign w:val="center"/>
            <w:tcMar>
              <w:top w:w="70" w:type="dxa"/>
              <w:left w:w="85" w:type="dxa"/>
              <w:bottom w:w="70" w:type="dxa"/>
              <w:right w:w="85" w:type="dxa"/>
            </w:tcMar>
          </w:tcPr>
          <w:p>
            <w:pPr>
              <w:spacing w:after="30" w:before="0"/>
              <w:jc w:val="left"/>
            </w:pPr>
            <w:r>
              <w:rPr>
                <w:rFonts w:ascii="Arial" w:hAnsi="Arial"/>
                <w:sz w:val="16"/>
              </w:rPr>
              <w:t xml:space="preserve">Hybrid connectivity</w:t>
            </w:r>
          </w:p>
        </w:tc>
        <w:tc>
          <w:tcPr>
            <w:vAlign w:val="center"/>
            <w:tcMar>
              <w:top w:w="70" w:type="dxa"/>
              <w:left w:w="85" w:type="dxa"/>
              <w:bottom w:w="70" w:type="dxa"/>
              <w:right w:w="85" w:type="dxa"/>
            </w:tcMar>
          </w:tcPr>
          <w:p>
            <w:pPr>
              <w:spacing w:after="30" w:before="0"/>
              <w:jc w:val="left"/>
            </w:pPr>
            <w:r>
              <w:rPr>
                <w:rFonts w:ascii="Arial" w:hAnsi="Arial"/>
                <w:sz w:val="16"/>
              </w:rPr>
              <w:t xml:space="preserve">Redundant Interconnect/VPN, route controls and tested failover</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6</w:t>
            </w:r>
          </w:p>
        </w:tc>
        <w:tc>
          <w:tcPr>
            <w:vAlign w:val="center"/>
            <w:tcMar>
              <w:top w:w="70" w:type="dxa"/>
              <w:left w:w="85" w:type="dxa"/>
              <w:bottom w:w="70" w:type="dxa"/>
              <w:right w:w="85" w:type="dxa"/>
            </w:tcMar>
          </w:tcPr>
          <w:p>
            <w:pPr>
              <w:spacing w:after="30" w:before="0"/>
              <w:jc w:val="left"/>
            </w:pPr>
            <w:r>
              <w:rPr>
                <w:rFonts w:ascii="Arial" w:hAnsi="Arial"/>
                <w:sz w:val="16"/>
              </w:rPr>
              <w:t xml:space="preserve">Project factory</w:t>
            </w:r>
          </w:p>
        </w:tc>
        <w:tc>
          <w:tcPr>
            <w:vAlign w:val="center"/>
            <w:tcMar>
              <w:top w:w="70" w:type="dxa"/>
              <w:left w:w="85" w:type="dxa"/>
              <w:bottom w:w="70" w:type="dxa"/>
              <w:right w:w="85" w:type="dxa"/>
            </w:tcMar>
          </w:tcPr>
          <w:p>
            <w:pPr>
              <w:spacing w:after="30" w:before="0"/>
              <w:jc w:val="left"/>
            </w:pPr>
            <w:r>
              <w:rPr>
                <w:rFonts w:ascii="Arial" w:hAnsi="Arial"/>
                <w:sz w:val="16"/>
              </w:rPr>
              <w:t xml:space="preserve">Automated project creation, labels, APIs, IAM and registrations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7</w:t>
            </w:r>
          </w:p>
        </w:tc>
        <w:tc>
          <w:tcPr>
            <w:vAlign w:val="center"/>
            <w:tcMar>
              <w:top w:w="70" w:type="dxa"/>
              <w:left w:w="85" w:type="dxa"/>
              <w:bottom w:w="70" w:type="dxa"/>
              <w:right w:w="85" w:type="dxa"/>
            </w:tcMar>
          </w:tcPr>
          <w:p>
            <w:pPr>
              <w:spacing w:after="30" w:before="0"/>
              <w:jc w:val="left"/>
            </w:pPr>
            <w:r>
              <w:rPr>
                <w:rFonts w:ascii="Arial" w:hAnsi="Arial"/>
                <w:sz w:val="16"/>
              </w:rPr>
              <w:t xml:space="preserve">Service perimeters</w:t>
            </w:r>
          </w:p>
        </w:tc>
        <w:tc>
          <w:tcPr>
            <w:vAlign w:val="center"/>
            <w:tcMar>
              <w:top w:w="70" w:type="dxa"/>
              <w:left w:w="85" w:type="dxa"/>
              <w:bottom w:w="70" w:type="dxa"/>
              <w:right w:w="85" w:type="dxa"/>
            </w:tcMar>
          </w:tcPr>
          <w:p>
            <w:pPr>
              <w:spacing w:after="30" w:before="0"/>
              <w:jc w:val="left"/>
            </w:pPr>
            <w:r>
              <w:rPr>
                <w:rFonts w:ascii="Arial" w:hAnsi="Arial"/>
                <w:sz w:val="16"/>
              </w:rPr>
              <w:t xml:space="preserve">Dry-run, remediation and staged enforcement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8</w:t>
            </w:r>
          </w:p>
        </w:tc>
        <w:tc>
          <w:tcPr>
            <w:vAlign w:val="center"/>
            <w:tcMar>
              <w:top w:w="70" w:type="dxa"/>
              <w:left w:w="85" w:type="dxa"/>
              <w:bottom w:w="70" w:type="dxa"/>
              <w:right w:w="85" w:type="dxa"/>
            </w:tcMar>
          </w:tcPr>
          <w:p>
            <w:pPr>
              <w:spacing w:after="30" w:before="0"/>
              <w:jc w:val="left"/>
            </w:pPr>
            <w:r>
              <w:rPr>
                <w:rFonts w:ascii="Arial" w:hAnsi="Arial"/>
                <w:sz w:val="16"/>
              </w:rPr>
              <w:t xml:space="preserve">Operations</w:t>
            </w:r>
          </w:p>
        </w:tc>
        <w:tc>
          <w:tcPr>
            <w:vAlign w:val="center"/>
            <w:tcMar>
              <w:top w:w="70" w:type="dxa"/>
              <w:left w:w="85" w:type="dxa"/>
              <w:bottom w:w="70" w:type="dxa"/>
              <w:right w:w="85" w:type="dxa"/>
            </w:tcMar>
          </w:tcPr>
          <w:p>
            <w:pPr>
              <w:spacing w:after="30" w:before="0"/>
              <w:jc w:val="left"/>
            </w:pPr>
            <w:r>
              <w:rPr>
                <w:rFonts w:ascii="Arial" w:hAnsi="Arial"/>
                <w:sz w:val="16"/>
              </w:rPr>
              <w:t xml:space="preserve">Monitoring, SLOs, SIEM/SOAR and runbooks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9</w:t>
            </w:r>
          </w:p>
        </w:tc>
        <w:tc>
          <w:tcPr>
            <w:vAlign w:val="center"/>
            <w:tcMar>
              <w:top w:w="70" w:type="dxa"/>
              <w:left w:w="85" w:type="dxa"/>
              <w:bottom w:w="70" w:type="dxa"/>
              <w:right w:w="85" w:type="dxa"/>
            </w:tcMar>
          </w:tcPr>
          <w:p>
            <w:pPr>
              <w:spacing w:after="30" w:before="0"/>
              <w:jc w:val="left"/>
            </w:pPr>
            <w:r>
              <w:rPr>
                <w:rFonts w:ascii="Arial" w:hAnsi="Arial"/>
                <w:sz w:val="16"/>
              </w:rPr>
              <w:t xml:space="preserve">Pilot workloads</w:t>
            </w:r>
          </w:p>
        </w:tc>
        <w:tc>
          <w:tcPr>
            <w:vAlign w:val="center"/>
            <w:tcMar>
              <w:top w:w="70" w:type="dxa"/>
              <w:left w:w="85" w:type="dxa"/>
              <w:bottom w:w="70" w:type="dxa"/>
              <w:right w:w="85" w:type="dxa"/>
            </w:tcMar>
          </w:tcPr>
          <w:p>
            <w:pPr>
              <w:spacing w:after="30" w:before="0"/>
              <w:jc w:val="left"/>
            </w:pPr>
            <w:r>
              <w:rPr>
                <w:rFonts w:ascii="Arial" w:hAnsi="Arial"/>
                <w:sz w:val="16"/>
              </w:rPr>
              <w:t xml:space="preserve">Representative data, application and AI projects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10</w:t>
            </w:r>
          </w:p>
        </w:tc>
        <w:tc>
          <w:tcPr>
            <w:vAlign w:val="center"/>
            <w:tcMar>
              <w:top w:w="70" w:type="dxa"/>
              <w:left w:w="85" w:type="dxa"/>
              <w:bottom w:w="70" w:type="dxa"/>
              <w:right w:w="85" w:type="dxa"/>
            </w:tcMar>
          </w:tcPr>
          <w:p>
            <w:pPr>
              <w:spacing w:after="30" w:before="0"/>
              <w:jc w:val="left"/>
            </w:pPr>
            <w:r>
              <w:rPr>
                <w:rFonts w:ascii="Arial" w:hAnsi="Arial"/>
                <w:sz w:val="16"/>
              </w:rPr>
              <w:t xml:space="preserve">Scale-out</w:t>
            </w:r>
          </w:p>
        </w:tc>
        <w:tc>
          <w:tcPr>
            <w:vAlign w:val="center"/>
            <w:tcMar>
              <w:top w:w="70" w:type="dxa"/>
              <w:left w:w="85" w:type="dxa"/>
              <w:bottom w:w="70" w:type="dxa"/>
              <w:right w:w="85" w:type="dxa"/>
            </w:tcMar>
          </w:tcPr>
          <w:p>
            <w:pPr>
              <w:spacing w:after="30" w:before="0"/>
              <w:jc w:val="left"/>
            </w:pPr>
            <w:r>
              <w:rPr>
                <w:rFonts w:ascii="Arial" w:hAnsi="Arial"/>
                <w:sz w:val="16"/>
              </w:rPr>
              <w:t xml:space="preserve">Domain onboarding, controls assurance and continuous improvement</w:t>
            </w:r>
          </w:p>
        </w:tc>
      </w:tr>
    </w:tbl>
    <w:bookmarkEnd w:id="164"/>
    <w:bookmarkStart w:id="171" w:name="detailed-sequence"/>
    <w:p>
      <w:pPr>
        <w:pStyle w:val="Heading2"/>
        <w:keepNext/>
        <w:pageBreakBefore w:val="0"/>
      </w:pPr>
      <w:r>
        <w:t xml:space="preserve">10.2 Detailed sequence</w:t>
      </w:r>
    </w:p>
    <w:bookmarkStart w:id="165" w:name="phase-a-mobilize"/>
    <w:p>
      <w:pPr>
        <w:pStyle w:val="Heading3"/>
        <w:keepNext/>
        <w:pageBreakBefore w:val="0"/>
      </w:pPr>
      <w:r>
        <w:t xml:space="preserve">Phase A — Mobilize</w:t>
      </w:r>
    </w:p>
    <w:p>
      <w:pPr>
        <w:pStyle w:val="Compact"/>
        <w:numPr>
          <w:ilvl w:val="0"/>
          <w:numId w:val="1036"/>
        </w:numPr>
      </w:pPr>
      <w:r>
        <w:t xml:space="preserve">Confirm organization ownership and super-administrator recovery.</w:t>
      </w:r>
    </w:p>
    <w:p>
      <w:pPr>
        <w:pStyle w:val="Compact"/>
        <w:numPr>
          <w:ilvl w:val="0"/>
          <w:numId w:val="1036"/>
        </w:numPr>
      </w:pPr>
      <w:r>
        <w:t xml:space="preserve">Establish architecture, security, network, identity, operations and FinOps workstreams.</w:t>
      </w:r>
    </w:p>
    <w:p>
      <w:pPr>
        <w:pStyle w:val="Compact"/>
        <w:numPr>
          <w:ilvl w:val="0"/>
          <w:numId w:val="1036"/>
        </w:numPr>
      </w:pPr>
      <w:r>
        <w:t xml:space="preserve">Confirm billing accounts, contracts, support tier and escalation paths.</w:t>
      </w:r>
    </w:p>
    <w:p>
      <w:pPr>
        <w:pStyle w:val="Compact"/>
        <w:numPr>
          <w:ilvl w:val="0"/>
          <w:numId w:val="1036"/>
        </w:numPr>
      </w:pPr>
      <w:r>
        <w:t xml:space="preserve">Inventory current Google Cloud organizations and shadow projects.</w:t>
      </w:r>
    </w:p>
    <w:p>
      <w:pPr>
        <w:pStyle w:val="Compact"/>
        <w:numPr>
          <w:ilvl w:val="0"/>
          <w:numId w:val="1036"/>
        </w:numPr>
      </w:pPr>
      <w:r>
        <w:t xml:space="preserve">Approve region groups, residency classes and workload tiers.</w:t>
      </w:r>
    </w:p>
    <w:bookmarkEnd w:id="165"/>
    <w:bookmarkStart w:id="166" w:name="phase-b-bootstrap"/>
    <w:p>
      <w:pPr>
        <w:pStyle w:val="Heading3"/>
        <w:keepNext/>
        <w:pageBreakBefore w:val="0"/>
      </w:pPr>
      <w:r>
        <w:t xml:space="preserve">Phase B — Bootstrap</w:t>
      </w:r>
    </w:p>
    <w:p>
      <w:pPr>
        <w:pStyle w:val="Compact"/>
        <w:numPr>
          <w:ilvl w:val="0"/>
          <w:numId w:val="1037"/>
        </w:numPr>
      </w:pPr>
      <w:r>
        <w:t xml:space="preserve">Create seed project and protected Terraform state.</w:t>
      </w:r>
    </w:p>
    <w:p>
      <w:pPr>
        <w:pStyle w:val="Compact"/>
        <w:numPr>
          <w:ilvl w:val="0"/>
          <w:numId w:val="1037"/>
        </w:numPr>
      </w:pPr>
      <w:r>
        <w:t xml:space="preserve">Establish federated CI/CD identity.</w:t>
      </w:r>
    </w:p>
    <w:p>
      <w:pPr>
        <w:pStyle w:val="Compact"/>
        <w:numPr>
          <w:ilvl w:val="0"/>
          <w:numId w:val="1037"/>
        </w:numPr>
      </w:pPr>
      <w:r>
        <w:t xml:space="preserve">Configure code repositories, approvals and artifact retention.</w:t>
      </w:r>
    </w:p>
    <w:p>
      <w:pPr>
        <w:pStyle w:val="Compact"/>
        <w:numPr>
          <w:ilvl w:val="0"/>
          <w:numId w:val="1037"/>
        </w:numPr>
      </w:pPr>
      <w:r>
        <w:t xml:space="preserve">Deploy initial audit log routing.</w:t>
      </w:r>
    </w:p>
    <w:p>
      <w:pPr>
        <w:pStyle w:val="Compact"/>
        <w:numPr>
          <w:ilvl w:val="0"/>
          <w:numId w:val="1037"/>
        </w:numPr>
      </w:pPr>
      <w:r>
        <w:t xml:space="preserve">Create break-glass accounts and validate recovery process.</w:t>
      </w:r>
    </w:p>
    <w:bookmarkEnd w:id="166"/>
    <w:bookmarkStart w:id="167" w:name="phase-c-hierarchy-and-guardrails"/>
    <w:p>
      <w:pPr>
        <w:pStyle w:val="Heading3"/>
        <w:keepNext/>
        <w:pageBreakBefore w:val="0"/>
      </w:pPr>
      <w:r>
        <w:t xml:space="preserve">Phase C — Hierarchy and guardrails</w:t>
      </w:r>
    </w:p>
    <w:p>
      <w:pPr>
        <w:pStyle w:val="Compact"/>
        <w:numPr>
          <w:ilvl w:val="0"/>
          <w:numId w:val="1038"/>
        </w:numPr>
      </w:pPr>
      <w:r>
        <w:t xml:space="preserve">Create folders and attach baseline IAM.</w:t>
      </w:r>
    </w:p>
    <w:p>
      <w:pPr>
        <w:pStyle w:val="Compact"/>
        <w:numPr>
          <w:ilvl w:val="0"/>
          <w:numId w:val="1038"/>
        </w:numPr>
      </w:pPr>
      <w:r>
        <w:t xml:space="preserve">Deploy organization policies in staged waves.</w:t>
      </w:r>
    </w:p>
    <w:p>
      <w:pPr>
        <w:pStyle w:val="Compact"/>
        <w:numPr>
          <w:ilvl w:val="0"/>
          <w:numId w:val="1038"/>
        </w:numPr>
      </w:pPr>
      <w:r>
        <w:t xml:space="preserve">Activate Security Command Center.</w:t>
      </w:r>
    </w:p>
    <w:p>
      <w:pPr>
        <w:pStyle w:val="Compact"/>
        <w:numPr>
          <w:ilvl w:val="0"/>
          <w:numId w:val="1038"/>
        </w:numPr>
      </w:pPr>
      <w:r>
        <w:t xml:space="preserve">Establish KMS, logging and security projects.</w:t>
      </w:r>
    </w:p>
    <w:p>
      <w:pPr>
        <w:pStyle w:val="Compact"/>
        <w:numPr>
          <w:ilvl w:val="0"/>
          <w:numId w:val="1038"/>
        </w:numPr>
      </w:pPr>
      <w:r>
        <w:t xml:space="preserve">Configure central alerting and SIEM integration.</w:t>
      </w:r>
    </w:p>
    <w:bookmarkEnd w:id="167"/>
    <w:bookmarkStart w:id="168" w:name="phase-d-network-and-identity"/>
    <w:p>
      <w:pPr>
        <w:pStyle w:val="Heading3"/>
        <w:keepNext/>
        <w:pageBreakBefore w:val="0"/>
      </w:pPr>
      <w:r>
        <w:t xml:space="preserve">Phase D — Network and identity</w:t>
      </w:r>
    </w:p>
    <w:p>
      <w:pPr>
        <w:pStyle w:val="Compact"/>
        <w:numPr>
          <w:ilvl w:val="0"/>
          <w:numId w:val="1039"/>
        </w:numPr>
      </w:pPr>
      <w:r>
        <w:t xml:space="preserve">Deploy Shared VPC host projects and subnets.</w:t>
      </w:r>
    </w:p>
    <w:p>
      <w:pPr>
        <w:pStyle w:val="Compact"/>
        <w:numPr>
          <w:ilvl w:val="0"/>
          <w:numId w:val="1039"/>
        </w:numPr>
      </w:pPr>
      <w:r>
        <w:t xml:space="preserve">Configure DNS, private API access, PSC and NAT.</w:t>
      </w:r>
    </w:p>
    <w:p>
      <w:pPr>
        <w:pStyle w:val="Compact"/>
        <w:numPr>
          <w:ilvl w:val="0"/>
          <w:numId w:val="1039"/>
        </w:numPr>
      </w:pPr>
      <w:r>
        <w:t xml:space="preserve">Deploy firewall policies and connectivity hubs.</w:t>
      </w:r>
    </w:p>
    <w:p>
      <w:pPr>
        <w:pStyle w:val="Compact"/>
        <w:numPr>
          <w:ilvl w:val="0"/>
          <w:numId w:val="1039"/>
        </w:numPr>
      </w:pPr>
      <w:r>
        <w:t xml:space="preserve">Establish hybrid links and validate route failover.</w:t>
      </w:r>
    </w:p>
    <w:p>
      <w:pPr>
        <w:pStyle w:val="Compact"/>
        <w:numPr>
          <w:ilvl w:val="0"/>
          <w:numId w:val="1039"/>
        </w:numPr>
      </w:pPr>
      <w:r>
        <w:t xml:space="preserve">Federate workforce and workload identities.</w:t>
      </w:r>
    </w:p>
    <w:bookmarkEnd w:id="168"/>
    <w:bookmarkStart w:id="169" w:name="phase-e-factory-and-operations"/>
    <w:p>
      <w:pPr>
        <w:pStyle w:val="Heading3"/>
        <w:keepNext/>
        <w:pageBreakBefore w:val="0"/>
      </w:pPr>
      <w:r>
        <w:t xml:space="preserve">Phase E — Factory and operations</w:t>
      </w:r>
    </w:p>
    <w:p>
      <w:pPr>
        <w:pStyle w:val="Compact"/>
        <w:numPr>
          <w:ilvl w:val="0"/>
          <w:numId w:val="1040"/>
        </w:numPr>
      </w:pPr>
      <w:r>
        <w:t xml:space="preserve">Deploy the project factory and service modules.</w:t>
      </w:r>
    </w:p>
    <w:p>
      <w:pPr>
        <w:pStyle w:val="Compact"/>
        <w:numPr>
          <w:ilvl w:val="0"/>
          <w:numId w:val="1040"/>
        </w:numPr>
      </w:pPr>
      <w:r>
        <w:t xml:space="preserve">Integrate CMDB, IPAM, ticketing, billing and ownership systems.</w:t>
      </w:r>
    </w:p>
    <w:p>
      <w:pPr>
        <w:pStyle w:val="Compact"/>
        <w:numPr>
          <w:ilvl w:val="0"/>
          <w:numId w:val="1040"/>
        </w:numPr>
      </w:pPr>
      <w:r>
        <w:t xml:space="preserve">Define service perimeters in dry-run mode.</w:t>
      </w:r>
    </w:p>
    <w:p>
      <w:pPr>
        <w:pStyle w:val="Compact"/>
        <w:numPr>
          <w:ilvl w:val="0"/>
          <w:numId w:val="1040"/>
        </w:numPr>
      </w:pPr>
      <w:r>
        <w:t xml:space="preserve">Build dashboards, SLOs, alerts and runbooks.</w:t>
      </w:r>
    </w:p>
    <w:p>
      <w:pPr>
        <w:pStyle w:val="Compact"/>
        <w:numPr>
          <w:ilvl w:val="0"/>
          <w:numId w:val="1040"/>
        </w:numPr>
      </w:pPr>
      <w:r>
        <w:t xml:space="preserve">Onboard representative pilot workloads.</w:t>
      </w:r>
    </w:p>
    <w:bookmarkEnd w:id="169"/>
    <w:bookmarkStart w:id="170" w:name="phase-f-enforce-and-scale"/>
    <w:p>
      <w:pPr>
        <w:pStyle w:val="Heading3"/>
        <w:keepNext/>
        <w:pageBreakBefore w:val="0"/>
      </w:pPr>
      <w:r>
        <w:t xml:space="preserve">Phase F — Enforce and scale</w:t>
      </w:r>
    </w:p>
    <w:p>
      <w:pPr>
        <w:pStyle w:val="Compact"/>
        <w:numPr>
          <w:ilvl w:val="0"/>
          <w:numId w:val="1041"/>
        </w:numPr>
      </w:pPr>
      <w:r>
        <w:t xml:space="preserve">Resolve dry-run violations and enforce perimeters.</w:t>
      </w:r>
    </w:p>
    <w:p>
      <w:pPr>
        <w:pStyle w:val="Compact"/>
        <w:numPr>
          <w:ilvl w:val="0"/>
          <w:numId w:val="1041"/>
        </w:numPr>
      </w:pPr>
      <w:r>
        <w:t xml:space="preserve">Conduct security and production-readiness reviews.</w:t>
      </w:r>
    </w:p>
    <w:p>
      <w:pPr>
        <w:pStyle w:val="Compact"/>
        <w:numPr>
          <w:ilvl w:val="0"/>
          <w:numId w:val="1041"/>
        </w:numPr>
      </w:pPr>
      <w:r>
        <w:t xml:space="preserve">Validate disaster recovery and break-glass procedures.</w:t>
      </w:r>
    </w:p>
    <w:p>
      <w:pPr>
        <w:pStyle w:val="Compact"/>
        <w:numPr>
          <w:ilvl w:val="0"/>
          <w:numId w:val="1041"/>
        </w:numPr>
      </w:pPr>
      <w:r>
        <w:t xml:space="preserve">Roll out domain onboarding waves.</w:t>
      </w:r>
    </w:p>
    <w:p>
      <w:pPr>
        <w:pStyle w:val="Compact"/>
        <w:numPr>
          <w:ilvl w:val="0"/>
          <w:numId w:val="1041"/>
        </w:numPr>
      </w:pPr>
      <w:r>
        <w:t xml:space="preserve">Operate quarterly control assurance and improvement reviews.</w:t>
      </w:r>
    </w:p>
    <w:bookmarkEnd w:id="170"/>
    <w:bookmarkEnd w:id="171"/>
    <w:bookmarkEnd w:id="172"/>
    <w:bookmarkStart w:id="179" w:name="landing-zone-validation-checklist"/>
    <w:p>
      <w:pPr>
        <w:pStyle w:val="Heading1"/>
        <w:keepNext/>
        <w:pageBreakBefore w:val="0"/>
      </w:pPr>
      <w:r>
        <w:t xml:space="preserve">11. Landing-Zone Validation Checklist</w:t>
      </w:r>
    </w:p>
    <w:bookmarkStart w:id="173" w:name="governance-and-hierarchy"/>
    <w:p>
      <w:pPr>
        <w:pStyle w:val="Heading2"/>
        <w:keepNext/>
        <w:pageBreakBefore w:val="0"/>
      </w:pPr>
      <w:r>
        <w:t xml:space="preserve">11.1 Governance and hierarchy</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ID</w:t>
            </w:r>
          </w:p>
        </w:tc>
        <w:tc>
          <w:tcPr>
            <w:vAlign w:val="center"/>
            <w:tcMar>
              <w:top w:w="70" w:type="dxa"/>
              <w:left w:w="85" w:type="dxa"/>
              <w:bottom w:w="70" w:type="dxa"/>
              <w:right w:w="85" w:type="dxa"/>
            </w:tcMar>
          </w:tcPr>
          <w:p>
            <w:pPr>
              <w:spacing w:after="30" w:before="0"/>
              <w:jc w:val="left"/>
            </w:pPr>
            <w:r>
              <w:rPr>
                <w:rFonts w:ascii="Arial" w:hAnsi="Arial"/>
                <w:b/>
                <w:sz w:val="16"/>
              </w:rPr>
              <w:t xml:space="preserve">Validation</w:t>
            </w:r>
          </w:p>
        </w:tc>
        <w:tc>
          <w:tcPr>
            <w:vAlign w:val="center"/>
            <w:tcMar>
              <w:top w:w="70" w:type="dxa"/>
              <w:left w:w="85" w:type="dxa"/>
              <w:bottom w:w="70" w:type="dxa"/>
              <w:right w:w="85" w:type="dxa"/>
            </w:tcMar>
          </w:tcPr>
          <w:p>
            <w:pPr>
              <w:spacing w:after="30" w:before="0"/>
              <w:jc w:val="left"/>
            </w:pPr>
            <w:r>
              <w:rPr>
                <w:rFonts w:ascii="Arial" w:hAnsi="Arial"/>
                <w:b/>
                <w:sz w:val="16"/>
              </w:rPr>
              <w:t xml:space="preserve">Acceptance 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GOV-01</w:t>
            </w:r>
          </w:p>
        </w:tc>
        <w:tc>
          <w:tcPr>
            <w:vAlign w:val="center"/>
            <w:tcMar>
              <w:top w:w="70" w:type="dxa"/>
              <w:left w:w="85" w:type="dxa"/>
              <w:bottom w:w="70" w:type="dxa"/>
              <w:right w:w="85" w:type="dxa"/>
            </w:tcMar>
          </w:tcPr>
          <w:p>
            <w:pPr>
              <w:spacing w:after="30" w:before="0"/>
              <w:jc w:val="left"/>
            </w:pPr>
            <w:r>
              <w:rPr>
                <w:rFonts w:ascii="Arial" w:hAnsi="Arial"/>
                <w:sz w:val="16"/>
              </w:rPr>
              <w:t xml:space="preserve">One authoritative organization is established</w:t>
            </w:r>
          </w:p>
        </w:tc>
        <w:tc>
          <w:tcPr>
            <w:vAlign w:val="center"/>
            <w:tcMar>
              <w:top w:w="70" w:type="dxa"/>
              <w:left w:w="85" w:type="dxa"/>
              <w:bottom w:w="70" w:type="dxa"/>
              <w:right w:w="85" w:type="dxa"/>
            </w:tcMar>
          </w:tcPr>
          <w:p>
            <w:pPr>
              <w:spacing w:after="30" w:before="0"/>
              <w:jc w:val="left"/>
            </w:pPr>
            <w:r>
              <w:rPr>
                <w:rFonts w:ascii="Arial" w:hAnsi="Arial"/>
                <w:sz w:val="16"/>
              </w:rPr>
              <w:t xml:space="preserve">Organization record and owner approval</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GOV-02</w:t>
            </w:r>
          </w:p>
        </w:tc>
        <w:tc>
          <w:tcPr>
            <w:vAlign w:val="center"/>
            <w:tcMar>
              <w:top w:w="70" w:type="dxa"/>
              <w:left w:w="85" w:type="dxa"/>
              <w:bottom w:w="70" w:type="dxa"/>
              <w:right w:w="85" w:type="dxa"/>
            </w:tcMar>
          </w:tcPr>
          <w:p>
            <w:pPr>
              <w:spacing w:after="30" w:before="0"/>
              <w:jc w:val="left"/>
            </w:pPr>
            <w:r>
              <w:rPr>
                <w:rFonts w:ascii="Arial" w:hAnsi="Arial"/>
                <w:sz w:val="16"/>
              </w:rPr>
              <w:t xml:space="preserve">Folder hierarchy maps to durable governance boundaries</w:t>
            </w:r>
          </w:p>
        </w:tc>
        <w:tc>
          <w:tcPr>
            <w:vAlign w:val="center"/>
            <w:tcMar>
              <w:top w:w="70" w:type="dxa"/>
              <w:left w:w="85" w:type="dxa"/>
              <w:bottom w:w="70" w:type="dxa"/>
              <w:right w:w="85" w:type="dxa"/>
            </w:tcMar>
          </w:tcPr>
          <w:p>
            <w:pPr>
              <w:spacing w:after="30" w:before="0"/>
              <w:jc w:val="left"/>
            </w:pPr>
            <w:r>
              <w:rPr>
                <w:rFonts w:ascii="Arial" w:hAnsi="Arial"/>
                <w:sz w:val="16"/>
              </w:rPr>
              <w:t xml:space="preserve">Approved hierarchy diagram and policy mapping</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GOV-03</w:t>
            </w:r>
          </w:p>
        </w:tc>
        <w:tc>
          <w:tcPr>
            <w:vAlign w:val="center"/>
            <w:tcMar>
              <w:top w:w="70" w:type="dxa"/>
              <w:left w:w="85" w:type="dxa"/>
              <w:bottom w:w="70" w:type="dxa"/>
              <w:right w:w="85" w:type="dxa"/>
            </w:tcMar>
          </w:tcPr>
          <w:p>
            <w:pPr>
              <w:spacing w:after="30" w:before="0"/>
              <w:jc w:val="left"/>
            </w:pPr>
            <w:r>
              <w:rPr>
                <w:rFonts w:ascii="Arial" w:hAnsi="Arial"/>
                <w:sz w:val="16"/>
              </w:rPr>
              <w:t xml:space="preserve">Production and non-production are separated</w:t>
            </w:r>
          </w:p>
        </w:tc>
        <w:tc>
          <w:tcPr>
            <w:vAlign w:val="center"/>
            <w:tcMar>
              <w:top w:w="70" w:type="dxa"/>
              <w:left w:w="85" w:type="dxa"/>
              <w:bottom w:w="70" w:type="dxa"/>
              <w:right w:w="85" w:type="dxa"/>
            </w:tcMar>
          </w:tcPr>
          <w:p>
            <w:pPr>
              <w:spacing w:after="30" w:before="0"/>
              <w:jc w:val="left"/>
            </w:pPr>
            <w:r>
              <w:rPr>
                <w:rFonts w:ascii="Arial" w:hAnsi="Arial"/>
                <w:sz w:val="16"/>
              </w:rPr>
              <w:t xml:space="preserve">Folder/project inventory and IAM review</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GOV-04</w:t>
            </w:r>
          </w:p>
        </w:tc>
        <w:tc>
          <w:tcPr>
            <w:vAlign w:val="center"/>
            <w:tcMar>
              <w:top w:w="70" w:type="dxa"/>
              <w:left w:w="85" w:type="dxa"/>
              <w:bottom w:w="70" w:type="dxa"/>
              <w:right w:w="85" w:type="dxa"/>
            </w:tcMar>
          </w:tcPr>
          <w:p>
            <w:pPr>
              <w:spacing w:after="30" w:before="0"/>
              <w:jc w:val="left"/>
            </w:pPr>
            <w:r>
              <w:rPr>
                <w:rFonts w:ascii="Arial" w:hAnsi="Arial"/>
                <w:sz w:val="16"/>
              </w:rPr>
              <w:t xml:space="preserve">Every project has an owner, cost center and lifecycle</w:t>
            </w:r>
          </w:p>
        </w:tc>
        <w:tc>
          <w:tcPr>
            <w:vAlign w:val="center"/>
            <w:tcMar>
              <w:top w:w="70" w:type="dxa"/>
              <w:left w:w="85" w:type="dxa"/>
              <w:bottom w:w="70" w:type="dxa"/>
              <w:right w:w="85" w:type="dxa"/>
            </w:tcMar>
          </w:tcPr>
          <w:p>
            <w:pPr>
              <w:spacing w:after="30" w:before="0"/>
              <w:jc w:val="left"/>
            </w:pPr>
            <w:r>
              <w:rPr>
                <w:rFonts w:ascii="Arial" w:hAnsi="Arial"/>
                <w:sz w:val="16"/>
              </w:rPr>
              <w:t xml:space="preserve">Project factory record and labels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GOV-05</w:t>
            </w:r>
          </w:p>
        </w:tc>
        <w:tc>
          <w:tcPr>
            <w:vAlign w:val="center"/>
            <w:tcMar>
              <w:top w:w="70" w:type="dxa"/>
              <w:left w:w="85" w:type="dxa"/>
              <w:bottom w:w="70" w:type="dxa"/>
              <w:right w:w="85" w:type="dxa"/>
            </w:tcMar>
          </w:tcPr>
          <w:p>
            <w:pPr>
              <w:spacing w:after="30" w:before="0"/>
              <w:jc w:val="left"/>
            </w:pPr>
            <w:r>
              <w:rPr>
                <w:rFonts w:ascii="Arial" w:hAnsi="Arial"/>
                <w:sz w:val="16"/>
              </w:rPr>
              <w:t xml:space="preserve">Exceptions have expiry and compensating controls</w:t>
            </w:r>
          </w:p>
        </w:tc>
        <w:tc>
          <w:tcPr>
            <w:vAlign w:val="center"/>
            <w:tcMar>
              <w:top w:w="70" w:type="dxa"/>
              <w:left w:w="85" w:type="dxa"/>
              <w:bottom w:w="70" w:type="dxa"/>
              <w:right w:w="85" w:type="dxa"/>
            </w:tcMar>
          </w:tcPr>
          <w:p>
            <w:pPr>
              <w:spacing w:after="30" w:before="0"/>
              <w:jc w:val="left"/>
            </w:pPr>
            <w:r>
              <w:rPr>
                <w:rFonts w:ascii="Arial" w:hAnsi="Arial"/>
                <w:sz w:val="16"/>
              </w:rPr>
              <w:t xml:space="preserve">Exception register</w:t>
            </w:r>
          </w:p>
        </w:tc>
      </w:tr>
    </w:tbl>
    <w:bookmarkEnd w:id="173"/>
    <w:bookmarkStart w:id="174" w:name="network"/>
    <w:p>
      <w:pPr>
        <w:pStyle w:val="Heading2"/>
        <w:keepNext/>
        <w:pageBreakBefore w:val="0"/>
      </w:pPr>
      <w:r>
        <w:t xml:space="preserve">11.2 Network</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ID</w:t>
            </w:r>
          </w:p>
        </w:tc>
        <w:tc>
          <w:tcPr>
            <w:vAlign w:val="center"/>
            <w:tcMar>
              <w:top w:w="70" w:type="dxa"/>
              <w:left w:w="85" w:type="dxa"/>
              <w:bottom w:w="70" w:type="dxa"/>
              <w:right w:w="85" w:type="dxa"/>
            </w:tcMar>
          </w:tcPr>
          <w:p>
            <w:pPr>
              <w:spacing w:after="30" w:before="0"/>
              <w:jc w:val="left"/>
            </w:pPr>
            <w:r>
              <w:rPr>
                <w:rFonts w:ascii="Arial" w:hAnsi="Arial"/>
                <w:b/>
                <w:sz w:val="16"/>
              </w:rPr>
              <w:t xml:space="preserve">Validation</w:t>
            </w:r>
          </w:p>
        </w:tc>
        <w:tc>
          <w:tcPr>
            <w:vAlign w:val="center"/>
            <w:tcMar>
              <w:top w:w="70" w:type="dxa"/>
              <w:left w:w="85" w:type="dxa"/>
              <w:bottom w:w="70" w:type="dxa"/>
              <w:right w:w="85" w:type="dxa"/>
            </w:tcMar>
          </w:tcPr>
          <w:p>
            <w:pPr>
              <w:spacing w:after="30" w:before="0"/>
              <w:jc w:val="left"/>
            </w:pPr>
            <w:r>
              <w:rPr>
                <w:rFonts w:ascii="Arial" w:hAnsi="Arial"/>
                <w:b/>
                <w:sz w:val="16"/>
              </w:rPr>
              <w:t xml:space="preserve">Acceptance 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NET-01</w:t>
            </w:r>
          </w:p>
        </w:tc>
        <w:tc>
          <w:tcPr>
            <w:vAlign w:val="center"/>
            <w:tcMar>
              <w:top w:w="70" w:type="dxa"/>
              <w:left w:w="85" w:type="dxa"/>
              <w:bottom w:w="70" w:type="dxa"/>
              <w:right w:w="85" w:type="dxa"/>
            </w:tcMar>
          </w:tcPr>
          <w:p>
            <w:pPr>
              <w:spacing w:after="30" w:before="0"/>
              <w:jc w:val="left"/>
            </w:pPr>
            <w:r>
              <w:rPr>
                <w:rFonts w:ascii="Arial" w:hAnsi="Arial"/>
                <w:sz w:val="16"/>
              </w:rPr>
              <w:t xml:space="preserve">Shared VPC host projects are centrally administered</w:t>
            </w:r>
          </w:p>
        </w:tc>
        <w:tc>
          <w:tcPr>
            <w:vAlign w:val="center"/>
            <w:tcMar>
              <w:top w:w="70" w:type="dxa"/>
              <w:left w:w="85" w:type="dxa"/>
              <w:bottom w:w="70" w:type="dxa"/>
              <w:right w:w="85" w:type="dxa"/>
            </w:tcMar>
          </w:tcPr>
          <w:p>
            <w:pPr>
              <w:spacing w:after="30" w:before="0"/>
              <w:jc w:val="left"/>
            </w:pPr>
            <w:r>
              <w:rPr>
                <w:rFonts w:ascii="Arial" w:hAnsi="Arial"/>
                <w:sz w:val="16"/>
              </w:rPr>
              <w:t xml:space="preserve">IAM policy and network inventory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NET-02</w:t>
            </w:r>
          </w:p>
        </w:tc>
        <w:tc>
          <w:tcPr>
            <w:vAlign w:val="center"/>
            <w:tcMar>
              <w:top w:w="70" w:type="dxa"/>
              <w:left w:w="85" w:type="dxa"/>
              <w:bottom w:w="70" w:type="dxa"/>
              <w:right w:w="85" w:type="dxa"/>
            </w:tcMar>
          </w:tcPr>
          <w:p>
            <w:pPr>
              <w:spacing w:after="30" w:before="0"/>
              <w:jc w:val="left"/>
            </w:pPr>
            <w:r>
              <w:rPr>
                <w:rFonts w:ascii="Arial" w:hAnsi="Arial"/>
                <w:sz w:val="16"/>
              </w:rPr>
              <w:t xml:space="preserve">Address ranges do not overlap routed enterprise networks</w:t>
            </w:r>
          </w:p>
        </w:tc>
        <w:tc>
          <w:tcPr>
            <w:vAlign w:val="center"/>
            <w:tcMar>
              <w:top w:w="70" w:type="dxa"/>
              <w:left w:w="85" w:type="dxa"/>
              <w:bottom w:w="70" w:type="dxa"/>
              <w:right w:w="85" w:type="dxa"/>
            </w:tcMar>
          </w:tcPr>
          <w:p>
            <w:pPr>
              <w:spacing w:after="30" w:before="0"/>
              <w:jc w:val="left"/>
            </w:pPr>
            <w:r>
              <w:rPr>
                <w:rFonts w:ascii="Arial" w:hAnsi="Arial"/>
                <w:sz w:val="16"/>
              </w:rPr>
              <w:t xml:space="preserve">IPAM report and route test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NET-03</w:t>
            </w:r>
          </w:p>
        </w:tc>
        <w:tc>
          <w:tcPr>
            <w:vAlign w:val="center"/>
            <w:tcMar>
              <w:top w:w="70" w:type="dxa"/>
              <w:left w:w="85" w:type="dxa"/>
              <w:bottom w:w="70" w:type="dxa"/>
              <w:right w:w="85" w:type="dxa"/>
            </w:tcMar>
          </w:tcPr>
          <w:p>
            <w:pPr>
              <w:spacing w:after="30" w:before="0"/>
              <w:jc w:val="left"/>
            </w:pPr>
            <w:r>
              <w:rPr>
                <w:rFonts w:ascii="Arial" w:hAnsi="Arial"/>
                <w:sz w:val="16"/>
              </w:rPr>
              <w:t xml:space="preserve">Private Google Access is enabled on private subnets</w:t>
            </w:r>
          </w:p>
        </w:tc>
        <w:tc>
          <w:tcPr>
            <w:vAlign w:val="center"/>
            <w:tcMar>
              <w:top w:w="70" w:type="dxa"/>
              <w:left w:w="85" w:type="dxa"/>
              <w:bottom w:w="70" w:type="dxa"/>
              <w:right w:w="85" w:type="dxa"/>
            </w:tcMar>
          </w:tcPr>
          <w:p>
            <w:pPr>
              <w:spacing w:after="30" w:before="0"/>
              <w:jc w:val="left"/>
            </w:pPr>
            <w:r>
              <w:rPr>
                <w:rFonts w:ascii="Arial" w:hAnsi="Arial"/>
                <w:sz w:val="16"/>
              </w:rPr>
              <w:t xml:space="preserve">Subnet configuration test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NET-04</w:t>
            </w:r>
          </w:p>
        </w:tc>
        <w:tc>
          <w:tcPr>
            <w:vAlign w:val="center"/>
            <w:tcMar>
              <w:top w:w="70" w:type="dxa"/>
              <w:left w:w="85" w:type="dxa"/>
              <w:bottom w:w="70" w:type="dxa"/>
              <w:right w:w="85" w:type="dxa"/>
            </w:tcMar>
          </w:tcPr>
          <w:p>
            <w:pPr>
              <w:spacing w:after="30" w:before="0"/>
              <w:jc w:val="left"/>
            </w:pPr>
            <w:r>
              <w:rPr>
                <w:rFonts w:ascii="Arial" w:hAnsi="Arial"/>
                <w:sz w:val="16"/>
              </w:rPr>
              <w:t xml:space="preserve">DNS resolves enterprise and private API names redundantly</w:t>
            </w:r>
          </w:p>
        </w:tc>
        <w:tc>
          <w:tcPr>
            <w:vAlign w:val="center"/>
            <w:tcMar>
              <w:top w:w="70" w:type="dxa"/>
              <w:left w:w="85" w:type="dxa"/>
              <w:bottom w:w="70" w:type="dxa"/>
              <w:right w:w="85" w:type="dxa"/>
            </w:tcMar>
          </w:tcPr>
          <w:p>
            <w:pPr>
              <w:spacing w:after="30" w:before="0"/>
              <w:jc w:val="left"/>
            </w:pPr>
            <w:r>
              <w:rPr>
                <w:rFonts w:ascii="Arial" w:hAnsi="Arial"/>
                <w:sz w:val="16"/>
              </w:rPr>
              <w:t xml:space="preserve">Resolution and failure tests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NET-05</w:t>
            </w:r>
          </w:p>
        </w:tc>
        <w:tc>
          <w:tcPr>
            <w:vAlign w:val="center"/>
            <w:tcMar>
              <w:top w:w="70" w:type="dxa"/>
              <w:left w:w="85" w:type="dxa"/>
              <w:bottom w:w="70" w:type="dxa"/>
              <w:right w:w="85" w:type="dxa"/>
            </w:tcMar>
          </w:tcPr>
          <w:p>
            <w:pPr>
              <w:spacing w:after="30" w:before="0"/>
              <w:jc w:val="left"/>
            </w:pPr>
            <w:r>
              <w:rPr>
                <w:rFonts w:ascii="Arial" w:hAnsi="Arial"/>
                <w:sz w:val="16"/>
              </w:rPr>
              <w:t xml:space="preserve">Firewall policy blocks unapproved administrative ingress</w:t>
            </w:r>
          </w:p>
        </w:tc>
        <w:tc>
          <w:tcPr>
            <w:vAlign w:val="center"/>
            <w:tcMar>
              <w:top w:w="70" w:type="dxa"/>
              <w:left w:w="85" w:type="dxa"/>
              <w:bottom w:w="70" w:type="dxa"/>
              <w:right w:w="85" w:type="dxa"/>
            </w:tcMar>
          </w:tcPr>
          <w:p>
            <w:pPr>
              <w:spacing w:after="30" w:before="0"/>
              <w:jc w:val="left"/>
            </w:pPr>
            <w:r>
              <w:rPr>
                <w:rFonts w:ascii="Arial" w:hAnsi="Arial"/>
                <w:sz w:val="16"/>
              </w:rPr>
              <w:t xml:space="preserve">Negative connectivity test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NET-06</w:t>
            </w:r>
          </w:p>
        </w:tc>
        <w:tc>
          <w:tcPr>
            <w:vAlign w:val="center"/>
            <w:tcMar>
              <w:top w:w="70" w:type="dxa"/>
              <w:left w:w="85" w:type="dxa"/>
              <w:bottom w:w="70" w:type="dxa"/>
              <w:right w:w="85" w:type="dxa"/>
            </w:tcMar>
          </w:tcPr>
          <w:p>
            <w:pPr>
              <w:spacing w:after="30" w:before="0"/>
              <w:jc w:val="left"/>
            </w:pPr>
            <w:r>
              <w:rPr>
                <w:rFonts w:ascii="Arial" w:hAnsi="Arial"/>
                <w:sz w:val="16"/>
              </w:rPr>
              <w:t xml:space="preserve">Hybrid links survive single device and path failures</w:t>
            </w:r>
          </w:p>
        </w:tc>
        <w:tc>
          <w:tcPr>
            <w:vAlign w:val="center"/>
            <w:tcMar>
              <w:top w:w="70" w:type="dxa"/>
              <w:left w:w="85" w:type="dxa"/>
              <w:bottom w:w="70" w:type="dxa"/>
              <w:right w:w="85" w:type="dxa"/>
            </w:tcMar>
          </w:tcPr>
          <w:p>
            <w:pPr>
              <w:spacing w:after="30" w:before="0"/>
              <w:jc w:val="left"/>
            </w:pPr>
            <w:r>
              <w:rPr>
                <w:rFonts w:ascii="Arial" w:hAnsi="Arial"/>
                <w:sz w:val="16"/>
              </w:rPr>
              <w:t xml:space="preserve">Failover test report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NET-07</w:t>
            </w:r>
          </w:p>
        </w:tc>
        <w:tc>
          <w:tcPr>
            <w:vAlign w:val="center"/>
            <w:tcMar>
              <w:top w:w="70" w:type="dxa"/>
              <w:left w:w="85" w:type="dxa"/>
              <w:bottom w:w="70" w:type="dxa"/>
              <w:right w:w="85" w:type="dxa"/>
            </w:tcMar>
          </w:tcPr>
          <w:p>
            <w:pPr>
              <w:spacing w:after="30" w:before="0"/>
              <w:jc w:val="left"/>
            </w:pPr>
            <w:r>
              <w:rPr>
                <w:rFonts w:ascii="Arial" w:hAnsi="Arial"/>
                <w:sz w:val="16"/>
              </w:rPr>
              <w:t xml:space="preserve">NAT capacity supports measured peak load</w:t>
            </w:r>
          </w:p>
        </w:tc>
        <w:tc>
          <w:tcPr>
            <w:vAlign w:val="center"/>
            <w:tcMar>
              <w:top w:w="70" w:type="dxa"/>
              <w:left w:w="85" w:type="dxa"/>
              <w:bottom w:w="70" w:type="dxa"/>
              <w:right w:w="85" w:type="dxa"/>
            </w:tcMar>
          </w:tcPr>
          <w:p>
            <w:pPr>
              <w:spacing w:after="30" w:before="0"/>
              <w:jc w:val="left"/>
            </w:pPr>
            <w:r>
              <w:rPr>
                <w:rFonts w:ascii="Arial" w:hAnsi="Arial"/>
                <w:sz w:val="16"/>
              </w:rPr>
              <w:t xml:space="preserve">Load test and port metrics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NET-08</w:t>
            </w:r>
          </w:p>
        </w:tc>
        <w:tc>
          <w:tcPr>
            <w:vAlign w:val="center"/>
            <w:tcMar>
              <w:top w:w="70" w:type="dxa"/>
              <w:left w:w="85" w:type="dxa"/>
              <w:bottom w:w="70" w:type="dxa"/>
              <w:right w:w="85" w:type="dxa"/>
            </w:tcMar>
          </w:tcPr>
          <w:p>
            <w:pPr>
              <w:spacing w:after="30" w:before="0"/>
              <w:jc w:val="left"/>
            </w:pPr>
            <w:r>
              <w:rPr>
                <w:rFonts w:ascii="Arial" w:hAnsi="Arial"/>
                <w:sz w:val="16"/>
              </w:rPr>
              <w:t xml:space="preserve">Flow and firewall logs reach central security projects</w:t>
            </w:r>
          </w:p>
        </w:tc>
        <w:tc>
          <w:tcPr>
            <w:vAlign w:val="center"/>
            <w:tcMar>
              <w:top w:w="70" w:type="dxa"/>
              <w:left w:w="85" w:type="dxa"/>
              <w:bottom w:w="70" w:type="dxa"/>
              <w:right w:w="85" w:type="dxa"/>
            </w:tcMar>
          </w:tcPr>
          <w:p>
            <w:pPr>
              <w:spacing w:after="30" w:before="0"/>
              <w:jc w:val="left"/>
            </w:pPr>
            <w:r>
              <w:rPr>
                <w:rFonts w:ascii="Arial" w:hAnsi="Arial"/>
                <w:sz w:val="16"/>
              </w:rPr>
              <w:t xml:space="preserve">Log query evidence</w:t>
            </w:r>
          </w:p>
        </w:tc>
      </w:tr>
    </w:tbl>
    <w:bookmarkEnd w:id="174"/>
    <w:bookmarkStart w:id="175" w:name="identity-and-iam"/>
    <w:p>
      <w:pPr>
        <w:pStyle w:val="Heading2"/>
        <w:keepNext/>
        <w:pageBreakBefore w:val="0"/>
      </w:pPr>
      <w:r>
        <w:t xml:space="preserve">11.3 Identity and IAM</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ID</w:t>
            </w:r>
          </w:p>
        </w:tc>
        <w:tc>
          <w:tcPr>
            <w:vAlign w:val="center"/>
            <w:tcMar>
              <w:top w:w="70" w:type="dxa"/>
              <w:left w:w="85" w:type="dxa"/>
              <w:bottom w:w="70" w:type="dxa"/>
              <w:right w:w="85" w:type="dxa"/>
            </w:tcMar>
          </w:tcPr>
          <w:p>
            <w:pPr>
              <w:spacing w:after="30" w:before="0"/>
              <w:jc w:val="left"/>
            </w:pPr>
            <w:r>
              <w:rPr>
                <w:rFonts w:ascii="Arial" w:hAnsi="Arial"/>
                <w:b/>
                <w:sz w:val="16"/>
              </w:rPr>
              <w:t xml:space="preserve">Validation</w:t>
            </w:r>
          </w:p>
        </w:tc>
        <w:tc>
          <w:tcPr>
            <w:vAlign w:val="center"/>
            <w:tcMar>
              <w:top w:w="70" w:type="dxa"/>
              <w:left w:w="85" w:type="dxa"/>
              <w:bottom w:w="70" w:type="dxa"/>
              <w:right w:w="85" w:type="dxa"/>
            </w:tcMar>
          </w:tcPr>
          <w:p>
            <w:pPr>
              <w:spacing w:after="30" w:before="0"/>
              <w:jc w:val="left"/>
            </w:pPr>
            <w:r>
              <w:rPr>
                <w:rFonts w:ascii="Arial" w:hAnsi="Arial"/>
                <w:b/>
                <w:sz w:val="16"/>
              </w:rPr>
              <w:t xml:space="preserve">Acceptance 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IAM-01</w:t>
            </w:r>
          </w:p>
        </w:tc>
        <w:tc>
          <w:tcPr>
            <w:vAlign w:val="center"/>
            <w:tcMar>
              <w:top w:w="70" w:type="dxa"/>
              <w:left w:w="85" w:type="dxa"/>
              <w:bottom w:w="70" w:type="dxa"/>
              <w:right w:w="85" w:type="dxa"/>
            </w:tcMar>
          </w:tcPr>
          <w:p>
            <w:pPr>
              <w:spacing w:after="30" w:before="0"/>
              <w:jc w:val="left"/>
            </w:pPr>
            <w:r>
              <w:rPr>
                <w:rFonts w:ascii="Arial" w:hAnsi="Arial"/>
                <w:sz w:val="16"/>
              </w:rPr>
              <w:t xml:space="preserve">Workforce access is federated and MFA enforced</w:t>
            </w:r>
          </w:p>
        </w:tc>
        <w:tc>
          <w:tcPr>
            <w:vAlign w:val="center"/>
            <w:tcMar>
              <w:top w:w="70" w:type="dxa"/>
              <w:left w:w="85" w:type="dxa"/>
              <w:bottom w:w="70" w:type="dxa"/>
              <w:right w:w="85" w:type="dxa"/>
            </w:tcMar>
          </w:tcPr>
          <w:p>
            <w:pPr>
              <w:spacing w:after="30" w:before="0"/>
              <w:jc w:val="left"/>
            </w:pPr>
            <w:r>
              <w:rPr>
                <w:rFonts w:ascii="Arial" w:hAnsi="Arial"/>
                <w:sz w:val="16"/>
              </w:rPr>
              <w:t xml:space="preserve">IdP policy and access test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IAM-02</w:t>
            </w:r>
          </w:p>
        </w:tc>
        <w:tc>
          <w:tcPr>
            <w:vAlign w:val="center"/>
            <w:tcMar>
              <w:top w:w="70" w:type="dxa"/>
              <w:left w:w="85" w:type="dxa"/>
              <w:bottom w:w="70" w:type="dxa"/>
              <w:right w:w="85" w:type="dxa"/>
            </w:tcMar>
          </w:tcPr>
          <w:p>
            <w:pPr>
              <w:spacing w:after="30" w:before="0"/>
              <w:jc w:val="left"/>
            </w:pPr>
            <w:r>
              <w:rPr>
                <w:rFonts w:ascii="Arial" w:hAnsi="Arial"/>
                <w:sz w:val="16"/>
              </w:rPr>
              <w:t xml:space="preserve">No routine basic Owner/Editor grants exist</w:t>
            </w:r>
          </w:p>
        </w:tc>
        <w:tc>
          <w:tcPr>
            <w:vAlign w:val="center"/>
            <w:tcMar>
              <w:top w:w="70" w:type="dxa"/>
              <w:left w:w="85" w:type="dxa"/>
              <w:bottom w:w="70" w:type="dxa"/>
              <w:right w:w="85" w:type="dxa"/>
            </w:tcMar>
          </w:tcPr>
          <w:p>
            <w:pPr>
              <w:spacing w:after="30" w:before="0"/>
              <w:jc w:val="left"/>
            </w:pPr>
            <w:r>
              <w:rPr>
                <w:rFonts w:ascii="Arial" w:hAnsi="Arial"/>
                <w:sz w:val="16"/>
              </w:rPr>
              <w:t xml:space="preserve">IAM analyzer report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IAM-03</w:t>
            </w:r>
          </w:p>
        </w:tc>
        <w:tc>
          <w:tcPr>
            <w:vAlign w:val="center"/>
            <w:tcMar>
              <w:top w:w="70" w:type="dxa"/>
              <w:left w:w="85" w:type="dxa"/>
              <w:bottom w:w="70" w:type="dxa"/>
              <w:right w:w="85" w:type="dxa"/>
            </w:tcMar>
          </w:tcPr>
          <w:p>
            <w:pPr>
              <w:spacing w:after="30" w:before="0"/>
              <w:jc w:val="left"/>
            </w:pPr>
            <w:r>
              <w:rPr>
                <w:rFonts w:ascii="Arial" w:hAnsi="Arial"/>
                <w:sz w:val="16"/>
              </w:rPr>
              <w:t xml:space="preserve">CI/CD uses federated short-lived credentials</w:t>
            </w:r>
          </w:p>
        </w:tc>
        <w:tc>
          <w:tcPr>
            <w:vAlign w:val="center"/>
            <w:tcMar>
              <w:top w:w="70" w:type="dxa"/>
              <w:left w:w="85" w:type="dxa"/>
              <w:bottom w:w="70" w:type="dxa"/>
              <w:right w:w="85" w:type="dxa"/>
            </w:tcMar>
          </w:tcPr>
          <w:p>
            <w:pPr>
              <w:spacing w:after="30" w:before="0"/>
              <w:jc w:val="left"/>
            </w:pPr>
            <w:r>
              <w:rPr>
                <w:rFonts w:ascii="Arial" w:hAnsi="Arial"/>
                <w:sz w:val="16"/>
              </w:rPr>
              <w:t xml:space="preserve">Token exchange and deployment logs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IAM-04</w:t>
            </w:r>
          </w:p>
        </w:tc>
        <w:tc>
          <w:tcPr>
            <w:vAlign w:val="center"/>
            <w:tcMar>
              <w:top w:w="70" w:type="dxa"/>
              <w:left w:w="85" w:type="dxa"/>
              <w:bottom w:w="70" w:type="dxa"/>
              <w:right w:w="85" w:type="dxa"/>
            </w:tcMar>
          </w:tcPr>
          <w:p>
            <w:pPr>
              <w:spacing w:after="30" w:before="0"/>
              <w:jc w:val="left"/>
            </w:pPr>
            <w:r>
              <w:rPr>
                <w:rFonts w:ascii="Arial" w:hAnsi="Arial"/>
                <w:sz w:val="16"/>
              </w:rPr>
              <w:t xml:space="preserve">Service-account key creation is prevented</w:t>
            </w:r>
          </w:p>
        </w:tc>
        <w:tc>
          <w:tcPr>
            <w:vAlign w:val="center"/>
            <w:tcMar>
              <w:top w:w="70" w:type="dxa"/>
              <w:left w:w="85" w:type="dxa"/>
              <w:bottom w:w="70" w:type="dxa"/>
              <w:right w:w="85" w:type="dxa"/>
            </w:tcMar>
          </w:tcPr>
          <w:p>
            <w:pPr>
              <w:spacing w:after="30" w:before="0"/>
              <w:jc w:val="left"/>
            </w:pPr>
            <w:r>
              <w:rPr>
                <w:rFonts w:ascii="Arial" w:hAnsi="Arial"/>
                <w:sz w:val="16"/>
              </w:rPr>
              <w:t xml:space="preserve">Organization policy and negative test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IAM-05</w:t>
            </w:r>
          </w:p>
        </w:tc>
        <w:tc>
          <w:tcPr>
            <w:vAlign w:val="center"/>
            <w:tcMar>
              <w:top w:w="70" w:type="dxa"/>
              <w:left w:w="85" w:type="dxa"/>
              <w:bottom w:w="70" w:type="dxa"/>
              <w:right w:w="85" w:type="dxa"/>
            </w:tcMar>
          </w:tcPr>
          <w:p>
            <w:pPr>
              <w:spacing w:after="30" w:before="0"/>
              <w:jc w:val="left"/>
            </w:pPr>
            <w:r>
              <w:rPr>
                <w:rFonts w:ascii="Arial" w:hAnsi="Arial"/>
                <w:sz w:val="16"/>
              </w:rPr>
              <w:t xml:space="preserve">Privileged access is time-bound and approved</w:t>
            </w:r>
          </w:p>
        </w:tc>
        <w:tc>
          <w:tcPr>
            <w:vAlign w:val="center"/>
            <w:tcMar>
              <w:top w:w="70" w:type="dxa"/>
              <w:left w:w="85" w:type="dxa"/>
              <w:bottom w:w="70" w:type="dxa"/>
              <w:right w:w="85" w:type="dxa"/>
            </w:tcMar>
          </w:tcPr>
          <w:p>
            <w:pPr>
              <w:spacing w:after="30" w:before="0"/>
              <w:jc w:val="left"/>
            </w:pPr>
            <w:r>
              <w:rPr>
                <w:rFonts w:ascii="Arial" w:hAnsi="Arial"/>
                <w:sz w:val="16"/>
              </w:rPr>
              <w:t xml:space="preserve">PAM entitlement and completed request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IAM-06</w:t>
            </w:r>
          </w:p>
        </w:tc>
        <w:tc>
          <w:tcPr>
            <w:vAlign w:val="center"/>
            <w:tcMar>
              <w:top w:w="70" w:type="dxa"/>
              <w:left w:w="85" w:type="dxa"/>
              <w:bottom w:w="70" w:type="dxa"/>
              <w:right w:w="85" w:type="dxa"/>
            </w:tcMar>
          </w:tcPr>
          <w:p>
            <w:pPr>
              <w:spacing w:after="30" w:before="0"/>
              <w:jc w:val="left"/>
            </w:pPr>
            <w:r>
              <w:rPr>
                <w:rFonts w:ascii="Arial" w:hAnsi="Arial"/>
                <w:sz w:val="16"/>
              </w:rPr>
              <w:t xml:space="preserve">Break-glass access is independently recoverable</w:t>
            </w:r>
          </w:p>
        </w:tc>
        <w:tc>
          <w:tcPr>
            <w:vAlign w:val="center"/>
            <w:tcMar>
              <w:top w:w="70" w:type="dxa"/>
              <w:left w:w="85" w:type="dxa"/>
              <w:bottom w:w="70" w:type="dxa"/>
              <w:right w:w="85" w:type="dxa"/>
            </w:tcMar>
          </w:tcPr>
          <w:p>
            <w:pPr>
              <w:spacing w:after="30" w:before="0"/>
              <w:jc w:val="left"/>
            </w:pPr>
            <w:r>
              <w:rPr>
                <w:rFonts w:ascii="Arial" w:hAnsi="Arial"/>
                <w:sz w:val="16"/>
              </w:rPr>
              <w:t xml:space="preserve">Controlled test record</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IAM-07</w:t>
            </w:r>
          </w:p>
        </w:tc>
        <w:tc>
          <w:tcPr>
            <w:vAlign w:val="center"/>
            <w:tcMar>
              <w:top w:w="70" w:type="dxa"/>
              <w:left w:w="85" w:type="dxa"/>
              <w:bottom w:w="70" w:type="dxa"/>
              <w:right w:w="85" w:type="dxa"/>
            </w:tcMar>
          </w:tcPr>
          <w:p>
            <w:pPr>
              <w:spacing w:after="30" w:before="0"/>
              <w:jc w:val="left"/>
            </w:pPr>
            <w:r>
              <w:rPr>
                <w:rFonts w:ascii="Arial" w:hAnsi="Arial"/>
                <w:sz w:val="16"/>
              </w:rPr>
              <w:t xml:space="preserve">Privileged groups have owners and review schedules</w:t>
            </w:r>
          </w:p>
        </w:tc>
        <w:tc>
          <w:tcPr>
            <w:vAlign w:val="center"/>
            <w:tcMar>
              <w:top w:w="70" w:type="dxa"/>
              <w:left w:w="85" w:type="dxa"/>
              <w:bottom w:w="70" w:type="dxa"/>
              <w:right w:w="85" w:type="dxa"/>
            </w:tcMar>
          </w:tcPr>
          <w:p>
            <w:pPr>
              <w:spacing w:after="30" w:before="0"/>
              <w:jc w:val="left"/>
            </w:pPr>
            <w:r>
              <w:rPr>
                <w:rFonts w:ascii="Arial" w:hAnsi="Arial"/>
                <w:sz w:val="16"/>
              </w:rPr>
              <w:t xml:space="preserve">Identity governance evidence</w:t>
            </w:r>
          </w:p>
        </w:tc>
      </w:tr>
    </w:tbl>
    <w:bookmarkEnd w:id="175"/>
    <w:bookmarkStart w:id="176" w:name="security-and-data-perimeter"/>
    <w:p>
      <w:pPr>
        <w:pStyle w:val="Heading2"/>
        <w:keepNext/>
        <w:pageBreakBefore w:val="0"/>
      </w:pPr>
      <w:r>
        <w:t xml:space="preserve">11.4 Security and data perimeter</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ID</w:t>
            </w:r>
          </w:p>
        </w:tc>
        <w:tc>
          <w:tcPr>
            <w:vAlign w:val="center"/>
            <w:tcMar>
              <w:top w:w="70" w:type="dxa"/>
              <w:left w:w="85" w:type="dxa"/>
              <w:bottom w:w="70" w:type="dxa"/>
              <w:right w:w="85" w:type="dxa"/>
            </w:tcMar>
          </w:tcPr>
          <w:p>
            <w:pPr>
              <w:spacing w:after="30" w:before="0"/>
              <w:jc w:val="left"/>
            </w:pPr>
            <w:r>
              <w:rPr>
                <w:rFonts w:ascii="Arial" w:hAnsi="Arial"/>
                <w:b/>
                <w:sz w:val="16"/>
              </w:rPr>
              <w:t xml:space="preserve">Validation</w:t>
            </w:r>
          </w:p>
        </w:tc>
        <w:tc>
          <w:tcPr>
            <w:vAlign w:val="center"/>
            <w:tcMar>
              <w:top w:w="70" w:type="dxa"/>
              <w:left w:w="85" w:type="dxa"/>
              <w:bottom w:w="70" w:type="dxa"/>
              <w:right w:w="85" w:type="dxa"/>
            </w:tcMar>
          </w:tcPr>
          <w:p>
            <w:pPr>
              <w:spacing w:after="30" w:before="0"/>
              <w:jc w:val="left"/>
            </w:pPr>
            <w:r>
              <w:rPr>
                <w:rFonts w:ascii="Arial" w:hAnsi="Arial"/>
                <w:b/>
                <w:sz w:val="16"/>
              </w:rPr>
              <w:t xml:space="preserve">Acceptance 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SEC-01</w:t>
            </w:r>
          </w:p>
        </w:tc>
        <w:tc>
          <w:tcPr>
            <w:vAlign w:val="center"/>
            <w:tcMar>
              <w:top w:w="70" w:type="dxa"/>
              <w:left w:w="85" w:type="dxa"/>
              <w:bottom w:w="70" w:type="dxa"/>
              <w:right w:w="85" w:type="dxa"/>
            </w:tcMar>
          </w:tcPr>
          <w:p>
            <w:pPr>
              <w:spacing w:after="30" w:before="0"/>
              <w:jc w:val="left"/>
            </w:pPr>
            <w:r>
              <w:rPr>
                <w:rFonts w:ascii="Arial" w:hAnsi="Arial"/>
                <w:sz w:val="16"/>
              </w:rPr>
              <w:t xml:space="preserve">Baseline organization policies are enforced</w:t>
            </w:r>
          </w:p>
        </w:tc>
        <w:tc>
          <w:tcPr>
            <w:vAlign w:val="center"/>
            <w:tcMar>
              <w:top w:w="70" w:type="dxa"/>
              <w:left w:w="85" w:type="dxa"/>
              <w:bottom w:w="70" w:type="dxa"/>
              <w:right w:w="85" w:type="dxa"/>
            </w:tcMar>
          </w:tcPr>
          <w:p>
            <w:pPr>
              <w:spacing w:after="30" w:before="0"/>
              <w:jc w:val="left"/>
            </w:pPr>
            <w:r>
              <w:rPr>
                <w:rFonts w:ascii="Arial" w:hAnsi="Arial"/>
                <w:sz w:val="16"/>
              </w:rPr>
              <w:t xml:space="preserve">Policy inventory and compliance scan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SEC-02</w:t>
            </w:r>
          </w:p>
        </w:tc>
        <w:tc>
          <w:tcPr>
            <w:vAlign w:val="center"/>
            <w:tcMar>
              <w:top w:w="70" w:type="dxa"/>
              <w:left w:w="85" w:type="dxa"/>
              <w:bottom w:w="70" w:type="dxa"/>
              <w:right w:w="85" w:type="dxa"/>
            </w:tcMar>
          </w:tcPr>
          <w:p>
            <w:pPr>
              <w:spacing w:after="30" w:before="0"/>
              <w:jc w:val="left"/>
            </w:pPr>
            <w:r>
              <w:rPr>
                <w:rFonts w:ascii="Arial" w:hAnsi="Arial"/>
                <w:sz w:val="16"/>
              </w:rPr>
              <w:t xml:space="preserve">SCC findings route to accountable owners</w:t>
            </w:r>
          </w:p>
        </w:tc>
        <w:tc>
          <w:tcPr>
            <w:vAlign w:val="center"/>
            <w:tcMar>
              <w:top w:w="70" w:type="dxa"/>
              <w:left w:w="85" w:type="dxa"/>
              <w:bottom w:w="70" w:type="dxa"/>
              <w:right w:w="85" w:type="dxa"/>
            </w:tcMar>
          </w:tcPr>
          <w:p>
            <w:pPr>
              <w:spacing w:after="30" w:before="0"/>
              <w:jc w:val="left"/>
            </w:pPr>
            <w:r>
              <w:rPr>
                <w:rFonts w:ascii="Arial" w:hAnsi="Arial"/>
                <w:sz w:val="16"/>
              </w:rPr>
              <w:t xml:space="preserve">Sample incident and routing 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SEC-03</w:t>
            </w:r>
          </w:p>
        </w:tc>
        <w:tc>
          <w:tcPr>
            <w:vAlign w:val="center"/>
            <w:tcMar>
              <w:top w:w="70" w:type="dxa"/>
              <w:left w:w="85" w:type="dxa"/>
              <w:bottom w:w="70" w:type="dxa"/>
              <w:right w:w="85" w:type="dxa"/>
            </w:tcMar>
          </w:tcPr>
          <w:p>
            <w:pPr>
              <w:spacing w:after="30" w:before="0"/>
              <w:jc w:val="left"/>
            </w:pPr>
            <w:r>
              <w:rPr>
                <w:rFonts w:ascii="Arial" w:hAnsi="Arial"/>
                <w:sz w:val="16"/>
              </w:rPr>
              <w:t xml:space="preserve">Restricted projects are inside approved service perimeters</w:t>
            </w:r>
          </w:p>
        </w:tc>
        <w:tc>
          <w:tcPr>
            <w:vAlign w:val="center"/>
            <w:tcMar>
              <w:top w:w="70" w:type="dxa"/>
              <w:left w:w="85" w:type="dxa"/>
              <w:bottom w:w="70" w:type="dxa"/>
              <w:right w:w="85" w:type="dxa"/>
            </w:tcMar>
          </w:tcPr>
          <w:p>
            <w:pPr>
              <w:spacing w:after="30" w:before="0"/>
              <w:jc w:val="left"/>
            </w:pPr>
            <w:r>
              <w:rPr>
                <w:rFonts w:ascii="Arial" w:hAnsi="Arial"/>
                <w:sz w:val="16"/>
              </w:rPr>
              <w:t xml:space="preserve">Perimeter inventory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SEC-04</w:t>
            </w:r>
          </w:p>
        </w:tc>
        <w:tc>
          <w:tcPr>
            <w:vAlign w:val="center"/>
            <w:tcMar>
              <w:top w:w="70" w:type="dxa"/>
              <w:left w:w="85" w:type="dxa"/>
              <w:bottom w:w="70" w:type="dxa"/>
              <w:right w:w="85" w:type="dxa"/>
            </w:tcMar>
          </w:tcPr>
          <w:p>
            <w:pPr>
              <w:spacing w:after="30" w:before="0"/>
              <w:jc w:val="left"/>
            </w:pPr>
            <w:r>
              <w:rPr>
                <w:rFonts w:ascii="Arial" w:hAnsi="Arial"/>
                <w:sz w:val="16"/>
              </w:rPr>
              <w:t xml:space="preserve">Required ingress/egress paths pass and unapproved paths fail</w:t>
            </w:r>
          </w:p>
        </w:tc>
        <w:tc>
          <w:tcPr>
            <w:vAlign w:val="center"/>
            <w:tcMar>
              <w:top w:w="70" w:type="dxa"/>
              <w:left w:w="85" w:type="dxa"/>
              <w:bottom w:w="70" w:type="dxa"/>
              <w:right w:w="85" w:type="dxa"/>
            </w:tcMar>
          </w:tcPr>
          <w:p>
            <w:pPr>
              <w:spacing w:after="30" w:before="0"/>
              <w:jc w:val="left"/>
            </w:pPr>
            <w:r>
              <w:rPr>
                <w:rFonts w:ascii="Arial" w:hAnsi="Arial"/>
                <w:sz w:val="16"/>
              </w:rPr>
              <w:t xml:space="preserve">Test matrix</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SEC-05</w:t>
            </w:r>
          </w:p>
        </w:tc>
        <w:tc>
          <w:tcPr>
            <w:vAlign w:val="center"/>
            <w:tcMar>
              <w:top w:w="70" w:type="dxa"/>
              <w:left w:w="85" w:type="dxa"/>
              <w:bottom w:w="70" w:type="dxa"/>
              <w:right w:w="85" w:type="dxa"/>
            </w:tcMar>
          </w:tcPr>
          <w:p>
            <w:pPr>
              <w:spacing w:after="30" w:before="0"/>
              <w:jc w:val="left"/>
            </w:pPr>
            <w:r>
              <w:rPr>
                <w:rFonts w:ascii="Arial" w:hAnsi="Arial"/>
                <w:sz w:val="16"/>
              </w:rPr>
              <w:t xml:space="preserve">CMEK-protected services can encrypt/decrypt after rotation</w:t>
            </w:r>
          </w:p>
        </w:tc>
        <w:tc>
          <w:tcPr>
            <w:vAlign w:val="center"/>
            <w:tcMar>
              <w:top w:w="70" w:type="dxa"/>
              <w:left w:w="85" w:type="dxa"/>
              <w:bottom w:w="70" w:type="dxa"/>
              <w:right w:w="85" w:type="dxa"/>
            </w:tcMar>
          </w:tcPr>
          <w:p>
            <w:pPr>
              <w:spacing w:after="30" w:before="0"/>
              <w:jc w:val="left"/>
            </w:pPr>
            <w:r>
              <w:rPr>
                <w:rFonts w:ascii="Arial" w:hAnsi="Arial"/>
                <w:sz w:val="16"/>
              </w:rPr>
              <w:t xml:space="preserve">Rotation test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SEC-06</w:t>
            </w:r>
          </w:p>
        </w:tc>
        <w:tc>
          <w:tcPr>
            <w:vAlign w:val="center"/>
            <w:tcMar>
              <w:top w:w="70" w:type="dxa"/>
              <w:left w:w="85" w:type="dxa"/>
              <w:bottom w:w="70" w:type="dxa"/>
              <w:right w:w="85" w:type="dxa"/>
            </w:tcMar>
          </w:tcPr>
          <w:p>
            <w:pPr>
              <w:spacing w:after="30" w:before="0"/>
              <w:jc w:val="left"/>
            </w:pPr>
            <w:r>
              <w:rPr>
                <w:rFonts w:ascii="Arial" w:hAnsi="Arial"/>
                <w:sz w:val="16"/>
              </w:rPr>
              <w:t xml:space="preserve">Key disablement alert and recovery are tested</w:t>
            </w:r>
          </w:p>
        </w:tc>
        <w:tc>
          <w:tcPr>
            <w:vAlign w:val="center"/>
            <w:tcMar>
              <w:top w:w="70" w:type="dxa"/>
              <w:left w:w="85" w:type="dxa"/>
              <w:bottom w:w="70" w:type="dxa"/>
              <w:right w:w="85" w:type="dxa"/>
            </w:tcMar>
          </w:tcPr>
          <w:p>
            <w:pPr>
              <w:spacing w:after="30" w:before="0"/>
              <w:jc w:val="left"/>
            </w:pPr>
            <w:r>
              <w:rPr>
                <w:rFonts w:ascii="Arial" w:hAnsi="Arial"/>
                <w:sz w:val="16"/>
              </w:rPr>
              <w:t xml:space="preserve">Exercise report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SEC-07</w:t>
            </w:r>
          </w:p>
        </w:tc>
        <w:tc>
          <w:tcPr>
            <w:vAlign w:val="center"/>
            <w:tcMar>
              <w:top w:w="70" w:type="dxa"/>
              <w:left w:w="85" w:type="dxa"/>
              <w:bottom w:w="70" w:type="dxa"/>
              <w:right w:w="85" w:type="dxa"/>
            </w:tcMar>
          </w:tcPr>
          <w:p>
            <w:pPr>
              <w:spacing w:after="30" w:before="0"/>
              <w:jc w:val="left"/>
            </w:pPr>
            <w:r>
              <w:rPr>
                <w:rFonts w:ascii="Arial" w:hAnsi="Arial"/>
                <w:sz w:val="16"/>
              </w:rPr>
              <w:t xml:space="preserve">Secret access is least privilege and audited</w:t>
            </w:r>
          </w:p>
        </w:tc>
        <w:tc>
          <w:tcPr>
            <w:vAlign w:val="center"/>
            <w:tcMar>
              <w:top w:w="70" w:type="dxa"/>
              <w:left w:w="85" w:type="dxa"/>
              <w:bottom w:w="70" w:type="dxa"/>
              <w:right w:w="85" w:type="dxa"/>
            </w:tcMar>
          </w:tcPr>
          <w:p>
            <w:pPr>
              <w:spacing w:after="30" w:before="0"/>
              <w:jc w:val="left"/>
            </w:pPr>
            <w:r>
              <w:rPr>
                <w:rFonts w:ascii="Arial" w:hAnsi="Arial"/>
                <w:sz w:val="16"/>
              </w:rPr>
              <w:t xml:space="preserve">IAM and log review</w:t>
            </w:r>
          </w:p>
        </w:tc>
      </w:tr>
    </w:tbl>
    <w:bookmarkEnd w:id="176"/>
    <w:bookmarkStart w:id="177" w:name="logging-monitoring-and-operations"/>
    <w:p>
      <w:pPr>
        <w:pStyle w:val="Heading2"/>
        <w:keepNext/>
        <w:pageBreakBefore w:val="0"/>
      </w:pPr>
      <w:r>
        <w:t xml:space="preserve">11.5 Logging, monitoring and operations</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ID</w:t>
            </w:r>
          </w:p>
        </w:tc>
        <w:tc>
          <w:tcPr>
            <w:vAlign w:val="center"/>
            <w:tcMar>
              <w:top w:w="70" w:type="dxa"/>
              <w:left w:w="85" w:type="dxa"/>
              <w:bottom w:w="70" w:type="dxa"/>
              <w:right w:w="85" w:type="dxa"/>
            </w:tcMar>
          </w:tcPr>
          <w:p>
            <w:pPr>
              <w:spacing w:after="30" w:before="0"/>
              <w:jc w:val="left"/>
            </w:pPr>
            <w:r>
              <w:rPr>
                <w:rFonts w:ascii="Arial" w:hAnsi="Arial"/>
                <w:b/>
                <w:sz w:val="16"/>
              </w:rPr>
              <w:t xml:space="preserve">Validation</w:t>
            </w:r>
          </w:p>
        </w:tc>
        <w:tc>
          <w:tcPr>
            <w:vAlign w:val="center"/>
            <w:tcMar>
              <w:top w:w="70" w:type="dxa"/>
              <w:left w:w="85" w:type="dxa"/>
              <w:bottom w:w="70" w:type="dxa"/>
              <w:right w:w="85" w:type="dxa"/>
            </w:tcMar>
          </w:tcPr>
          <w:p>
            <w:pPr>
              <w:spacing w:after="30" w:before="0"/>
              <w:jc w:val="left"/>
            </w:pPr>
            <w:r>
              <w:rPr>
                <w:rFonts w:ascii="Arial" w:hAnsi="Arial"/>
                <w:b/>
                <w:sz w:val="16"/>
              </w:rPr>
              <w:t xml:space="preserve">Acceptance 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OPS-01</w:t>
            </w:r>
          </w:p>
        </w:tc>
        <w:tc>
          <w:tcPr>
            <w:vAlign w:val="center"/>
            <w:tcMar>
              <w:top w:w="70" w:type="dxa"/>
              <w:left w:w="85" w:type="dxa"/>
              <w:bottom w:w="70" w:type="dxa"/>
              <w:right w:w="85" w:type="dxa"/>
            </w:tcMar>
          </w:tcPr>
          <w:p>
            <w:pPr>
              <w:spacing w:after="30" w:before="0"/>
              <w:jc w:val="left"/>
            </w:pPr>
            <w:r>
              <w:rPr>
                <w:rFonts w:ascii="Arial" w:hAnsi="Arial"/>
                <w:sz w:val="16"/>
              </w:rPr>
              <w:t xml:space="preserve">All projects route mandatory logs centrally</w:t>
            </w:r>
          </w:p>
        </w:tc>
        <w:tc>
          <w:tcPr>
            <w:vAlign w:val="center"/>
            <w:tcMar>
              <w:top w:w="70" w:type="dxa"/>
              <w:left w:w="85" w:type="dxa"/>
              <w:bottom w:w="70" w:type="dxa"/>
              <w:right w:w="85" w:type="dxa"/>
            </w:tcMar>
          </w:tcPr>
          <w:p>
            <w:pPr>
              <w:spacing w:after="30" w:before="0"/>
              <w:jc w:val="left"/>
            </w:pPr>
            <w:r>
              <w:rPr>
                <w:rFonts w:ascii="Arial" w:hAnsi="Arial"/>
                <w:sz w:val="16"/>
              </w:rPr>
              <w:t xml:space="preserve">Coverage dashboard</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OPS-02</w:t>
            </w:r>
          </w:p>
        </w:tc>
        <w:tc>
          <w:tcPr>
            <w:vAlign w:val="center"/>
            <w:tcMar>
              <w:top w:w="70" w:type="dxa"/>
              <w:left w:w="85" w:type="dxa"/>
              <w:bottom w:w="70" w:type="dxa"/>
              <w:right w:w="85" w:type="dxa"/>
            </w:tcMar>
          </w:tcPr>
          <w:p>
            <w:pPr>
              <w:spacing w:after="30" w:before="0"/>
              <w:jc w:val="left"/>
            </w:pPr>
            <w:r>
              <w:rPr>
                <w:rFonts w:ascii="Arial" w:hAnsi="Arial"/>
                <w:sz w:val="16"/>
              </w:rPr>
              <w:t xml:space="preserve">Log buckets enforce required retention</w:t>
            </w:r>
          </w:p>
        </w:tc>
        <w:tc>
          <w:tcPr>
            <w:vAlign w:val="center"/>
            <w:tcMar>
              <w:top w:w="70" w:type="dxa"/>
              <w:left w:w="85" w:type="dxa"/>
              <w:bottom w:w="70" w:type="dxa"/>
              <w:right w:w="85" w:type="dxa"/>
            </w:tcMar>
          </w:tcPr>
          <w:p>
            <w:pPr>
              <w:spacing w:after="30" w:before="0"/>
              <w:jc w:val="left"/>
            </w:pPr>
            <w:r>
              <w:rPr>
                <w:rFonts w:ascii="Arial" w:hAnsi="Arial"/>
                <w:sz w:val="16"/>
              </w:rPr>
              <w:t xml:space="preserve">Bucket policy 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OPS-03</w:t>
            </w:r>
          </w:p>
        </w:tc>
        <w:tc>
          <w:tcPr>
            <w:vAlign w:val="center"/>
            <w:tcMar>
              <w:top w:w="70" w:type="dxa"/>
              <w:left w:w="85" w:type="dxa"/>
              <w:bottom w:w="70" w:type="dxa"/>
              <w:right w:w="85" w:type="dxa"/>
            </w:tcMar>
          </w:tcPr>
          <w:p>
            <w:pPr>
              <w:spacing w:after="30" w:before="0"/>
              <w:jc w:val="left"/>
            </w:pPr>
            <w:r>
              <w:rPr>
                <w:rFonts w:ascii="Arial" w:hAnsi="Arial"/>
                <w:sz w:val="16"/>
              </w:rPr>
              <w:t xml:space="preserve">Foundation SLOs and alerts are active</w:t>
            </w:r>
          </w:p>
        </w:tc>
        <w:tc>
          <w:tcPr>
            <w:vAlign w:val="center"/>
            <w:tcMar>
              <w:top w:w="70" w:type="dxa"/>
              <w:left w:w="85" w:type="dxa"/>
              <w:bottom w:w="70" w:type="dxa"/>
              <w:right w:w="85" w:type="dxa"/>
            </w:tcMar>
          </w:tcPr>
          <w:p>
            <w:pPr>
              <w:spacing w:after="30" w:before="0"/>
              <w:jc w:val="left"/>
            </w:pPr>
            <w:r>
              <w:rPr>
                <w:rFonts w:ascii="Arial" w:hAnsi="Arial"/>
                <w:sz w:val="16"/>
              </w:rPr>
              <w:t xml:space="preserve">Dashboard and alert test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OPS-04</w:t>
            </w:r>
          </w:p>
        </w:tc>
        <w:tc>
          <w:tcPr>
            <w:vAlign w:val="center"/>
            <w:tcMar>
              <w:top w:w="70" w:type="dxa"/>
              <w:left w:w="85" w:type="dxa"/>
              <w:bottom w:w="70" w:type="dxa"/>
              <w:right w:w="85" w:type="dxa"/>
            </w:tcMar>
          </w:tcPr>
          <w:p>
            <w:pPr>
              <w:spacing w:after="30" w:before="0"/>
              <w:jc w:val="left"/>
            </w:pPr>
            <w:r>
              <w:rPr>
                <w:rFonts w:ascii="Arial" w:hAnsi="Arial"/>
                <w:sz w:val="16"/>
              </w:rPr>
              <w:t xml:space="preserve">Critical alerts reach 24x7 responders</w:t>
            </w:r>
          </w:p>
        </w:tc>
        <w:tc>
          <w:tcPr>
            <w:vAlign w:val="center"/>
            <w:tcMar>
              <w:top w:w="70" w:type="dxa"/>
              <w:left w:w="85" w:type="dxa"/>
              <w:bottom w:w="70" w:type="dxa"/>
              <w:right w:w="85" w:type="dxa"/>
            </w:tcMar>
          </w:tcPr>
          <w:p>
            <w:pPr>
              <w:spacing w:after="30" w:before="0"/>
              <w:jc w:val="left"/>
            </w:pPr>
            <w:r>
              <w:rPr>
                <w:rFonts w:ascii="Arial" w:hAnsi="Arial"/>
                <w:sz w:val="16"/>
              </w:rPr>
              <w:t xml:space="preserve">Paging exercise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OPS-05</w:t>
            </w:r>
          </w:p>
        </w:tc>
        <w:tc>
          <w:tcPr>
            <w:vAlign w:val="center"/>
            <w:tcMar>
              <w:top w:w="70" w:type="dxa"/>
              <w:left w:w="85" w:type="dxa"/>
              <w:bottom w:w="70" w:type="dxa"/>
              <w:right w:w="85" w:type="dxa"/>
            </w:tcMar>
          </w:tcPr>
          <w:p>
            <w:pPr>
              <w:spacing w:after="30" w:before="0"/>
              <w:jc w:val="left"/>
            </w:pPr>
            <w:r>
              <w:rPr>
                <w:rFonts w:ascii="Arial" w:hAnsi="Arial"/>
                <w:sz w:val="16"/>
              </w:rPr>
              <w:t xml:space="preserve">Runbooks contain ownership, diagnosis and rollback</w:t>
            </w:r>
          </w:p>
        </w:tc>
        <w:tc>
          <w:tcPr>
            <w:vAlign w:val="center"/>
            <w:tcMar>
              <w:top w:w="70" w:type="dxa"/>
              <w:left w:w="85" w:type="dxa"/>
              <w:bottom w:w="70" w:type="dxa"/>
              <w:right w:w="85" w:type="dxa"/>
            </w:tcMar>
          </w:tcPr>
          <w:p>
            <w:pPr>
              <w:spacing w:after="30" w:before="0"/>
              <w:jc w:val="left"/>
            </w:pPr>
            <w:r>
              <w:rPr>
                <w:rFonts w:ascii="Arial" w:hAnsi="Arial"/>
                <w:sz w:val="16"/>
              </w:rPr>
              <w:t xml:space="preserve">Approved runbook library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OPS-06</w:t>
            </w:r>
          </w:p>
        </w:tc>
        <w:tc>
          <w:tcPr>
            <w:vAlign w:val="center"/>
            <w:tcMar>
              <w:top w:w="70" w:type="dxa"/>
              <w:left w:w="85" w:type="dxa"/>
              <w:bottom w:w="70" w:type="dxa"/>
              <w:right w:w="85" w:type="dxa"/>
            </w:tcMar>
          </w:tcPr>
          <w:p>
            <w:pPr>
              <w:spacing w:after="30" w:before="0"/>
              <w:jc w:val="left"/>
            </w:pPr>
            <w:r>
              <w:rPr>
                <w:rFonts w:ascii="Arial" w:hAnsi="Arial"/>
                <w:sz w:val="16"/>
              </w:rPr>
              <w:t xml:space="preserve">SIEM receives identity, network and SCC telemetry</w:t>
            </w:r>
          </w:p>
        </w:tc>
        <w:tc>
          <w:tcPr>
            <w:vAlign w:val="center"/>
            <w:tcMar>
              <w:top w:w="70" w:type="dxa"/>
              <w:left w:w="85" w:type="dxa"/>
              <w:bottom w:w="70" w:type="dxa"/>
              <w:right w:w="85" w:type="dxa"/>
            </w:tcMar>
          </w:tcPr>
          <w:p>
            <w:pPr>
              <w:spacing w:after="30" w:before="0"/>
              <w:jc w:val="left"/>
            </w:pPr>
            <w:r>
              <w:rPr>
                <w:rFonts w:ascii="Arial" w:hAnsi="Arial"/>
                <w:sz w:val="16"/>
              </w:rPr>
              <w:t xml:space="preserve">Event correlation 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OPS-07</w:t>
            </w:r>
          </w:p>
        </w:tc>
        <w:tc>
          <w:tcPr>
            <w:vAlign w:val="center"/>
            <w:tcMar>
              <w:top w:w="70" w:type="dxa"/>
              <w:left w:w="85" w:type="dxa"/>
              <w:bottom w:w="70" w:type="dxa"/>
              <w:right w:w="85" w:type="dxa"/>
            </w:tcMar>
          </w:tcPr>
          <w:p>
            <w:pPr>
              <w:spacing w:after="30" w:before="0"/>
              <w:jc w:val="left"/>
            </w:pPr>
            <w:r>
              <w:rPr>
                <w:rFonts w:ascii="Arial" w:hAnsi="Arial"/>
                <w:sz w:val="16"/>
              </w:rPr>
              <w:t xml:space="preserve">Terraform drift is detected and triaged</w:t>
            </w:r>
          </w:p>
        </w:tc>
        <w:tc>
          <w:tcPr>
            <w:vAlign w:val="center"/>
            <w:tcMar>
              <w:top w:w="70" w:type="dxa"/>
              <w:left w:w="85" w:type="dxa"/>
              <w:bottom w:w="70" w:type="dxa"/>
              <w:right w:w="85" w:type="dxa"/>
            </w:tcMar>
          </w:tcPr>
          <w:p>
            <w:pPr>
              <w:spacing w:after="30" w:before="0"/>
              <w:jc w:val="left"/>
            </w:pPr>
            <w:r>
              <w:rPr>
                <w:rFonts w:ascii="Arial" w:hAnsi="Arial"/>
                <w:sz w:val="16"/>
              </w:rPr>
              <w:t xml:space="preserve">Drift report and ticket</w:t>
            </w:r>
          </w:p>
        </w:tc>
      </w:tr>
    </w:tbl>
    <w:bookmarkEnd w:id="177"/>
    <w:bookmarkStart w:id="178" w:name="project-factory"/>
    <w:p>
      <w:pPr>
        <w:pStyle w:val="Heading2"/>
        <w:keepNext/>
        <w:pageBreakBefore w:val="0"/>
      </w:pPr>
      <w:r>
        <w:t xml:space="preserve">11.6 Project factory</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ID</w:t>
            </w:r>
          </w:p>
        </w:tc>
        <w:tc>
          <w:tcPr>
            <w:vAlign w:val="center"/>
            <w:tcMar>
              <w:top w:w="70" w:type="dxa"/>
              <w:left w:w="85" w:type="dxa"/>
              <w:bottom w:w="70" w:type="dxa"/>
              <w:right w:w="85" w:type="dxa"/>
            </w:tcMar>
          </w:tcPr>
          <w:p>
            <w:pPr>
              <w:spacing w:after="30" w:before="0"/>
              <w:jc w:val="left"/>
            </w:pPr>
            <w:r>
              <w:rPr>
                <w:rFonts w:ascii="Arial" w:hAnsi="Arial"/>
                <w:b/>
                <w:sz w:val="16"/>
              </w:rPr>
              <w:t xml:space="preserve">Validation</w:t>
            </w:r>
          </w:p>
        </w:tc>
        <w:tc>
          <w:tcPr>
            <w:vAlign w:val="center"/>
            <w:tcMar>
              <w:top w:w="70" w:type="dxa"/>
              <w:left w:w="85" w:type="dxa"/>
              <w:bottom w:w="70" w:type="dxa"/>
              <w:right w:w="85" w:type="dxa"/>
            </w:tcMar>
          </w:tcPr>
          <w:p>
            <w:pPr>
              <w:spacing w:after="30" w:before="0"/>
              <w:jc w:val="left"/>
            </w:pPr>
            <w:r>
              <w:rPr>
                <w:rFonts w:ascii="Arial" w:hAnsi="Arial"/>
                <w:b/>
                <w:sz w:val="16"/>
              </w:rPr>
              <w:t xml:space="preserve">Acceptance 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FAC-01</w:t>
            </w:r>
          </w:p>
        </w:tc>
        <w:tc>
          <w:tcPr>
            <w:vAlign w:val="center"/>
            <w:tcMar>
              <w:top w:w="70" w:type="dxa"/>
              <w:left w:w="85" w:type="dxa"/>
              <w:bottom w:w="70" w:type="dxa"/>
              <w:right w:w="85" w:type="dxa"/>
            </w:tcMar>
          </w:tcPr>
          <w:p>
            <w:pPr>
              <w:spacing w:after="30" w:before="0"/>
              <w:jc w:val="left"/>
            </w:pPr>
            <w:r>
              <w:rPr>
                <w:rFonts w:ascii="Arial" w:hAnsi="Arial"/>
                <w:sz w:val="16"/>
              </w:rPr>
              <w:t xml:space="preserve">A standard project is provisioned end-to-end automatically</w:t>
            </w:r>
          </w:p>
        </w:tc>
        <w:tc>
          <w:tcPr>
            <w:vAlign w:val="center"/>
            <w:tcMar>
              <w:top w:w="70" w:type="dxa"/>
              <w:left w:w="85" w:type="dxa"/>
              <w:bottom w:w="70" w:type="dxa"/>
              <w:right w:w="85" w:type="dxa"/>
            </w:tcMar>
          </w:tcPr>
          <w:p>
            <w:pPr>
              <w:spacing w:after="30" w:before="0"/>
              <w:jc w:val="left"/>
            </w:pPr>
            <w:r>
              <w:rPr>
                <w:rFonts w:ascii="Arial" w:hAnsi="Arial"/>
                <w:sz w:val="16"/>
              </w:rPr>
              <w:t xml:space="preserve">Pipeline record and created project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FAC-02</w:t>
            </w:r>
          </w:p>
        </w:tc>
        <w:tc>
          <w:tcPr>
            <w:vAlign w:val="center"/>
            <w:tcMar>
              <w:top w:w="70" w:type="dxa"/>
              <w:left w:w="85" w:type="dxa"/>
              <w:bottom w:w="70" w:type="dxa"/>
              <w:right w:w="85" w:type="dxa"/>
            </w:tcMar>
          </w:tcPr>
          <w:p>
            <w:pPr>
              <w:spacing w:after="30" w:before="0"/>
              <w:jc w:val="left"/>
            </w:pPr>
            <w:r>
              <w:rPr>
                <w:rFonts w:ascii="Arial" w:hAnsi="Arial"/>
                <w:sz w:val="16"/>
              </w:rPr>
              <w:t xml:space="preserve">Naming, labels and billing are validated</w:t>
            </w:r>
          </w:p>
        </w:tc>
        <w:tc>
          <w:tcPr>
            <w:vAlign w:val="center"/>
            <w:tcMar>
              <w:top w:w="70" w:type="dxa"/>
              <w:left w:w="85" w:type="dxa"/>
              <w:bottom w:w="70" w:type="dxa"/>
              <w:right w:w="85" w:type="dxa"/>
            </w:tcMar>
          </w:tcPr>
          <w:p>
            <w:pPr>
              <w:spacing w:after="30" w:before="0"/>
              <w:jc w:val="left"/>
            </w:pPr>
            <w:r>
              <w:rPr>
                <w:rFonts w:ascii="Arial" w:hAnsi="Arial"/>
                <w:sz w:val="16"/>
              </w:rPr>
              <w:t xml:space="preserve">Resource inventory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FAC-03</w:t>
            </w:r>
          </w:p>
        </w:tc>
        <w:tc>
          <w:tcPr>
            <w:vAlign w:val="center"/>
            <w:tcMar>
              <w:top w:w="70" w:type="dxa"/>
              <w:left w:w="85" w:type="dxa"/>
              <w:bottom w:w="70" w:type="dxa"/>
              <w:right w:w="85" w:type="dxa"/>
            </w:tcMar>
          </w:tcPr>
          <w:p>
            <w:pPr>
              <w:spacing w:after="30" w:before="0"/>
              <w:jc w:val="left"/>
            </w:pPr>
            <w:r>
              <w:rPr>
                <w:rFonts w:ascii="Arial" w:hAnsi="Arial"/>
                <w:sz w:val="16"/>
              </w:rPr>
              <w:t xml:space="preserve">Shared VPC attachment and subnet IAM are correct</w:t>
            </w:r>
          </w:p>
        </w:tc>
        <w:tc>
          <w:tcPr>
            <w:vAlign w:val="center"/>
            <w:tcMar>
              <w:top w:w="70" w:type="dxa"/>
              <w:left w:w="85" w:type="dxa"/>
              <w:bottom w:w="70" w:type="dxa"/>
              <w:right w:w="85" w:type="dxa"/>
            </w:tcMar>
          </w:tcPr>
          <w:p>
            <w:pPr>
              <w:spacing w:after="30" w:before="0"/>
              <w:jc w:val="left"/>
            </w:pPr>
            <w:r>
              <w:rPr>
                <w:rFonts w:ascii="Arial" w:hAnsi="Arial"/>
                <w:sz w:val="16"/>
              </w:rPr>
              <w:t xml:space="preserve">Network test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FAC-04</w:t>
            </w:r>
          </w:p>
        </w:tc>
        <w:tc>
          <w:tcPr>
            <w:vAlign w:val="center"/>
            <w:tcMar>
              <w:top w:w="70" w:type="dxa"/>
              <w:left w:w="85" w:type="dxa"/>
              <w:bottom w:w="70" w:type="dxa"/>
              <w:right w:w="85" w:type="dxa"/>
            </w:tcMar>
          </w:tcPr>
          <w:p>
            <w:pPr>
              <w:spacing w:after="30" w:before="0"/>
              <w:jc w:val="left"/>
            </w:pPr>
            <w:r>
              <w:rPr>
                <w:rFonts w:ascii="Arial" w:hAnsi="Arial"/>
                <w:sz w:val="16"/>
              </w:rPr>
              <w:t xml:space="preserve">Logging, monitoring and SCC registration are automatic</w:t>
            </w:r>
          </w:p>
        </w:tc>
        <w:tc>
          <w:tcPr>
            <w:vAlign w:val="center"/>
            <w:tcMar>
              <w:top w:w="70" w:type="dxa"/>
              <w:left w:w="85" w:type="dxa"/>
              <w:bottom w:w="70" w:type="dxa"/>
              <w:right w:w="85" w:type="dxa"/>
            </w:tcMar>
          </w:tcPr>
          <w:p>
            <w:pPr>
              <w:spacing w:after="30" w:before="0"/>
              <w:jc w:val="left"/>
            </w:pPr>
            <w:r>
              <w:rPr>
                <w:rFonts w:ascii="Arial" w:hAnsi="Arial"/>
                <w:sz w:val="16"/>
              </w:rPr>
              <w:t xml:space="preserve">Coverage 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FAC-05</w:t>
            </w:r>
          </w:p>
        </w:tc>
        <w:tc>
          <w:tcPr>
            <w:vAlign w:val="center"/>
            <w:tcMar>
              <w:top w:w="70" w:type="dxa"/>
              <w:left w:w="85" w:type="dxa"/>
              <w:bottom w:w="70" w:type="dxa"/>
              <w:right w:w="85" w:type="dxa"/>
            </w:tcMar>
          </w:tcPr>
          <w:p>
            <w:pPr>
              <w:spacing w:after="30" w:before="0"/>
              <w:jc w:val="left"/>
            </w:pPr>
            <w:r>
              <w:rPr>
                <w:rFonts w:ascii="Arial" w:hAnsi="Arial"/>
                <w:sz w:val="16"/>
              </w:rPr>
              <w:t xml:space="preserve">Project deletion uses hold, approval and recovery window</w:t>
            </w:r>
          </w:p>
        </w:tc>
        <w:tc>
          <w:tcPr>
            <w:vAlign w:val="center"/>
            <w:tcMar>
              <w:top w:w="70" w:type="dxa"/>
              <w:left w:w="85" w:type="dxa"/>
              <w:bottom w:w="70" w:type="dxa"/>
              <w:right w:w="85" w:type="dxa"/>
            </w:tcMar>
          </w:tcPr>
          <w:p>
            <w:pPr>
              <w:spacing w:after="30" w:before="0"/>
              <w:jc w:val="left"/>
            </w:pPr>
            <w:r>
              <w:rPr>
                <w:rFonts w:ascii="Arial" w:hAnsi="Arial"/>
                <w:sz w:val="16"/>
              </w:rPr>
              <w:t xml:space="preserve">Lifecycle test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FAC-06</w:t>
            </w:r>
          </w:p>
        </w:tc>
        <w:tc>
          <w:tcPr>
            <w:vAlign w:val="center"/>
            <w:tcMar>
              <w:top w:w="70" w:type="dxa"/>
              <w:left w:w="85" w:type="dxa"/>
              <w:bottom w:w="70" w:type="dxa"/>
              <w:right w:w="85" w:type="dxa"/>
            </w:tcMar>
          </w:tcPr>
          <w:p>
            <w:pPr>
              <w:spacing w:after="30" w:before="0"/>
              <w:jc w:val="left"/>
            </w:pPr>
            <w:r>
              <w:rPr>
                <w:rFonts w:ascii="Arial" w:hAnsi="Arial"/>
                <w:sz w:val="16"/>
              </w:rPr>
              <w:t xml:space="preserve">Sandbox expiry and quotas are enforced</w:t>
            </w:r>
          </w:p>
        </w:tc>
        <w:tc>
          <w:tcPr>
            <w:vAlign w:val="center"/>
            <w:tcMar>
              <w:top w:w="70" w:type="dxa"/>
              <w:left w:w="85" w:type="dxa"/>
              <w:bottom w:w="70" w:type="dxa"/>
              <w:right w:w="85" w:type="dxa"/>
            </w:tcMar>
          </w:tcPr>
          <w:p>
            <w:pPr>
              <w:spacing w:after="30" w:before="0"/>
              <w:jc w:val="left"/>
            </w:pPr>
            <w:r>
              <w:rPr>
                <w:rFonts w:ascii="Arial" w:hAnsi="Arial"/>
                <w:sz w:val="16"/>
              </w:rPr>
              <w:t xml:space="preserve">Automated cleanup evidence</w:t>
            </w:r>
          </w:p>
        </w:tc>
      </w:tr>
    </w:tbl>
    <w:bookmarkEnd w:id="178"/>
    <w:bookmarkEnd w:id="179"/>
    <w:bookmarkStart w:id="195" w:name="architecture-decision-records"/>
    <w:p>
      <w:pPr>
        <w:pStyle w:val="Heading1"/>
        <w:keepNext/>
        <w:pageBreakBefore w:val="0"/>
      </w:pPr>
      <w:r>
        <w:t xml:space="preserve">12. Architecture Decision Records</w:t>
      </w:r>
    </w:p>
    <w:bookmarkStart w:id="180" w:name="X0502ff75fafadb7e523400faf624df604ec273b"/>
    <w:p>
      <w:pPr>
        <w:pStyle w:val="Heading2"/>
        <w:keepNext/>
        <w:pageBreakBefore w:val="0"/>
      </w:pPr>
      <w:r>
        <w:t xml:space="preserve">ADR-LZ-001 — Single authoritative Google Cloud organization</w:t>
      </w:r>
    </w:p>
    <w:p>
      <w:pPr>
        <w:pStyle w:val="FirstParagraph"/>
      </w:pPr>
      <w:r>
        <w:rPr>
          <w:b/>
          <w:bCs/>
        </w:rPr>
        <w:t xml:space="preserve">Problem.</w:t>
      </w:r>
      <w:r>
        <w:t xml:space="preserve"> </w:t>
      </w:r>
      <w:r>
        <w:t xml:space="preserve">Multiple independent organizations fragment policy, identity, billing and audit control.</w:t>
      </w:r>
    </w:p>
    <w:p>
      <w:pPr>
        <w:pStyle w:val="BodyText"/>
      </w:pPr>
      <w:r>
        <w:rPr>
          <w:b/>
          <w:bCs/>
        </w:rPr>
        <w:t xml:space="preserve">Alternatives.</w:t>
      </w:r>
      <w:r>
        <w:t xml:space="preserve"> </w:t>
      </w:r>
      <w:r>
        <w:t xml:space="preserve">One enterprise organization; multiple organizations by business unit; multiple organizations by geography.</w:t>
      </w:r>
    </w:p>
    <w:p>
      <w:pPr>
        <w:pStyle w:val="BodyText"/>
      </w:pPr>
      <w:r>
        <w:rPr>
          <w:b/>
          <w:bCs/>
        </w:rPr>
        <w:t xml:space="preserve">Decision.</w:t>
      </w:r>
      <w:r>
        <w:t xml:space="preserve"> </w:t>
      </w:r>
      <w:r>
        <w:t xml:space="preserve">Use one authoritative enterprise organization, with separate organizations only where legal ownership or sovereign administration requires them.</w:t>
      </w:r>
    </w:p>
    <w:p>
      <w:pPr>
        <w:pStyle w:val="BodyText"/>
      </w:pPr>
      <w:r>
        <w:rPr>
          <w:b/>
          <w:bCs/>
        </w:rPr>
        <w:t xml:space="preserve">Tradeoffs.</w:t>
      </w:r>
      <w:r>
        <w:t xml:space="preserve"> </w:t>
      </w:r>
      <w:r>
        <w:t xml:space="preserve">Central governance improves consistency but requires clear delegation and scalable automation.</w:t>
      </w:r>
    </w:p>
    <w:p>
      <w:pPr>
        <w:pStyle w:val="BodyText"/>
      </w:pPr>
      <w:r>
        <w:rPr>
          <w:b/>
          <w:bCs/>
        </w:rPr>
        <w:t xml:space="preserve">Risks.</w:t>
      </w:r>
      <w:r>
        <w:t xml:space="preserve"> </w:t>
      </w:r>
      <w:r>
        <w:t xml:space="preserve">Central teams could become a bottleneck; organization-level mistakes have wide impact.</w:t>
      </w:r>
    </w:p>
    <w:p>
      <w:pPr>
        <w:pStyle w:val="BodyText"/>
      </w:pPr>
      <w:r>
        <w:rPr>
          <w:b/>
          <w:bCs/>
        </w:rPr>
        <w:t xml:space="preserve">Mitigations.</w:t>
      </w:r>
      <w:r>
        <w:t xml:space="preserve"> </w:t>
      </w:r>
      <w:r>
        <w:t xml:space="preserve">Policy as code, staged deployment, delegated folders, peer review, break-glass recovery and blast-radius testing.</w:t>
      </w:r>
    </w:p>
    <w:bookmarkEnd w:id="180"/>
    <w:bookmarkStart w:id="181" w:name="X9c5c699212f15011f374c3e47da8990ce7c5a64"/>
    <w:p>
      <w:pPr>
        <w:pStyle w:val="Heading2"/>
        <w:keepNext/>
        <w:pageBreakBefore w:val="0"/>
      </w:pPr>
      <w:r>
        <w:t xml:space="preserve">ADR-LZ-002 — Folder hierarchy by governance boundary</w:t>
      </w:r>
    </w:p>
    <w:p>
      <w:pPr>
        <w:pStyle w:val="FirstParagraph"/>
      </w:pPr>
      <w:r>
        <w:rPr>
          <w:b/>
          <w:bCs/>
        </w:rPr>
        <w:t xml:space="preserve">Problem.</w:t>
      </w:r>
      <w:r>
        <w:t xml:space="preserve"> </w:t>
      </w:r>
      <w:r>
        <w:t xml:space="preserve">Organizing folders only by current reporting lines causes policy instability during reorganizations.</w:t>
      </w:r>
    </w:p>
    <w:p>
      <w:pPr>
        <w:pStyle w:val="BodyText"/>
      </w:pPr>
      <w:r>
        <w:rPr>
          <w:b/>
          <w:bCs/>
        </w:rPr>
        <w:t xml:space="preserve">Alternatives.</w:t>
      </w:r>
      <w:r>
        <w:t xml:space="preserve"> </w:t>
      </w:r>
      <w:r>
        <w:t xml:space="preserve">Business-unit-first; environment-first; geography-first; hybrid governance-boundary hierarchy.</w:t>
      </w:r>
    </w:p>
    <w:p>
      <w:pPr>
        <w:pStyle w:val="BodyText"/>
      </w:pPr>
      <w:r>
        <w:rPr>
          <w:b/>
          <w:bCs/>
        </w:rPr>
        <w:t xml:space="preserve">Decision.</w:t>
      </w:r>
      <w:r>
        <w:t xml:space="preserve"> </w:t>
      </w:r>
      <w:r>
        <w:t xml:space="preserve">Use durable control boundaries: platform and shared services, production, non-production, sandbox and regulated geography overlays.</w:t>
      </w:r>
    </w:p>
    <w:p>
      <w:pPr>
        <w:pStyle w:val="BodyText"/>
      </w:pPr>
      <w:r>
        <w:rPr>
          <w:b/>
          <w:bCs/>
        </w:rPr>
        <w:t xml:space="preserve">Tradeoffs.</w:t>
      </w:r>
      <w:r>
        <w:t xml:space="preserve"> </w:t>
      </w:r>
      <w:r>
        <w:t xml:space="preserve">Some business reporting requires labels and inventory queries rather than folder ancestry.</w:t>
      </w:r>
    </w:p>
    <w:p>
      <w:pPr>
        <w:pStyle w:val="BodyText"/>
      </w:pPr>
      <w:r>
        <w:rPr>
          <w:b/>
          <w:bCs/>
        </w:rPr>
        <w:t xml:space="preserve">Risks.</w:t>
      </w:r>
      <w:r>
        <w:t xml:space="preserve"> </w:t>
      </w:r>
      <w:r>
        <w:t xml:space="preserve">Over-complex nesting could obscure inherited policy.</w:t>
      </w:r>
    </w:p>
    <w:p>
      <w:pPr>
        <w:pStyle w:val="BodyText"/>
      </w:pPr>
      <w:r>
        <w:rPr>
          <w:b/>
          <w:bCs/>
        </w:rPr>
        <w:t xml:space="preserve">Mitigations.</w:t>
      </w:r>
      <w:r>
        <w:t xml:space="preserve"> </w:t>
      </w:r>
      <w:r>
        <w:t xml:space="preserve">Limit depth, publish policy maps and test effective policy automatically.</w:t>
      </w:r>
    </w:p>
    <w:bookmarkEnd w:id="181"/>
    <w:bookmarkStart w:id="182" w:name="adr-lz-003-automated-project-factory"/>
    <w:p>
      <w:pPr>
        <w:pStyle w:val="Heading2"/>
        <w:keepNext/>
        <w:pageBreakBefore w:val="0"/>
      </w:pPr>
      <w:r>
        <w:t xml:space="preserve">ADR-LZ-003 — Automated project factory</w:t>
      </w:r>
    </w:p>
    <w:p>
      <w:pPr>
        <w:pStyle w:val="FirstParagraph"/>
      </w:pPr>
      <w:r>
        <w:rPr>
          <w:b/>
          <w:bCs/>
        </w:rPr>
        <w:t xml:space="preserve">Problem.</w:t>
      </w:r>
      <w:r>
        <w:t xml:space="preserve"> </w:t>
      </w:r>
      <w:r>
        <w:t xml:space="preserve">Manual project creation creates inconsistent controls and slow onboarding.</w:t>
      </w:r>
    </w:p>
    <w:p>
      <w:pPr>
        <w:pStyle w:val="BodyText"/>
      </w:pPr>
      <w:r>
        <w:rPr>
          <w:b/>
          <w:bCs/>
        </w:rPr>
        <w:t xml:space="preserve">Alternatives.</w:t>
      </w:r>
      <w:r>
        <w:t xml:space="preserve"> </w:t>
      </w:r>
      <w:r>
        <w:t xml:space="preserve">Manual console process; ticket-driven scripts; reusable Terraform project factory.</w:t>
      </w:r>
    </w:p>
    <w:p>
      <w:pPr>
        <w:pStyle w:val="BodyText"/>
      </w:pPr>
      <w:r>
        <w:rPr>
          <w:b/>
          <w:bCs/>
        </w:rPr>
        <w:t xml:space="preserve">Decision.</w:t>
      </w:r>
      <w:r>
        <w:t xml:space="preserve"> </w:t>
      </w:r>
      <w:r>
        <w:t xml:space="preserve">Use a Terraform-based factory triggered by a governed request and approval workflow.</w:t>
      </w:r>
    </w:p>
    <w:p>
      <w:pPr>
        <w:pStyle w:val="BodyText"/>
      </w:pPr>
      <w:r>
        <w:rPr>
          <w:b/>
          <w:bCs/>
        </w:rPr>
        <w:t xml:space="preserve">Tradeoffs.</w:t>
      </w:r>
      <w:r>
        <w:t xml:space="preserve"> </w:t>
      </w:r>
      <w:r>
        <w:t xml:space="preserve">Upfront engineering and integration are required.</w:t>
      </w:r>
    </w:p>
    <w:p>
      <w:pPr>
        <w:pStyle w:val="BodyText"/>
      </w:pPr>
      <w:r>
        <w:rPr>
          <w:b/>
          <w:bCs/>
        </w:rPr>
        <w:t xml:space="preserve">Risks.</w:t>
      </w:r>
      <w:r>
        <w:t xml:space="preserve"> </w:t>
      </w:r>
      <w:r>
        <w:t xml:space="preserve">A defective module can replicate errors broadly.</w:t>
      </w:r>
    </w:p>
    <w:p>
      <w:pPr>
        <w:pStyle w:val="BodyText"/>
      </w:pPr>
      <w:r>
        <w:rPr>
          <w:b/>
          <w:bCs/>
        </w:rPr>
        <w:t xml:space="preserve">Mitigations.</w:t>
      </w:r>
      <w:r>
        <w:t xml:space="preserve"> </w:t>
      </w:r>
      <w:r>
        <w:t xml:space="preserve">Versioned modules, test fixtures, staged releases, canaries and automated post-deployment verification.</w:t>
      </w:r>
    </w:p>
    <w:bookmarkEnd w:id="182"/>
    <w:bookmarkStart w:id="183" w:name="adr-lz-004-centralized-shared-vpc"/>
    <w:p>
      <w:pPr>
        <w:pStyle w:val="Heading2"/>
        <w:keepNext/>
        <w:pageBreakBefore w:val="0"/>
      </w:pPr>
      <w:r>
        <w:t xml:space="preserve">ADR-LZ-004 — Centralized Shared VPC</w:t>
      </w:r>
    </w:p>
    <w:p>
      <w:pPr>
        <w:pStyle w:val="FirstParagraph"/>
      </w:pPr>
      <w:r>
        <w:rPr>
          <w:b/>
          <w:bCs/>
        </w:rPr>
        <w:t xml:space="preserve">Problem.</w:t>
      </w:r>
      <w:r>
        <w:t xml:space="preserve"> </w:t>
      </w:r>
      <w:r>
        <w:t xml:space="preserve">Independent workload networks create inconsistent routing, DNS, firewall and hybrid connectivity.</w:t>
      </w:r>
    </w:p>
    <w:p>
      <w:pPr>
        <w:pStyle w:val="BodyText"/>
      </w:pPr>
      <w:r>
        <w:rPr>
          <w:b/>
          <w:bCs/>
        </w:rPr>
        <w:t xml:space="preserve">Alternatives.</w:t>
      </w:r>
      <w:r>
        <w:t xml:space="preserve"> </w:t>
      </w:r>
      <w:r>
        <w:t xml:space="preserve">Standalone VPC per project; VPC peering mesh; centralized Shared VPC by environment and geography.</w:t>
      </w:r>
    </w:p>
    <w:p>
      <w:pPr>
        <w:pStyle w:val="BodyText"/>
      </w:pPr>
      <w:r>
        <w:rPr>
          <w:b/>
          <w:bCs/>
        </w:rPr>
        <w:t xml:space="preserve">Decision.</w:t>
      </w:r>
      <w:r>
        <w:t xml:space="preserve"> </w:t>
      </w:r>
      <w:r>
        <w:t xml:space="preserve">Use centralized Shared VPC host projects with delegated subnet use.</w:t>
      </w:r>
    </w:p>
    <w:p>
      <w:pPr>
        <w:pStyle w:val="BodyText"/>
      </w:pPr>
      <w:r>
        <w:rPr>
          <w:b/>
          <w:bCs/>
        </w:rPr>
        <w:t xml:space="preserve">Tradeoffs.</w:t>
      </w:r>
      <w:r>
        <w:t xml:space="preserve"> </w:t>
      </w:r>
      <w:r>
        <w:t xml:space="preserve">Network changes require platform coordination and strong service interfaces.</w:t>
      </w:r>
    </w:p>
    <w:p>
      <w:pPr>
        <w:pStyle w:val="BodyText"/>
      </w:pPr>
      <w:r>
        <w:rPr>
          <w:b/>
          <w:bCs/>
        </w:rPr>
        <w:t xml:space="preserve">Risks.</w:t>
      </w:r>
      <w:r>
        <w:t xml:space="preserve"> </w:t>
      </w:r>
      <w:r>
        <w:t xml:space="preserve">Central network team becomes a bottleneck; misconfiguration has broad impact.</w:t>
      </w:r>
    </w:p>
    <w:p>
      <w:pPr>
        <w:pStyle w:val="BodyText"/>
      </w:pPr>
      <w:r>
        <w:rPr>
          <w:b/>
          <w:bCs/>
        </w:rPr>
        <w:t xml:space="preserve">Mitigations.</w:t>
      </w:r>
      <w:r>
        <w:t xml:space="preserve"> </w:t>
      </w:r>
      <w:r>
        <w:t xml:space="preserve">Self-service modules, policy automation, regional separation and tested change windows.</w:t>
      </w:r>
    </w:p>
    <w:bookmarkEnd w:id="183"/>
    <w:bookmarkStart w:id="184" w:name="Xa8fc166dcd728e97efc653a244a65d6ee5a3ca0"/>
    <w:p>
      <w:pPr>
        <w:pStyle w:val="Heading2"/>
        <w:keepNext/>
        <w:pageBreakBefore w:val="0"/>
      </w:pPr>
      <w:r>
        <w:t xml:space="preserve">ADR-LZ-005 — Regionalized network and data foundations</w:t>
      </w:r>
    </w:p>
    <w:p>
      <w:pPr>
        <w:pStyle w:val="FirstParagraph"/>
      </w:pPr>
      <w:r>
        <w:rPr>
          <w:b/>
          <w:bCs/>
        </w:rPr>
        <w:t xml:space="preserve">Problem.</w:t>
      </w:r>
      <w:r>
        <w:t xml:space="preserve"> </w:t>
      </w:r>
      <w:r>
        <w:t xml:space="preserve">A single global design may conflict with sovereignty and recovery requirements.</w:t>
      </w:r>
    </w:p>
    <w:p>
      <w:pPr>
        <w:pStyle w:val="BodyText"/>
      </w:pPr>
      <w:r>
        <w:rPr>
          <w:b/>
          <w:bCs/>
        </w:rPr>
        <w:t xml:space="preserve">Alternatives.</w:t>
      </w:r>
      <w:r>
        <w:t xml:space="preserve"> </w:t>
      </w:r>
      <w:r>
        <w:t xml:space="preserve">One global network; separate network per region; regional Shared VPCs grouped by geography.</w:t>
      </w:r>
    </w:p>
    <w:p>
      <w:pPr>
        <w:pStyle w:val="BodyText"/>
      </w:pPr>
      <w:r>
        <w:rPr>
          <w:b/>
          <w:bCs/>
        </w:rPr>
        <w:t xml:space="preserve">Decision.</w:t>
      </w:r>
      <w:r>
        <w:t xml:space="preserve"> </w:t>
      </w:r>
      <w:r>
        <w:t xml:space="preserve">Use regional subnets and geography-aligned host projects, with controlled global connectivity.</w:t>
      </w:r>
    </w:p>
    <w:p>
      <w:pPr>
        <w:pStyle w:val="BodyText"/>
      </w:pPr>
      <w:r>
        <w:rPr>
          <w:b/>
          <w:bCs/>
        </w:rPr>
        <w:t xml:space="preserve">Tradeoffs.</w:t>
      </w:r>
      <w:r>
        <w:t xml:space="preserve"> </w:t>
      </w:r>
      <w:r>
        <w:t xml:space="preserve">More network objects and operational coordination.</w:t>
      </w:r>
    </w:p>
    <w:p>
      <w:pPr>
        <w:pStyle w:val="BodyText"/>
      </w:pPr>
      <w:r>
        <w:rPr>
          <w:b/>
          <w:bCs/>
        </w:rPr>
        <w:t xml:space="preserve">Risks.</w:t>
      </w:r>
      <w:r>
        <w:t xml:space="preserve"> </w:t>
      </w:r>
      <w:r>
        <w:t xml:space="preserve">Configuration divergence between geographies.</w:t>
      </w:r>
    </w:p>
    <w:p>
      <w:pPr>
        <w:pStyle w:val="BodyText"/>
      </w:pPr>
      <w:r>
        <w:rPr>
          <w:b/>
          <w:bCs/>
        </w:rPr>
        <w:t xml:space="preserve">Mitigations.</w:t>
      </w:r>
      <w:r>
        <w:t xml:space="preserve"> </w:t>
      </w:r>
      <w:r>
        <w:t xml:space="preserve">Common modules, conformance tests and centrally governed exceptions.</w:t>
      </w:r>
    </w:p>
    <w:bookmarkEnd w:id="184"/>
    <w:bookmarkStart w:id="185" w:name="adr-lz-006-private-access-by-default"/>
    <w:p>
      <w:pPr>
        <w:pStyle w:val="Heading2"/>
        <w:keepNext/>
        <w:pageBreakBefore w:val="0"/>
      </w:pPr>
      <w:r>
        <w:t xml:space="preserve">ADR-LZ-006 — Private access by default</w:t>
      </w:r>
    </w:p>
    <w:p>
      <w:pPr>
        <w:pStyle w:val="FirstParagraph"/>
      </w:pPr>
      <w:r>
        <w:rPr>
          <w:b/>
          <w:bCs/>
        </w:rPr>
        <w:t xml:space="preserve">Problem.</w:t>
      </w:r>
      <w:r>
        <w:t xml:space="preserve"> </w:t>
      </w:r>
      <w:r>
        <w:t xml:space="preserve">Public IPs and direct internet paths increase attack surface and exfiltration risk.</w:t>
      </w:r>
    </w:p>
    <w:p>
      <w:pPr>
        <w:pStyle w:val="BodyText"/>
      </w:pPr>
      <w:r>
        <w:rPr>
          <w:b/>
          <w:bCs/>
        </w:rPr>
        <w:t xml:space="preserve">Alternatives.</w:t>
      </w:r>
      <w:r>
        <w:t xml:space="preserve"> </w:t>
      </w:r>
      <w:r>
        <w:t xml:space="preserve">Public endpoints with firewall controls; private access for selected systems; private-first landing zone.</w:t>
      </w:r>
    </w:p>
    <w:p>
      <w:pPr>
        <w:pStyle w:val="BodyText"/>
      </w:pPr>
      <w:r>
        <w:rPr>
          <w:b/>
          <w:bCs/>
        </w:rPr>
        <w:t xml:space="preserve">Decision.</w:t>
      </w:r>
      <w:r>
        <w:t xml:space="preserve"> </w:t>
      </w:r>
      <w:r>
        <w:t xml:space="preserve">Use private workload addresses, Private Google Access, PSC and controlled egress by default.</w:t>
      </w:r>
    </w:p>
    <w:p>
      <w:pPr>
        <w:pStyle w:val="BodyText"/>
      </w:pPr>
      <w:r>
        <w:rPr>
          <w:b/>
          <w:bCs/>
        </w:rPr>
        <w:t xml:space="preserve">Tradeoffs.</w:t>
      </w:r>
      <w:r>
        <w:t xml:space="preserve"> </w:t>
      </w:r>
      <w:r>
        <w:t xml:space="preserve">Some SaaS and legacy integrations require additional proxies or exceptions.</w:t>
      </w:r>
    </w:p>
    <w:p>
      <w:pPr>
        <w:pStyle w:val="BodyText"/>
      </w:pPr>
      <w:r>
        <w:rPr>
          <w:b/>
          <w:bCs/>
        </w:rPr>
        <w:t xml:space="preserve">Risks.</w:t>
      </w:r>
      <w:r>
        <w:t xml:space="preserve"> </w:t>
      </w:r>
      <w:r>
        <w:t xml:space="preserve">Hidden service dependencies can fail during enforcement.</w:t>
      </w:r>
    </w:p>
    <w:p>
      <w:pPr>
        <w:pStyle w:val="BodyText"/>
      </w:pPr>
      <w:r>
        <w:rPr>
          <w:b/>
          <w:bCs/>
        </w:rPr>
        <w:t xml:space="preserve">Mitigations.</w:t>
      </w:r>
      <w:r>
        <w:t xml:space="preserve"> </w:t>
      </w:r>
      <w:r>
        <w:t xml:space="preserve">Dependency discovery, staged rollout, service-specific testing and approved exception patterns.</w:t>
      </w:r>
    </w:p>
    <w:bookmarkEnd w:id="185"/>
    <w:bookmarkStart w:id="186" w:name="Xa447652d55707a7c7e85f50e56121290505880e"/>
    <w:p>
      <w:pPr>
        <w:pStyle w:val="Heading2"/>
        <w:keepNext/>
        <w:pageBreakBefore w:val="0"/>
      </w:pPr>
      <w:r>
        <w:t xml:space="preserve">ADR-LZ-007 — Interconnect primary, HA VPN complementary</w:t>
      </w:r>
    </w:p>
    <w:p>
      <w:pPr>
        <w:pStyle w:val="FirstParagraph"/>
      </w:pPr>
      <w:r>
        <w:rPr>
          <w:b/>
          <w:bCs/>
        </w:rPr>
        <w:t xml:space="preserve">Problem.</w:t>
      </w:r>
      <w:r>
        <w:t xml:space="preserve"> </w:t>
      </w:r>
      <w:r>
        <w:t xml:space="preserve">Fortune 100 data movement requires predictable capacity and resilient connectivity.</w:t>
      </w:r>
    </w:p>
    <w:p>
      <w:pPr>
        <w:pStyle w:val="BodyText"/>
      </w:pPr>
      <w:r>
        <w:rPr>
          <w:b/>
          <w:bCs/>
        </w:rPr>
        <w:t xml:space="preserve">Alternatives.</w:t>
      </w:r>
      <w:r>
        <w:t xml:space="preserve"> </w:t>
      </w:r>
      <w:r>
        <w:t xml:space="preserve">Internet only; HA VPN only; Interconnect only; Interconnect with HA VPN backup.</w:t>
      </w:r>
    </w:p>
    <w:p>
      <w:pPr>
        <w:pStyle w:val="BodyText"/>
      </w:pPr>
      <w:r>
        <w:rPr>
          <w:b/>
          <w:bCs/>
        </w:rPr>
        <w:t xml:space="preserve">Decision.</w:t>
      </w:r>
      <w:r>
        <w:t xml:space="preserve"> </w:t>
      </w:r>
      <w:r>
        <w:t xml:space="preserve">Use redundant Dedicated or Partner Interconnect for strategic sites and HA VPN for backup, branches and rapid onboarding.</w:t>
      </w:r>
    </w:p>
    <w:p>
      <w:pPr>
        <w:pStyle w:val="BodyText"/>
      </w:pPr>
      <w:r>
        <w:rPr>
          <w:b/>
          <w:bCs/>
        </w:rPr>
        <w:t xml:space="preserve">Tradeoffs.</w:t>
      </w:r>
      <w:r>
        <w:t xml:space="preserve"> </w:t>
      </w:r>
      <w:r>
        <w:t xml:space="preserve">Higher cost and operational complexity than internet connectivity.</w:t>
      </w:r>
    </w:p>
    <w:p>
      <w:pPr>
        <w:pStyle w:val="BodyText"/>
      </w:pPr>
      <w:r>
        <w:rPr>
          <w:b/>
          <w:bCs/>
        </w:rPr>
        <w:t xml:space="preserve">Risks.</w:t>
      </w:r>
      <w:r>
        <w:t xml:space="preserve"> </w:t>
      </w:r>
      <w:r>
        <w:t xml:space="preserve">Carrier or colocation dependencies and asymmetric routing.</w:t>
      </w:r>
    </w:p>
    <w:p>
      <w:pPr>
        <w:pStyle w:val="BodyText"/>
      </w:pPr>
      <w:r>
        <w:rPr>
          <w:b/>
          <w:bCs/>
        </w:rPr>
        <w:t xml:space="preserve">Mitigations.</w:t>
      </w:r>
      <w:r>
        <w:t xml:space="preserve"> </w:t>
      </w:r>
      <w:r>
        <w:t xml:space="preserve">Diverse paths, devices, providers, route policy and recurring failover tests.</w:t>
      </w:r>
    </w:p>
    <w:bookmarkEnd w:id="186"/>
    <w:bookmarkStart w:id="187" w:name="Xb37eaeba9a906b8b15c6be65b074fd3d11644b9"/>
    <w:p>
      <w:pPr>
        <w:pStyle w:val="Heading2"/>
        <w:keepNext/>
        <w:pageBreakBefore w:val="0"/>
      </w:pPr>
      <w:r>
        <w:t xml:space="preserve">ADR-LZ-008 — Workforce and workload federation</w:t>
      </w:r>
    </w:p>
    <w:p>
      <w:pPr>
        <w:pStyle w:val="FirstParagraph"/>
      </w:pPr>
      <w:r>
        <w:rPr>
          <w:b/>
          <w:bCs/>
        </w:rPr>
        <w:t xml:space="preserve">Problem.</w:t>
      </w:r>
      <w:r>
        <w:t xml:space="preserve"> </w:t>
      </w:r>
      <w:r>
        <w:t xml:space="preserve">Long-lived Google credentials and service-account keys increase theft and lifecycle risk.</w:t>
      </w:r>
    </w:p>
    <w:p>
      <w:pPr>
        <w:pStyle w:val="BodyText"/>
      </w:pPr>
      <w:r>
        <w:rPr>
          <w:b/>
          <w:bCs/>
        </w:rPr>
        <w:t xml:space="preserve">Alternatives.</w:t>
      </w:r>
      <w:r>
        <w:t xml:space="preserve"> </w:t>
      </w:r>
      <w:r>
        <w:t xml:space="preserve">Local Google accounts and keys; directory synchronization only; workforce/workload federation.</w:t>
      </w:r>
    </w:p>
    <w:p>
      <w:pPr>
        <w:pStyle w:val="BodyText"/>
      </w:pPr>
      <w:r>
        <w:rPr>
          <w:b/>
          <w:bCs/>
        </w:rPr>
        <w:t xml:space="preserve">Decision.</w:t>
      </w:r>
      <w:r>
        <w:t xml:space="preserve"> </w:t>
      </w:r>
      <w:r>
        <w:t xml:space="preserve">Federate workforce and external workload identities, using short-lived credentials.</w:t>
      </w:r>
    </w:p>
    <w:p>
      <w:pPr>
        <w:pStyle w:val="BodyText"/>
      </w:pPr>
      <w:r>
        <w:rPr>
          <w:b/>
          <w:bCs/>
        </w:rPr>
        <w:t xml:space="preserve">Tradeoffs.</w:t>
      </w:r>
      <w:r>
        <w:t xml:space="preserve"> </w:t>
      </w:r>
      <w:r>
        <w:t xml:space="preserve">Dependency on external identity providers and token configuration.</w:t>
      </w:r>
    </w:p>
    <w:p>
      <w:pPr>
        <w:pStyle w:val="BodyText"/>
      </w:pPr>
      <w:r>
        <w:rPr>
          <w:b/>
          <w:bCs/>
        </w:rPr>
        <w:t xml:space="preserve">Risks.</w:t>
      </w:r>
      <w:r>
        <w:t xml:space="preserve"> </w:t>
      </w:r>
      <w:r>
        <w:t xml:space="preserve">IdP outage or incorrect claim mapping blocks access or broadens trust.</w:t>
      </w:r>
    </w:p>
    <w:p>
      <w:pPr>
        <w:pStyle w:val="BodyText"/>
      </w:pPr>
      <w:r>
        <w:rPr>
          <w:b/>
          <w:bCs/>
        </w:rPr>
        <w:t xml:space="preserve">Mitigations.</w:t>
      </w:r>
      <w:r>
        <w:t xml:space="preserve"> </w:t>
      </w:r>
      <w:r>
        <w:t xml:space="preserve">Redundant IdP design, claim tests, break glass and conservative attribute conditions.</w:t>
      </w:r>
    </w:p>
    <w:bookmarkEnd w:id="187"/>
    <w:bookmarkStart w:id="188" w:name="adr-lz-009-time-bound-privileged-access"/>
    <w:p>
      <w:pPr>
        <w:pStyle w:val="Heading2"/>
        <w:keepNext/>
        <w:pageBreakBefore w:val="0"/>
      </w:pPr>
      <w:r>
        <w:t xml:space="preserve">ADR-LZ-009 — Time-bound privileged access</w:t>
      </w:r>
    </w:p>
    <w:p>
      <w:pPr>
        <w:pStyle w:val="FirstParagraph"/>
      </w:pPr>
      <w:r>
        <w:rPr>
          <w:b/>
          <w:bCs/>
        </w:rPr>
        <w:t xml:space="preserve">Problem.</w:t>
      </w:r>
      <w:r>
        <w:t xml:space="preserve"> </w:t>
      </w:r>
      <w:r>
        <w:t xml:space="preserve">Permanent high privilege increases abuse and compromise impact.</w:t>
      </w:r>
    </w:p>
    <w:p>
      <w:pPr>
        <w:pStyle w:val="BodyText"/>
      </w:pPr>
      <w:r>
        <w:rPr>
          <w:b/>
          <w:bCs/>
        </w:rPr>
        <w:t xml:space="preserve">Alternatives.</w:t>
      </w:r>
      <w:r>
        <w:t xml:space="preserve"> </w:t>
      </w:r>
      <w:r>
        <w:t xml:space="preserve">Standing admin groups; manual temporary grants; Privileged Access Manager entitlements.</w:t>
      </w:r>
    </w:p>
    <w:p>
      <w:pPr>
        <w:pStyle w:val="BodyText"/>
      </w:pPr>
      <w:r>
        <w:rPr>
          <w:b/>
          <w:bCs/>
        </w:rPr>
        <w:t xml:space="preserve">Decision.</w:t>
      </w:r>
      <w:r>
        <w:t xml:space="preserve"> </w:t>
      </w:r>
      <w:r>
        <w:t xml:space="preserve">Use time-bound, approved elevation for routine privileged activity and minimal standing emergency access.</w:t>
      </w:r>
    </w:p>
    <w:p>
      <w:pPr>
        <w:pStyle w:val="BodyText"/>
      </w:pPr>
      <w:r>
        <w:rPr>
          <w:b/>
          <w:bCs/>
        </w:rPr>
        <w:t xml:space="preserve">Tradeoffs.</w:t>
      </w:r>
      <w:r>
        <w:t xml:space="preserve"> </w:t>
      </w:r>
      <w:r>
        <w:t xml:space="preserve">Approval introduces lead time for administrative work.</w:t>
      </w:r>
    </w:p>
    <w:p>
      <w:pPr>
        <w:pStyle w:val="BodyText"/>
      </w:pPr>
      <w:r>
        <w:rPr>
          <w:b/>
          <w:bCs/>
        </w:rPr>
        <w:t xml:space="preserve">Risks.</w:t>
      </w:r>
      <w:r>
        <w:t xml:space="preserve"> </w:t>
      </w:r>
      <w:r>
        <w:t xml:space="preserve">Emergency response may be delayed.</w:t>
      </w:r>
    </w:p>
    <w:p>
      <w:pPr>
        <w:pStyle w:val="BodyText"/>
      </w:pPr>
      <w:r>
        <w:rPr>
          <w:b/>
          <w:bCs/>
        </w:rPr>
        <w:t xml:space="preserve">Mitigations.</w:t>
      </w:r>
      <w:r>
        <w:t xml:space="preserve"> </w:t>
      </w:r>
      <w:r>
        <w:t xml:space="preserve">Predefined emergency entitlements, 24x7 approvers and break-glass procedure.</w:t>
      </w:r>
    </w:p>
    <w:bookmarkEnd w:id="188"/>
    <w:bookmarkStart w:id="189" w:name="X4258e4d78f7249786093a5fb3bb8ed17abf30c1"/>
    <w:p>
      <w:pPr>
        <w:pStyle w:val="Heading2"/>
        <w:keepNext/>
        <w:pageBreakBefore w:val="0"/>
      </w:pPr>
      <w:r>
        <w:t xml:space="preserve">ADR-LZ-010 — Organization-policy guardrails</w:t>
      </w:r>
    </w:p>
    <w:p>
      <w:pPr>
        <w:pStyle w:val="FirstParagraph"/>
      </w:pPr>
      <w:r>
        <w:rPr>
          <w:b/>
          <w:bCs/>
        </w:rPr>
        <w:t xml:space="preserve">Problem.</w:t>
      </w:r>
      <w:r>
        <w:t xml:space="preserve"> </w:t>
      </w:r>
      <w:r>
        <w:t xml:space="preserve">Detective controls alone allow high-risk configurations to be deployed.</w:t>
      </w:r>
    </w:p>
    <w:p>
      <w:pPr>
        <w:pStyle w:val="BodyText"/>
      </w:pPr>
      <w:r>
        <w:rPr>
          <w:b/>
          <w:bCs/>
        </w:rPr>
        <w:t xml:space="preserve">Alternatives.</w:t>
      </w:r>
      <w:r>
        <w:t xml:space="preserve"> </w:t>
      </w:r>
      <w:r>
        <w:t xml:space="preserve">Documentation only; post-deployment scanning; preventive organization policies plus detection.</w:t>
      </w:r>
    </w:p>
    <w:p>
      <w:pPr>
        <w:pStyle w:val="BodyText"/>
      </w:pPr>
      <w:r>
        <w:rPr>
          <w:b/>
          <w:bCs/>
        </w:rPr>
        <w:t xml:space="preserve">Decision.</w:t>
      </w:r>
      <w:r>
        <w:t xml:space="preserve"> </w:t>
      </w:r>
      <w:r>
        <w:t xml:space="preserve">Enforce a tested baseline of preventive constraints with governed exceptions.</w:t>
      </w:r>
    </w:p>
    <w:p>
      <w:pPr>
        <w:pStyle w:val="BodyText"/>
      </w:pPr>
      <w:r>
        <w:rPr>
          <w:b/>
          <w:bCs/>
        </w:rPr>
        <w:t xml:space="preserve">Tradeoffs.</w:t>
      </w:r>
      <w:r>
        <w:t xml:space="preserve"> </w:t>
      </w:r>
      <w:r>
        <w:t xml:space="preserve">Some services or migrations require temporary exceptions.</w:t>
      </w:r>
    </w:p>
    <w:p>
      <w:pPr>
        <w:pStyle w:val="BodyText"/>
      </w:pPr>
      <w:r>
        <w:rPr>
          <w:b/>
          <w:bCs/>
        </w:rPr>
        <w:t xml:space="preserve">Risks.</w:t>
      </w:r>
      <w:r>
        <w:t xml:space="preserve"> </w:t>
      </w:r>
      <w:r>
        <w:t xml:space="preserve">Policy rollout can break production dependencies.</w:t>
      </w:r>
    </w:p>
    <w:p>
      <w:pPr>
        <w:pStyle w:val="BodyText"/>
      </w:pPr>
      <w:r>
        <w:rPr>
          <w:b/>
          <w:bCs/>
        </w:rPr>
        <w:t xml:space="preserve">Mitigations.</w:t>
      </w:r>
      <w:r>
        <w:t xml:space="preserve"> </w:t>
      </w:r>
      <w:r>
        <w:t xml:space="preserve">Inventory, policy simulation where supported, staged folders, canary projects and rollback.</w:t>
      </w:r>
    </w:p>
    <w:bookmarkEnd w:id="189"/>
    <w:bookmarkStart w:id="190" w:name="Xd38fd1f261a87bcda1f3e7639901c339ec92ea6"/>
    <w:p>
      <w:pPr>
        <w:pStyle w:val="Heading2"/>
        <w:keepNext/>
        <w:pageBreakBefore w:val="0"/>
      </w:pPr>
      <w:r>
        <w:t xml:space="preserve">ADR-LZ-011 — VPC Service Controls for sensitive managed services</w:t>
      </w:r>
    </w:p>
    <w:p>
      <w:pPr>
        <w:pStyle w:val="FirstParagraph"/>
      </w:pPr>
      <w:r>
        <w:rPr>
          <w:b/>
          <w:bCs/>
        </w:rPr>
        <w:t xml:space="preserve">Problem.</w:t>
      </w:r>
      <w:r>
        <w:t xml:space="preserve"> </w:t>
      </w:r>
      <w:r>
        <w:t xml:space="preserve">IAM compromise or misconfiguration can enable data movement to unauthorized resources.</w:t>
      </w:r>
    </w:p>
    <w:p>
      <w:pPr>
        <w:pStyle w:val="BodyText"/>
      </w:pPr>
      <w:r>
        <w:rPr>
          <w:b/>
          <w:bCs/>
        </w:rPr>
        <w:t xml:space="preserve">Alternatives.</w:t>
      </w:r>
      <w:r>
        <w:t xml:space="preserve"> </w:t>
      </w:r>
      <w:r>
        <w:t xml:space="preserve">IAM only; network controls only; VPC SC around selected protected services.</w:t>
      </w:r>
    </w:p>
    <w:p>
      <w:pPr>
        <w:pStyle w:val="BodyText"/>
      </w:pPr>
      <w:r>
        <w:rPr>
          <w:b/>
          <w:bCs/>
        </w:rPr>
        <w:t xml:space="preserve">Decision.</w:t>
      </w:r>
      <w:r>
        <w:t xml:space="preserve"> </w:t>
      </w:r>
      <w:r>
        <w:t xml:space="preserve">Use VPC SC for restricted and high-value data projects with explicit ingress/egress rules.</w:t>
      </w:r>
    </w:p>
    <w:p>
      <w:pPr>
        <w:pStyle w:val="BodyText"/>
      </w:pPr>
      <w:r>
        <w:rPr>
          <w:b/>
          <w:bCs/>
        </w:rPr>
        <w:t xml:space="preserve">Tradeoffs.</w:t>
      </w:r>
      <w:r>
        <w:t xml:space="preserve"> </w:t>
      </w:r>
      <w:r>
        <w:t xml:space="preserve">Integration complexity and service compatibility constraints.</w:t>
      </w:r>
    </w:p>
    <w:p>
      <w:pPr>
        <w:pStyle w:val="BodyText"/>
      </w:pPr>
      <w:r>
        <w:rPr>
          <w:b/>
          <w:bCs/>
        </w:rPr>
        <w:t xml:space="preserve">Risks.</w:t>
      </w:r>
      <w:r>
        <w:t xml:space="preserve"> </w:t>
      </w:r>
      <w:r>
        <w:t xml:space="preserve">Broken user, CI/CD or managed-service workflows.</w:t>
      </w:r>
    </w:p>
    <w:p>
      <w:pPr>
        <w:pStyle w:val="BodyText"/>
      </w:pPr>
      <w:r>
        <w:rPr>
          <w:b/>
          <w:bCs/>
        </w:rPr>
        <w:t xml:space="preserve">Mitigations.</w:t>
      </w:r>
      <w:r>
        <w:t xml:space="preserve"> </w:t>
      </w:r>
      <w:r>
        <w:t xml:space="preserve">Dry-run mode, flow inventory, automated tests and centrally governed policy changes.</w:t>
      </w:r>
    </w:p>
    <w:bookmarkEnd w:id="190"/>
    <w:bookmarkStart w:id="191" w:name="adr-lz-012-selective-cmek-and-hsm"/>
    <w:p>
      <w:pPr>
        <w:pStyle w:val="Heading2"/>
        <w:keepNext/>
        <w:pageBreakBefore w:val="0"/>
      </w:pPr>
      <w:r>
        <w:t xml:space="preserve">ADR-LZ-012 — Selective CMEK and HSM</w:t>
      </w:r>
    </w:p>
    <w:p>
      <w:pPr>
        <w:pStyle w:val="FirstParagraph"/>
      </w:pPr>
      <w:r>
        <w:rPr>
          <w:b/>
          <w:bCs/>
        </w:rPr>
        <w:t xml:space="preserve">Problem.</w:t>
      </w:r>
      <w:r>
        <w:t xml:space="preserve"> </w:t>
      </w:r>
      <w:r>
        <w:t xml:space="preserve">Some workloads require customer-controlled or hardware-backed encryption keys.</w:t>
      </w:r>
    </w:p>
    <w:p>
      <w:pPr>
        <w:pStyle w:val="BodyText"/>
      </w:pPr>
      <w:r>
        <w:rPr>
          <w:b/>
          <w:bCs/>
        </w:rPr>
        <w:t xml:space="preserve">Alternatives.</w:t>
      </w:r>
      <w:r>
        <w:t xml:space="preserve"> </w:t>
      </w:r>
      <w:r>
        <w:t xml:space="preserve">Google-managed keys for all; CMEK for all; risk-based CMEK and HSM.</w:t>
      </w:r>
    </w:p>
    <w:p>
      <w:pPr>
        <w:pStyle w:val="BodyText"/>
      </w:pPr>
      <w:r>
        <w:rPr>
          <w:b/>
          <w:bCs/>
        </w:rPr>
        <w:t xml:space="preserve">Decision.</w:t>
      </w:r>
      <w:r>
        <w:t xml:space="preserve"> </w:t>
      </w:r>
      <w:r>
        <w:t xml:space="preserve">Apply CMEK and HSM based on classification, regulation and contractual need.</w:t>
      </w:r>
    </w:p>
    <w:p>
      <w:pPr>
        <w:pStyle w:val="BodyText"/>
      </w:pPr>
      <w:r>
        <w:rPr>
          <w:b/>
          <w:bCs/>
        </w:rPr>
        <w:t xml:space="preserve">Tradeoffs.</w:t>
      </w:r>
      <w:r>
        <w:t xml:space="preserve"> </w:t>
      </w:r>
      <w:r>
        <w:t xml:space="preserve">Key lifecycle and availability become customer responsibilities.</w:t>
      </w:r>
    </w:p>
    <w:p>
      <w:pPr>
        <w:pStyle w:val="BodyText"/>
      </w:pPr>
      <w:r>
        <w:rPr>
          <w:b/>
          <w:bCs/>
        </w:rPr>
        <w:t xml:space="preserve">Risks.</w:t>
      </w:r>
      <w:r>
        <w:t xml:space="preserve"> </w:t>
      </w:r>
      <w:r>
        <w:t xml:space="preserve">Disabled, destroyed or inaccessible keys cause data unavailability.</w:t>
      </w:r>
    </w:p>
    <w:p>
      <w:pPr>
        <w:pStyle w:val="BodyText"/>
      </w:pPr>
      <w:r>
        <w:rPr>
          <w:b/>
          <w:bCs/>
        </w:rPr>
        <w:t xml:space="preserve">Mitigations.</w:t>
      </w:r>
      <w:r>
        <w:t xml:space="preserve"> </w:t>
      </w:r>
      <w:r>
        <w:t xml:space="preserve">Separation of duties, rotation tests, protected key projects, monitoring and recovery procedures.</w:t>
      </w:r>
    </w:p>
    <w:bookmarkEnd w:id="191"/>
    <w:bookmarkStart w:id="192" w:name="X07ab613762e310e44ff1bf12505d69e5b979f00"/>
    <w:p>
      <w:pPr>
        <w:pStyle w:val="Heading2"/>
        <w:keepNext/>
        <w:pageBreakBefore w:val="0"/>
      </w:pPr>
      <w:r>
        <w:t xml:space="preserve">ADR-LZ-013 — Centralized log routing with delegated views</w:t>
      </w:r>
    </w:p>
    <w:p>
      <w:pPr>
        <w:pStyle w:val="FirstParagraph"/>
      </w:pPr>
      <w:r>
        <w:rPr>
          <w:b/>
          <w:bCs/>
        </w:rPr>
        <w:t xml:space="preserve">Problem.</w:t>
      </w:r>
      <w:r>
        <w:t xml:space="preserve"> </w:t>
      </w:r>
      <w:r>
        <w:t xml:space="preserve">Project-local logs can be altered, inconsistently retained or inaccessible during incidents.</w:t>
      </w:r>
    </w:p>
    <w:p>
      <w:pPr>
        <w:pStyle w:val="BodyText"/>
      </w:pPr>
      <w:r>
        <w:rPr>
          <w:b/>
          <w:bCs/>
        </w:rPr>
        <w:t xml:space="preserve">Alternatives.</w:t>
      </w:r>
      <w:r>
        <w:t xml:space="preserve"> </w:t>
      </w:r>
      <w:r>
        <w:t xml:space="preserve">Local logging only; copy all logs to one project; aggregated sinks with protected buckets and views.</w:t>
      </w:r>
    </w:p>
    <w:p>
      <w:pPr>
        <w:pStyle w:val="BodyText"/>
      </w:pPr>
      <w:r>
        <w:rPr>
          <w:b/>
          <w:bCs/>
        </w:rPr>
        <w:t xml:space="preserve">Decision.</w:t>
      </w:r>
      <w:r>
        <w:t xml:space="preserve"> </w:t>
      </w:r>
      <w:r>
        <w:t xml:space="preserve">Use organization/folder aggregated sinks, protected buckets and delegated log views/scopes.</w:t>
      </w:r>
    </w:p>
    <w:p>
      <w:pPr>
        <w:pStyle w:val="BodyText"/>
      </w:pPr>
      <w:r>
        <w:rPr>
          <w:b/>
          <w:bCs/>
        </w:rPr>
        <w:t xml:space="preserve">Tradeoffs.</w:t>
      </w:r>
      <w:r>
        <w:t xml:space="preserve"> </w:t>
      </w:r>
      <w:r>
        <w:t xml:space="preserve">Central storage and query costs require active management.</w:t>
      </w:r>
    </w:p>
    <w:p>
      <w:pPr>
        <w:pStyle w:val="BodyText"/>
      </w:pPr>
      <w:r>
        <w:rPr>
          <w:b/>
          <w:bCs/>
        </w:rPr>
        <w:t xml:space="preserve">Risks.</w:t>
      </w:r>
      <w:r>
        <w:t xml:space="preserve"> </w:t>
      </w:r>
      <w:r>
        <w:t xml:space="preserve">Excessive central access or routing gaps.</w:t>
      </w:r>
    </w:p>
    <w:p>
      <w:pPr>
        <w:pStyle w:val="BodyText"/>
      </w:pPr>
      <w:r>
        <w:rPr>
          <w:b/>
          <w:bCs/>
        </w:rPr>
        <w:t xml:space="preserve">Mitigations.</w:t>
      </w:r>
      <w:r>
        <w:t xml:space="preserve"> </w:t>
      </w:r>
      <w:r>
        <w:t xml:space="preserve">Least-privilege views, coverage monitoring, retention tiers and controlled exclusions.</w:t>
      </w:r>
    </w:p>
    <w:bookmarkEnd w:id="192"/>
    <w:bookmarkStart w:id="193" w:name="X3555e95a011d3875aee92b2896e666bff23ac06"/>
    <w:p>
      <w:pPr>
        <w:pStyle w:val="Heading2"/>
        <w:keepNext/>
        <w:pageBreakBefore w:val="0"/>
      </w:pPr>
      <w:r>
        <w:t xml:space="preserve">ADR-LZ-014 — Security Command Center as cloud posture hub</w:t>
      </w:r>
    </w:p>
    <w:p>
      <w:pPr>
        <w:pStyle w:val="FirstParagraph"/>
      </w:pPr>
      <w:r>
        <w:rPr>
          <w:b/>
          <w:bCs/>
        </w:rPr>
        <w:t xml:space="preserve">Problem.</w:t>
      </w:r>
      <w:r>
        <w:t xml:space="preserve"> </w:t>
      </w:r>
      <w:r>
        <w:t xml:space="preserve">Findings from assets, vulnerabilities and threats need centralized ownership and response.</w:t>
      </w:r>
    </w:p>
    <w:p>
      <w:pPr>
        <w:pStyle w:val="BodyText"/>
      </w:pPr>
      <w:r>
        <w:rPr>
          <w:b/>
          <w:bCs/>
        </w:rPr>
        <w:t xml:space="preserve">Alternatives.</w:t>
      </w:r>
      <w:r>
        <w:t xml:space="preserve"> </w:t>
      </w:r>
      <w:r>
        <w:t xml:space="preserve">Independent service alerts; third-party CSPM only; SCC integrated with enterprise SIEM/SOAR.</w:t>
      </w:r>
    </w:p>
    <w:p>
      <w:pPr>
        <w:pStyle w:val="BodyText"/>
      </w:pPr>
      <w:r>
        <w:rPr>
          <w:b/>
          <w:bCs/>
        </w:rPr>
        <w:t xml:space="preserve">Decision.</w:t>
      </w:r>
      <w:r>
        <w:t xml:space="preserve"> </w:t>
      </w:r>
      <w:r>
        <w:t xml:space="preserve">Use SCC as the Google Cloud posture and finding hub, integrated with enterprise operations.</w:t>
      </w:r>
    </w:p>
    <w:p>
      <w:pPr>
        <w:pStyle w:val="BodyText"/>
      </w:pPr>
      <w:r>
        <w:rPr>
          <w:b/>
          <w:bCs/>
        </w:rPr>
        <w:t xml:space="preserve">Tradeoffs.</w:t>
      </w:r>
      <w:r>
        <w:t xml:space="preserve"> </w:t>
      </w:r>
      <w:r>
        <w:t xml:space="preserve">Requires tuning, ownership mapping and possible premium-service cost.</w:t>
      </w:r>
    </w:p>
    <w:p>
      <w:pPr>
        <w:pStyle w:val="BodyText"/>
      </w:pPr>
      <w:r>
        <w:rPr>
          <w:b/>
          <w:bCs/>
        </w:rPr>
        <w:t xml:space="preserve">Risks.</w:t>
      </w:r>
      <w:r>
        <w:t xml:space="preserve"> </w:t>
      </w:r>
      <w:r>
        <w:t xml:space="preserve">Alert fatigue and unresolved findings.</w:t>
      </w:r>
    </w:p>
    <w:p>
      <w:pPr>
        <w:pStyle w:val="BodyText"/>
      </w:pPr>
      <w:r>
        <w:rPr>
          <w:b/>
          <w:bCs/>
        </w:rPr>
        <w:t xml:space="preserve">Mitigations.</w:t>
      </w:r>
      <w:r>
        <w:t xml:space="preserve"> </w:t>
      </w:r>
      <w:r>
        <w:t xml:space="preserve">Severity policy, suppression governance, automated enrichment and remediation SLOs.</w:t>
      </w:r>
    </w:p>
    <w:bookmarkEnd w:id="193"/>
    <w:bookmarkStart w:id="194" w:name="Xf522c891cf860cb7a55b724afff780ca21676aa"/>
    <w:p>
      <w:pPr>
        <w:pStyle w:val="Heading2"/>
        <w:keepNext/>
        <w:pageBreakBefore w:val="0"/>
      </w:pPr>
      <w:r>
        <w:t xml:space="preserve">ADR-LZ-015 — Terraform as configuration authority</w:t>
      </w:r>
    </w:p>
    <w:p>
      <w:pPr>
        <w:pStyle w:val="FirstParagraph"/>
      </w:pPr>
      <w:r>
        <w:rPr>
          <w:b/>
          <w:bCs/>
        </w:rPr>
        <w:t xml:space="preserve">Problem.</w:t>
      </w:r>
      <w:r>
        <w:t xml:space="preserve"> </w:t>
      </w:r>
      <w:r>
        <w:t xml:space="preserve">Manual changes create drift, weak auditability and inconsistent recovery.</w:t>
      </w:r>
    </w:p>
    <w:p>
      <w:pPr>
        <w:pStyle w:val="BodyText"/>
      </w:pPr>
      <w:r>
        <w:rPr>
          <w:b/>
          <w:bCs/>
        </w:rPr>
        <w:t xml:space="preserve">Alternatives.</w:t>
      </w:r>
      <w:r>
        <w:t xml:space="preserve"> </w:t>
      </w:r>
      <w:r>
        <w:t xml:space="preserve">Console-first; scripts; declarative Terraform with controlled pipelines.</w:t>
      </w:r>
    </w:p>
    <w:p>
      <w:pPr>
        <w:pStyle w:val="BodyText"/>
      </w:pPr>
      <w:r>
        <w:rPr>
          <w:b/>
          <w:bCs/>
        </w:rPr>
        <w:t xml:space="preserve">Decision.</w:t>
      </w:r>
      <w:r>
        <w:t xml:space="preserve"> </w:t>
      </w:r>
      <w:r>
        <w:t xml:space="preserve">Manage landing-zone resources through versioned Terraform and policy-as-code.</w:t>
      </w:r>
    </w:p>
    <w:p>
      <w:pPr>
        <w:pStyle w:val="BodyText"/>
      </w:pPr>
      <w:r>
        <w:rPr>
          <w:b/>
          <w:bCs/>
        </w:rPr>
        <w:t xml:space="preserve">Tradeoffs.</w:t>
      </w:r>
      <w:r>
        <w:t xml:space="preserve"> </w:t>
      </w:r>
      <w:r>
        <w:t xml:space="preserve">Module maintenance and state governance are required.</w:t>
      </w:r>
    </w:p>
    <w:p>
      <w:pPr>
        <w:pStyle w:val="BodyText"/>
      </w:pPr>
      <w:r>
        <w:rPr>
          <w:b/>
          <w:bCs/>
        </w:rPr>
        <w:t xml:space="preserve">Risks.</w:t>
      </w:r>
      <w:r>
        <w:t xml:space="preserve"> </w:t>
      </w:r>
      <w:r>
        <w:t xml:space="preserve">State compromise, destructive plans or provider regressions.</w:t>
      </w:r>
    </w:p>
    <w:p>
      <w:pPr>
        <w:pStyle w:val="BodyText"/>
      </w:pPr>
      <w:r>
        <w:rPr>
          <w:b/>
          <w:bCs/>
        </w:rPr>
        <w:t xml:space="preserve">Mitigations.</w:t>
      </w:r>
      <w:r>
        <w:t xml:space="preserve"> </w:t>
      </w:r>
      <w:r>
        <w:t xml:space="preserve">Protected remote state, pinned versions, plan review, backups and staged upgrades.</w:t>
      </w:r>
    </w:p>
    <w:bookmarkEnd w:id="194"/>
    <w:bookmarkEnd w:id="195"/>
    <w:bookmarkStart w:id="212" w:name="service-reference-cards"/>
    <w:p>
      <w:pPr>
        <w:pStyle w:val="Heading1"/>
        <w:keepNext/>
        <w:pageBreakBefore w:val="0"/>
      </w:pPr>
      <w:r>
        <w:t xml:space="preserve">13. Service Reference Cards</w:t>
      </w:r>
    </w:p>
    <w:p>
      <w:pPr>
        <w:pStyle w:val="FirstParagraph"/>
      </w:pPr>
      <w:r>
        <w:t xml:space="preserve">The following cards summarize how the principal landing-zone services are used. Quotas, availability and features must be verified against current product documentation before implementation.</w:t>
      </w:r>
    </w:p>
    <w:bookmarkStart w:id="196" w:name="shared-vpc"/>
    <w:p>
      <w:pPr>
        <w:pStyle w:val="Heading2"/>
        <w:keepNext/>
        <w:pageBreakBefore w:val="0"/>
      </w:pPr>
      <w:r>
        <w:t xml:space="preserve">13.1 Shared VPC</w:t>
      </w:r>
    </w:p>
    <w:p>
      <w:pPr>
        <w:pStyle w:val="FirstParagraph"/>
      </w:pPr>
      <w:r>
        <w:rPr>
          <w:b/>
          <w:bCs/>
        </w:rPr>
        <w:t xml:space="preserve">Purpose and role.</w:t>
      </w:r>
      <w:r>
        <w:t xml:space="preserve"> </w:t>
      </w:r>
      <w:r>
        <w:t xml:space="preserve">Centralizes network ownership while allowing workload resources to reside in service projects.</w:t>
      </w:r>
    </w:p>
    <w:p>
      <w:pPr>
        <w:pStyle w:val="BodyText"/>
      </w:pPr>
      <w:r>
        <w:rPr>
          <w:b/>
          <w:bCs/>
        </w:rPr>
        <w:t xml:space="preserve">Benefits.</w:t>
      </w:r>
      <w:r>
        <w:t xml:space="preserve"> </w:t>
      </w:r>
      <w:r>
        <w:t xml:space="preserve">Consistent IPAM, routing, DNS, firewall, logging and hybrid connectivity; separation of network administration from workload administration.</w:t>
      </w:r>
    </w:p>
    <w:p>
      <w:pPr>
        <w:pStyle w:val="BodyText"/>
      </w:pPr>
      <w:r>
        <w:rPr>
          <w:b/>
          <w:bCs/>
        </w:rPr>
        <w:t xml:space="preserve">Limitations.</w:t>
      </w:r>
      <w:r>
        <w:t xml:space="preserve"> </w:t>
      </w:r>
      <w:r>
        <w:t xml:space="preserve">Requires delegated subnet permissions and careful service-agent IAM; some products have service-specific network requirements.</w:t>
      </w:r>
    </w:p>
    <w:p>
      <w:pPr>
        <w:pStyle w:val="BodyText"/>
      </w:pPr>
      <w:r>
        <w:rPr>
          <w:b/>
          <w:bCs/>
        </w:rPr>
        <w:t xml:space="preserve">Alternatives.</w:t>
      </w:r>
      <w:r>
        <w:t xml:space="preserve"> </w:t>
      </w:r>
      <w:r>
        <w:t xml:space="preserve">Standalone VPCs, peering, Network Connectivity Center spokes.</w:t>
      </w:r>
    </w:p>
    <w:p>
      <w:pPr>
        <w:pStyle w:val="BodyText"/>
      </w:pPr>
      <w:r>
        <w:rPr>
          <w:b/>
          <w:bCs/>
        </w:rPr>
        <w:t xml:space="preserve">Security and monitoring.</w:t>
      </w:r>
      <w:r>
        <w:t xml:space="preserve"> </w:t>
      </w:r>
      <w:r>
        <w:t xml:space="preserve">Restrict host-project administration, enable flow logs, monitor route and firewall changes, and use policy validation.</w:t>
      </w:r>
    </w:p>
    <w:p>
      <w:pPr>
        <w:pStyle w:val="BodyText"/>
      </w:pPr>
      <w:r>
        <w:rPr>
          <w:b/>
          <w:bCs/>
        </w:rPr>
        <w:t xml:space="preserve">Cost optimization.</w:t>
      </w:r>
      <w:r>
        <w:t xml:space="preserve"> </w:t>
      </w:r>
      <w:r>
        <w:t xml:space="preserve">Shared connectivity avoids duplicate NAT, VPN and appliance footprints; flow-log volume must be tuned.</w:t>
      </w:r>
    </w:p>
    <w:p>
      <w:pPr>
        <w:pStyle w:val="BodyText"/>
      </w:pPr>
      <w:r>
        <w:rPr>
          <w:b/>
          <w:bCs/>
        </w:rPr>
        <w:t xml:space="preserve">Pitfalls.</w:t>
      </w:r>
      <w:r>
        <w:t xml:space="preserve"> </w:t>
      </w:r>
      <w:r>
        <w:t xml:space="preserve">Over-centralization without self-service, broad network-user grants and generic subnets.</w:t>
      </w:r>
    </w:p>
    <w:bookmarkEnd w:id="196"/>
    <w:bookmarkStart w:id="197" w:name="private-service-connect-1"/>
    <w:p>
      <w:pPr>
        <w:pStyle w:val="Heading2"/>
        <w:keepNext/>
        <w:pageBreakBefore w:val="0"/>
      </w:pPr>
      <w:r>
        <w:t xml:space="preserve">13.2 Private Service Connect</w:t>
      </w:r>
    </w:p>
    <w:p>
      <w:pPr>
        <w:pStyle w:val="FirstParagraph"/>
      </w:pPr>
      <w:r>
        <w:rPr>
          <w:b/>
          <w:bCs/>
        </w:rPr>
        <w:t xml:space="preserve">Purpose and role.</w:t>
      </w:r>
      <w:r>
        <w:t xml:space="preserve"> </w:t>
      </w:r>
      <w:r>
        <w:t xml:space="preserve">Exposes or consumes supported services through private endpoints across network boundaries.</w:t>
      </w:r>
    </w:p>
    <w:p>
      <w:pPr>
        <w:pStyle w:val="BodyText"/>
      </w:pPr>
      <w:r>
        <w:rPr>
          <w:b/>
          <w:bCs/>
        </w:rPr>
        <w:t xml:space="preserve">Benefits.</w:t>
      </w:r>
      <w:r>
        <w:t xml:space="preserve"> </w:t>
      </w:r>
      <w:r>
        <w:t xml:space="preserve">Producer-consumer isolation, no broad peering and stable service endpoints.</w:t>
      </w:r>
    </w:p>
    <w:p>
      <w:pPr>
        <w:pStyle w:val="BodyText"/>
      </w:pPr>
      <w:r>
        <w:rPr>
          <w:b/>
          <w:bCs/>
        </w:rPr>
        <w:t xml:space="preserve">Limitations.</w:t>
      </w:r>
      <w:r>
        <w:t xml:space="preserve"> </w:t>
      </w:r>
      <w:r>
        <w:t xml:space="preserve">Product and region support varies; DNS and endpoint quotas require planning.</w:t>
      </w:r>
    </w:p>
    <w:p>
      <w:pPr>
        <w:pStyle w:val="BodyText"/>
      </w:pPr>
      <w:r>
        <w:rPr>
          <w:b/>
          <w:bCs/>
        </w:rPr>
        <w:t xml:space="preserve">Alternatives.</w:t>
      </w:r>
      <w:r>
        <w:t xml:space="preserve"> </w:t>
      </w:r>
      <w:r>
        <w:t xml:space="preserve">Private Google Access, VPC peering, public endpoint with strong controls.</w:t>
      </w:r>
    </w:p>
    <w:p>
      <w:pPr>
        <w:pStyle w:val="BodyText"/>
      </w:pPr>
      <w:r>
        <w:rPr>
          <w:b/>
          <w:bCs/>
        </w:rPr>
        <w:t xml:space="preserve">Security and monitoring.</w:t>
      </w:r>
      <w:r>
        <w:t xml:space="preserve"> </w:t>
      </w:r>
      <w:r>
        <w:t xml:space="preserve">Approve producers/consumers, apply IAM and application authentication, and monitor connection status.</w:t>
      </w:r>
    </w:p>
    <w:p>
      <w:pPr>
        <w:pStyle w:val="BodyText"/>
      </w:pPr>
      <w:r>
        <w:rPr>
          <w:b/>
          <w:bCs/>
        </w:rPr>
        <w:t xml:space="preserve">Cost optimization.</w:t>
      </w:r>
      <w:r>
        <w:t xml:space="preserve"> </w:t>
      </w:r>
      <w:r>
        <w:t xml:space="preserve">Consolidate endpoints where trust and ownership permit; avoid unused regional endpoint sprawl.</w:t>
      </w:r>
    </w:p>
    <w:p>
      <w:pPr>
        <w:pStyle w:val="BodyText"/>
      </w:pPr>
      <w:r>
        <w:rPr>
          <w:b/>
          <w:bCs/>
        </w:rPr>
        <w:t xml:space="preserve">Pitfalls.</w:t>
      </w:r>
      <w:r>
        <w:t xml:space="preserve"> </w:t>
      </w:r>
      <w:r>
        <w:t xml:space="preserve">Treating reachability as authorization and neglecting DNS rollback.</w:t>
      </w:r>
    </w:p>
    <w:bookmarkEnd w:id="197"/>
    <w:bookmarkStart w:id="198" w:name="cloud-nat-1"/>
    <w:p>
      <w:pPr>
        <w:pStyle w:val="Heading2"/>
        <w:keepNext/>
        <w:pageBreakBefore w:val="0"/>
      </w:pPr>
      <w:r>
        <w:t xml:space="preserve">13.3 Cloud NAT</w:t>
      </w:r>
    </w:p>
    <w:p>
      <w:pPr>
        <w:pStyle w:val="FirstParagraph"/>
      </w:pPr>
      <w:r>
        <w:rPr>
          <w:b/>
          <w:bCs/>
        </w:rPr>
        <w:t xml:space="preserve">Purpose and role.</w:t>
      </w:r>
      <w:r>
        <w:t xml:space="preserve"> </w:t>
      </w:r>
      <w:r>
        <w:t xml:space="preserve">Provides managed outbound translation for private resources.</w:t>
      </w:r>
    </w:p>
    <w:p>
      <w:pPr>
        <w:pStyle w:val="BodyText"/>
      </w:pPr>
      <w:r>
        <w:rPr>
          <w:b/>
          <w:bCs/>
        </w:rPr>
        <w:t xml:space="preserve">Benefits.</w:t>
      </w:r>
      <w:r>
        <w:t xml:space="preserve"> </w:t>
      </w:r>
      <w:r>
        <w:t xml:space="preserve">No inbound exposure, regional managed operation and scalable address translation.</w:t>
      </w:r>
    </w:p>
    <w:p>
      <w:pPr>
        <w:pStyle w:val="BodyText"/>
      </w:pPr>
      <w:r>
        <w:rPr>
          <w:b/>
          <w:bCs/>
        </w:rPr>
        <w:t xml:space="preserve">Limitations.</w:t>
      </w:r>
      <w:r>
        <w:t xml:space="preserve"> </w:t>
      </w:r>
      <w:r>
        <w:t xml:space="preserve">No payload inspection or domain filtering; port capacity must be managed.</w:t>
      </w:r>
    </w:p>
    <w:p>
      <w:pPr>
        <w:pStyle w:val="BodyText"/>
      </w:pPr>
      <w:r>
        <w:rPr>
          <w:b/>
          <w:bCs/>
        </w:rPr>
        <w:t xml:space="preserve">Alternatives.</w:t>
      </w:r>
      <w:r>
        <w:t xml:space="preserve"> </w:t>
      </w:r>
      <w:r>
        <w:t xml:space="preserve">Secure web proxy, firewall appliance, public IP, PSC/private APIs.</w:t>
      </w:r>
    </w:p>
    <w:p>
      <w:pPr>
        <w:pStyle w:val="BodyText"/>
      </w:pPr>
      <w:r>
        <w:rPr>
          <w:b/>
          <w:bCs/>
        </w:rPr>
        <w:t xml:space="preserve">Security and monitoring.</w:t>
      </w:r>
      <w:r>
        <w:t xml:space="preserve"> </w:t>
      </w:r>
      <w:r>
        <w:t xml:space="preserve">Restrict eligible subnets, log errors, alert on port exhaustion and analyze destinations.</w:t>
      </w:r>
    </w:p>
    <w:p>
      <w:pPr>
        <w:pStyle w:val="BodyText"/>
      </w:pPr>
      <w:r>
        <w:rPr>
          <w:b/>
          <w:bCs/>
        </w:rPr>
        <w:t xml:space="preserve">Cost optimization.</w:t>
      </w:r>
      <w:r>
        <w:t xml:space="preserve"> </w:t>
      </w:r>
      <w:r>
        <w:t xml:space="preserve">Right-size external addresses and logging; remove internet dependency where private endpoints exist.</w:t>
      </w:r>
    </w:p>
    <w:p>
      <w:pPr>
        <w:pStyle w:val="BodyText"/>
      </w:pPr>
      <w:r>
        <w:rPr>
          <w:b/>
          <w:bCs/>
        </w:rPr>
        <w:t xml:space="preserve">Pitfalls.</w:t>
      </w:r>
      <w:r>
        <w:t xml:space="preserve"> </w:t>
      </w:r>
      <w:r>
        <w:t xml:space="preserve">Assuming NAT equals egress security and ignoring port consumption.</w:t>
      </w:r>
    </w:p>
    <w:bookmarkEnd w:id="198"/>
    <w:bookmarkStart w:id="199" w:name="cloud-dns-1"/>
    <w:p>
      <w:pPr>
        <w:pStyle w:val="Heading2"/>
        <w:keepNext/>
        <w:pageBreakBefore w:val="0"/>
      </w:pPr>
      <w:r>
        <w:t xml:space="preserve">13.4 Cloud DNS</w:t>
      </w:r>
    </w:p>
    <w:p>
      <w:pPr>
        <w:pStyle w:val="FirstParagraph"/>
      </w:pPr>
      <w:r>
        <w:rPr>
          <w:b/>
          <w:bCs/>
        </w:rPr>
        <w:t xml:space="preserve">Purpose and role.</w:t>
      </w:r>
      <w:r>
        <w:t xml:space="preserve"> </w:t>
      </w:r>
      <w:r>
        <w:t xml:space="preserve">Provides authoritative and forwarding DNS for enterprise cloud resources.</w:t>
      </w:r>
    </w:p>
    <w:p>
      <w:pPr>
        <w:pStyle w:val="BodyText"/>
      </w:pPr>
      <w:r>
        <w:rPr>
          <w:b/>
          <w:bCs/>
        </w:rPr>
        <w:t xml:space="preserve">Benefits.</w:t>
      </w:r>
      <w:r>
        <w:t xml:space="preserve"> </w:t>
      </w:r>
      <w:r>
        <w:t xml:space="preserve">Managed availability, private zones, policies and hybrid forwarding.</w:t>
      </w:r>
    </w:p>
    <w:p>
      <w:pPr>
        <w:pStyle w:val="BodyText"/>
      </w:pPr>
      <w:r>
        <w:rPr>
          <w:b/>
          <w:bCs/>
        </w:rPr>
        <w:t xml:space="preserve">Limitations.</w:t>
      </w:r>
      <w:r>
        <w:t xml:space="preserve"> </w:t>
      </w:r>
      <w:r>
        <w:t xml:space="preserve">Complex split-horizon and overlapping-zone designs can produce unexpected resolution.</w:t>
      </w:r>
    </w:p>
    <w:p>
      <w:pPr>
        <w:pStyle w:val="BodyText"/>
      </w:pPr>
      <w:r>
        <w:rPr>
          <w:b/>
          <w:bCs/>
        </w:rPr>
        <w:t xml:space="preserve">Alternatives.</w:t>
      </w:r>
      <w:r>
        <w:t xml:space="preserve"> </w:t>
      </w:r>
      <w:r>
        <w:t xml:space="preserve">On-premises-only resolvers or third-party DNS appliances.</w:t>
      </w:r>
    </w:p>
    <w:p>
      <w:pPr>
        <w:pStyle w:val="BodyText"/>
      </w:pPr>
      <w:r>
        <w:rPr>
          <w:b/>
          <w:bCs/>
        </w:rPr>
        <w:t xml:space="preserve">Security and monitoring.</w:t>
      </w:r>
      <w:r>
        <w:t xml:space="preserve"> </w:t>
      </w:r>
      <w:r>
        <w:t xml:space="preserve">Control zone administration, log high-value queries and protect public-zone changes.</w:t>
      </w:r>
    </w:p>
    <w:p>
      <w:pPr>
        <w:pStyle w:val="BodyText"/>
      </w:pPr>
      <w:r>
        <w:rPr>
          <w:b/>
          <w:bCs/>
        </w:rPr>
        <w:t xml:space="preserve">Cost optimization.</w:t>
      </w:r>
      <w:r>
        <w:t xml:space="preserve"> </w:t>
      </w:r>
      <w:r>
        <w:t xml:space="preserve">Apply query logging selectively based on risk and use centralized reusable zones.</w:t>
      </w:r>
    </w:p>
    <w:p>
      <w:pPr>
        <w:pStyle w:val="BodyText"/>
      </w:pPr>
      <w:r>
        <w:rPr>
          <w:b/>
          <w:bCs/>
        </w:rPr>
        <w:t xml:space="preserve">Pitfalls.</w:t>
      </w:r>
      <w:r>
        <w:t xml:space="preserve"> </w:t>
      </w:r>
      <w:r>
        <w:t xml:space="preserve">Circular forwarding, ambiguous zones and unmanaged manual records.</w:t>
      </w:r>
    </w:p>
    <w:bookmarkEnd w:id="199"/>
    <w:bookmarkStart w:id="200" w:name="cloud-interconnect"/>
    <w:p>
      <w:pPr>
        <w:pStyle w:val="Heading2"/>
        <w:keepNext/>
        <w:pageBreakBefore w:val="0"/>
      </w:pPr>
      <w:r>
        <w:t xml:space="preserve">13.5 Cloud Interconnect</w:t>
      </w:r>
    </w:p>
    <w:p>
      <w:pPr>
        <w:pStyle w:val="FirstParagraph"/>
      </w:pPr>
      <w:r>
        <w:rPr>
          <w:b/>
          <w:bCs/>
        </w:rPr>
        <w:t xml:space="preserve">Purpose and role.</w:t>
      </w:r>
      <w:r>
        <w:t xml:space="preserve"> </w:t>
      </w:r>
      <w:r>
        <w:t xml:space="preserve">Provides private high-throughput connectivity between enterprise networks and Google Cloud.</w:t>
      </w:r>
    </w:p>
    <w:p>
      <w:pPr>
        <w:pStyle w:val="BodyText"/>
      </w:pPr>
      <w:r>
        <w:rPr>
          <w:b/>
          <w:bCs/>
        </w:rPr>
        <w:t xml:space="preserve">Benefits.</w:t>
      </w:r>
      <w:r>
        <w:t xml:space="preserve"> </w:t>
      </w:r>
      <w:r>
        <w:t xml:space="preserve">Predictable performance and private routing for high-volume hybrid workloads.</w:t>
      </w:r>
    </w:p>
    <w:p>
      <w:pPr>
        <w:pStyle w:val="BodyText"/>
      </w:pPr>
      <w:r>
        <w:rPr>
          <w:b/>
          <w:bCs/>
        </w:rPr>
        <w:t xml:space="preserve">Limitations.</w:t>
      </w:r>
      <w:r>
        <w:t xml:space="preserve"> </w:t>
      </w:r>
      <w:r>
        <w:t xml:space="preserve">Lead time, physical/provider dependencies and customer routing responsibility.</w:t>
      </w:r>
    </w:p>
    <w:p>
      <w:pPr>
        <w:pStyle w:val="BodyText"/>
      </w:pPr>
      <w:r>
        <w:rPr>
          <w:b/>
          <w:bCs/>
        </w:rPr>
        <w:t xml:space="preserve">Alternatives.</w:t>
      </w:r>
      <w:r>
        <w:t xml:space="preserve"> </w:t>
      </w:r>
      <w:r>
        <w:t xml:space="preserve">HA VPN, internet-secured APIs, partner-managed connectivity.</w:t>
      </w:r>
    </w:p>
    <w:p>
      <w:pPr>
        <w:pStyle w:val="BodyText"/>
      </w:pPr>
      <w:r>
        <w:rPr>
          <w:b/>
          <w:bCs/>
        </w:rPr>
        <w:t xml:space="preserve">Security and monitoring.</w:t>
      </w:r>
      <w:r>
        <w:t xml:space="preserve"> </w:t>
      </w:r>
      <w:r>
        <w:t xml:space="preserve">Use redundant attachments, route controls, encryption where required, and BGP/attachment monitoring.</w:t>
      </w:r>
    </w:p>
    <w:p>
      <w:pPr>
        <w:pStyle w:val="BodyText"/>
      </w:pPr>
      <w:r>
        <w:rPr>
          <w:b/>
          <w:bCs/>
        </w:rPr>
        <w:t xml:space="preserve">Cost optimization.</w:t>
      </w:r>
      <w:r>
        <w:t xml:space="preserve"> </w:t>
      </w:r>
      <w:r>
        <w:t xml:space="preserve">Size capacity from measured traffic and commitments; avoid unnecessary cross-region transfer.</w:t>
      </w:r>
    </w:p>
    <w:p>
      <w:pPr>
        <w:pStyle w:val="BodyText"/>
      </w:pPr>
      <w:r>
        <w:rPr>
          <w:b/>
          <w:bCs/>
        </w:rPr>
        <w:t xml:space="preserve">Pitfalls.</w:t>
      </w:r>
      <w:r>
        <w:t xml:space="preserve"> </w:t>
      </w:r>
      <w:r>
        <w:t xml:space="preserve">Single facility/provider dependence and untested failover.</w:t>
      </w:r>
    </w:p>
    <w:bookmarkEnd w:id="200"/>
    <w:bookmarkStart w:id="201" w:name="ha-vpn"/>
    <w:p>
      <w:pPr>
        <w:pStyle w:val="Heading2"/>
        <w:keepNext/>
        <w:pageBreakBefore w:val="0"/>
      </w:pPr>
      <w:r>
        <w:t xml:space="preserve">13.6 HA VPN</w:t>
      </w:r>
    </w:p>
    <w:p>
      <w:pPr>
        <w:pStyle w:val="FirstParagraph"/>
      </w:pPr>
      <w:r>
        <w:rPr>
          <w:b/>
          <w:bCs/>
        </w:rPr>
        <w:t xml:space="preserve">Purpose and role.</w:t>
      </w:r>
      <w:r>
        <w:t xml:space="preserve"> </w:t>
      </w:r>
      <w:r>
        <w:t xml:space="preserve">Provides encrypted IPsec connectivity for branches, backup and lower-throughput hybrid paths.</w:t>
      </w:r>
    </w:p>
    <w:p>
      <w:pPr>
        <w:pStyle w:val="BodyText"/>
      </w:pPr>
      <w:r>
        <w:rPr>
          <w:b/>
          <w:bCs/>
        </w:rPr>
        <w:t xml:space="preserve">Benefits.</w:t>
      </w:r>
      <w:r>
        <w:t xml:space="preserve"> </w:t>
      </w:r>
      <w:r>
        <w:t xml:space="preserve">Rapid deployment, managed gateways and dynamic routing.</w:t>
      </w:r>
    </w:p>
    <w:p>
      <w:pPr>
        <w:pStyle w:val="BodyText"/>
      </w:pPr>
      <w:r>
        <w:rPr>
          <w:b/>
          <w:bCs/>
        </w:rPr>
        <w:t xml:space="preserve">Limitations.</w:t>
      </w:r>
      <w:r>
        <w:t xml:space="preserve"> </w:t>
      </w:r>
      <w:r>
        <w:t xml:space="preserve">Internet path variability and tunnel throughput constraints.</w:t>
      </w:r>
    </w:p>
    <w:p>
      <w:pPr>
        <w:pStyle w:val="BodyText"/>
      </w:pPr>
      <w:r>
        <w:rPr>
          <w:b/>
          <w:bCs/>
        </w:rPr>
        <w:t xml:space="preserve">Alternatives.</w:t>
      </w:r>
      <w:r>
        <w:t xml:space="preserve"> </w:t>
      </w:r>
      <w:r>
        <w:t xml:space="preserve">Interconnect, partner connectivity and secure public APIs.</w:t>
      </w:r>
    </w:p>
    <w:p>
      <w:pPr>
        <w:pStyle w:val="BodyText"/>
      </w:pPr>
      <w:r>
        <w:rPr>
          <w:b/>
          <w:bCs/>
        </w:rPr>
        <w:t xml:space="preserve">Security and monitoring.</w:t>
      </w:r>
      <w:r>
        <w:t xml:space="preserve"> </w:t>
      </w:r>
      <w:r>
        <w:t xml:space="preserve">Strong cryptography, redundant tunnels, BGP monitoring and key lifecycle governance.</w:t>
      </w:r>
    </w:p>
    <w:p>
      <w:pPr>
        <w:pStyle w:val="BodyText"/>
      </w:pPr>
      <w:r>
        <w:rPr>
          <w:b/>
          <w:bCs/>
        </w:rPr>
        <w:t xml:space="preserve">Cost optimization.</w:t>
      </w:r>
      <w:r>
        <w:t xml:space="preserve"> </w:t>
      </w:r>
      <w:r>
        <w:t xml:space="preserve">Use for appropriate traffic profiles rather than overbuilding physical connectivity.</w:t>
      </w:r>
    </w:p>
    <w:p>
      <w:pPr>
        <w:pStyle w:val="BodyText"/>
      </w:pPr>
      <w:r>
        <w:rPr>
          <w:b/>
          <w:bCs/>
        </w:rPr>
        <w:t xml:space="preserve">Pitfalls.</w:t>
      </w:r>
      <w:r>
        <w:t xml:space="preserve"> </w:t>
      </w:r>
      <w:r>
        <w:t xml:space="preserve">Single tunnel, asymmetric routing and lack of capacity testing.</w:t>
      </w:r>
    </w:p>
    <w:bookmarkEnd w:id="201"/>
    <w:bookmarkStart w:id="202" w:name="cloud-armor-1"/>
    <w:p>
      <w:pPr>
        <w:pStyle w:val="Heading2"/>
        <w:keepNext/>
        <w:pageBreakBefore w:val="0"/>
      </w:pPr>
      <w:r>
        <w:t xml:space="preserve">13.7 Cloud Armor</w:t>
      </w:r>
    </w:p>
    <w:p>
      <w:pPr>
        <w:pStyle w:val="FirstParagraph"/>
      </w:pPr>
      <w:r>
        <w:rPr>
          <w:b/>
          <w:bCs/>
        </w:rPr>
        <w:t xml:space="preserve">Purpose and role.</w:t>
      </w:r>
      <w:r>
        <w:t xml:space="preserve"> </w:t>
      </w:r>
      <w:r>
        <w:t xml:space="preserve">Protects supported load-balanced applications from web attacks and abuse.</w:t>
      </w:r>
    </w:p>
    <w:p>
      <w:pPr>
        <w:pStyle w:val="BodyText"/>
      </w:pPr>
      <w:r>
        <w:rPr>
          <w:b/>
          <w:bCs/>
        </w:rPr>
        <w:t xml:space="preserve">Benefits.</w:t>
      </w:r>
      <w:r>
        <w:t xml:space="preserve"> </w:t>
      </w:r>
      <w:r>
        <w:t xml:space="preserve">Managed WAF controls, rate limiting and integration with Google’s edge.</w:t>
      </w:r>
    </w:p>
    <w:p>
      <w:pPr>
        <w:pStyle w:val="BodyText"/>
      </w:pPr>
      <w:r>
        <w:rPr>
          <w:b/>
          <w:bCs/>
        </w:rPr>
        <w:t xml:space="preserve">Limitations.</w:t>
      </w:r>
      <w:r>
        <w:t xml:space="preserve"> </w:t>
      </w:r>
      <w:r>
        <w:t xml:space="preserve">Requires supported load-balancing architecture; tuning is application specific.</w:t>
      </w:r>
    </w:p>
    <w:p>
      <w:pPr>
        <w:pStyle w:val="BodyText"/>
      </w:pPr>
      <w:r>
        <w:rPr>
          <w:b/>
          <w:bCs/>
        </w:rPr>
        <w:t xml:space="preserve">Alternatives.</w:t>
      </w:r>
      <w:r>
        <w:t xml:space="preserve"> </w:t>
      </w:r>
      <w:r>
        <w:t xml:space="preserve">Third-party WAF, API gateway policy and application-native controls.</w:t>
      </w:r>
    </w:p>
    <w:p>
      <w:pPr>
        <w:pStyle w:val="BodyText"/>
      </w:pPr>
      <w:r>
        <w:rPr>
          <w:b/>
          <w:bCs/>
        </w:rPr>
        <w:t xml:space="preserve">Security and monitoring.</w:t>
      </w:r>
      <w:r>
        <w:t xml:space="preserve"> </w:t>
      </w:r>
      <w:r>
        <w:t xml:space="preserve">Deploy baseline plus application policy, use preview, monitor false positives and integrate logs with SIEM.</w:t>
      </w:r>
    </w:p>
    <w:p>
      <w:pPr>
        <w:pStyle w:val="BodyText"/>
      </w:pPr>
      <w:r>
        <w:rPr>
          <w:b/>
          <w:bCs/>
        </w:rPr>
        <w:t xml:space="preserve">Cost optimization.</w:t>
      </w:r>
      <w:r>
        <w:t xml:space="preserve"> </w:t>
      </w:r>
      <w:r>
        <w:t xml:space="preserve">Reuse hierarchical baselines and tune verbose logging appropriately.</w:t>
      </w:r>
    </w:p>
    <w:p>
      <w:pPr>
        <w:pStyle w:val="BodyText"/>
      </w:pPr>
      <w:r>
        <w:rPr>
          <w:b/>
          <w:bCs/>
        </w:rPr>
        <w:t xml:space="preserve">Pitfalls.</w:t>
      </w:r>
      <w:r>
        <w:t xml:space="preserve"> </w:t>
      </w:r>
      <w:r>
        <w:t xml:space="preserve">Enabling rules without preview and assuming WAF replaces secure development.</w:t>
      </w:r>
    </w:p>
    <w:bookmarkEnd w:id="202"/>
    <w:bookmarkStart w:id="203" w:name="workforce-identity-federation-1"/>
    <w:p>
      <w:pPr>
        <w:pStyle w:val="Heading2"/>
        <w:keepNext/>
        <w:pageBreakBefore w:val="0"/>
      </w:pPr>
      <w:r>
        <w:t xml:space="preserve">13.8 Workforce Identity Federation</w:t>
      </w:r>
    </w:p>
    <w:p>
      <w:pPr>
        <w:pStyle w:val="FirstParagraph"/>
      </w:pPr>
      <w:r>
        <w:rPr>
          <w:b/>
          <w:bCs/>
        </w:rPr>
        <w:t xml:space="preserve">Purpose and role.</w:t>
      </w:r>
      <w:r>
        <w:t xml:space="preserve"> </w:t>
      </w:r>
      <w:r>
        <w:t xml:space="preserve">Grants external workforce identities controlled access without permanent Google accounts.</w:t>
      </w:r>
    </w:p>
    <w:p>
      <w:pPr>
        <w:pStyle w:val="BodyText"/>
      </w:pPr>
      <w:r>
        <w:rPr>
          <w:b/>
          <w:bCs/>
        </w:rPr>
        <w:t xml:space="preserve">Benefits.</w:t>
      </w:r>
      <w:r>
        <w:t xml:space="preserve"> </w:t>
      </w:r>
      <w:r>
        <w:t xml:space="preserve">Short-lived credentials, external lifecycle ownership and attribute-based trust.</w:t>
      </w:r>
    </w:p>
    <w:p>
      <w:pPr>
        <w:pStyle w:val="BodyText"/>
      </w:pPr>
      <w:r>
        <w:rPr>
          <w:b/>
          <w:bCs/>
        </w:rPr>
        <w:t xml:space="preserve">Limitations.</w:t>
      </w:r>
      <w:r>
        <w:t xml:space="preserve"> </w:t>
      </w:r>
      <w:r>
        <w:t xml:space="preserve">Depends on identity-provider claims and supported access patterns.</w:t>
      </w:r>
    </w:p>
    <w:p>
      <w:pPr>
        <w:pStyle w:val="BodyText"/>
      </w:pPr>
      <w:r>
        <w:rPr>
          <w:b/>
          <w:bCs/>
        </w:rPr>
        <w:t xml:space="preserve">Alternatives.</w:t>
      </w:r>
      <w:r>
        <w:t xml:space="preserve"> </w:t>
      </w:r>
      <w:r>
        <w:t xml:space="preserve">Managed Google accounts or partner-specific identity provisioning.</w:t>
      </w:r>
    </w:p>
    <w:p>
      <w:pPr>
        <w:pStyle w:val="BodyText"/>
      </w:pPr>
      <w:r>
        <w:rPr>
          <w:b/>
          <w:bCs/>
        </w:rPr>
        <w:t xml:space="preserve">Security and monitoring.</w:t>
      </w:r>
      <w:r>
        <w:t xml:space="preserve"> </w:t>
      </w:r>
      <w:r>
        <w:t xml:space="preserve">Immutable subject mapping, MFA, narrow attribute conditions and token audit.</w:t>
      </w:r>
    </w:p>
    <w:p>
      <w:pPr>
        <w:pStyle w:val="BodyText"/>
      </w:pPr>
      <w:r>
        <w:rPr>
          <w:b/>
          <w:bCs/>
        </w:rPr>
        <w:t xml:space="preserve">Cost optimization.</w:t>
      </w:r>
      <w:r>
        <w:t xml:space="preserve"> </w:t>
      </w:r>
      <w:r>
        <w:t xml:space="preserve">Reduces account lifecycle overhead and orphaned identities.</w:t>
      </w:r>
    </w:p>
    <w:p>
      <w:pPr>
        <w:pStyle w:val="BodyText"/>
      </w:pPr>
      <w:r>
        <w:rPr>
          <w:b/>
          <w:bCs/>
        </w:rPr>
        <w:t xml:space="preserve">Pitfalls.</w:t>
      </w:r>
      <w:r>
        <w:t xml:space="preserve"> </w:t>
      </w:r>
      <w:r>
        <w:t xml:space="preserve">Broad claim mappings and mutable identifiers.</w:t>
      </w:r>
    </w:p>
    <w:bookmarkEnd w:id="203"/>
    <w:bookmarkStart w:id="204" w:name="workload-identity-federation-1"/>
    <w:p>
      <w:pPr>
        <w:pStyle w:val="Heading2"/>
        <w:keepNext/>
        <w:pageBreakBefore w:val="0"/>
      </w:pPr>
      <w:r>
        <w:t xml:space="preserve">13.9 Workload Identity Federation</w:t>
      </w:r>
    </w:p>
    <w:p>
      <w:pPr>
        <w:pStyle w:val="FirstParagraph"/>
      </w:pPr>
      <w:r>
        <w:rPr>
          <w:b/>
          <w:bCs/>
        </w:rPr>
        <w:t xml:space="preserve">Purpose and role.</w:t>
      </w:r>
      <w:r>
        <w:t xml:space="preserve"> </w:t>
      </w:r>
      <w:r>
        <w:t xml:space="preserve">Allows external workloads and CI/CD systems to exchange external credentials for short-lived Google credentials.</w:t>
      </w:r>
    </w:p>
    <w:p>
      <w:pPr>
        <w:pStyle w:val="BodyText"/>
      </w:pPr>
      <w:r>
        <w:rPr>
          <w:b/>
          <w:bCs/>
        </w:rPr>
        <w:t xml:space="preserve">Benefits.</w:t>
      </w:r>
      <w:r>
        <w:t xml:space="preserve"> </w:t>
      </w:r>
      <w:r>
        <w:t xml:space="preserve">Eliminates most service-account keys and improves attribution.</w:t>
      </w:r>
    </w:p>
    <w:p>
      <w:pPr>
        <w:pStyle w:val="BodyText"/>
      </w:pPr>
      <w:r>
        <w:rPr>
          <w:b/>
          <w:bCs/>
        </w:rPr>
        <w:t xml:space="preserve">Limitations.</w:t>
      </w:r>
      <w:r>
        <w:t xml:space="preserve"> </w:t>
      </w:r>
      <w:r>
        <w:t xml:space="preserve">Token issuer, audience and attribute configuration must be precise.</w:t>
      </w:r>
    </w:p>
    <w:p>
      <w:pPr>
        <w:pStyle w:val="BodyText"/>
      </w:pPr>
      <w:r>
        <w:rPr>
          <w:b/>
          <w:bCs/>
        </w:rPr>
        <w:t xml:space="preserve">Alternatives.</w:t>
      </w:r>
      <w:r>
        <w:t xml:space="preserve"> </w:t>
      </w:r>
      <w:r>
        <w:t xml:space="preserve">Service-account keys, attached service accounts or intermediary brokers.</w:t>
      </w:r>
    </w:p>
    <w:p>
      <w:pPr>
        <w:pStyle w:val="BodyText"/>
      </w:pPr>
      <w:r>
        <w:rPr>
          <w:b/>
          <w:bCs/>
        </w:rPr>
        <w:t xml:space="preserve">Security and monitoring.</w:t>
      </w:r>
      <w:r>
        <w:t xml:space="preserve"> </w:t>
      </w:r>
      <w:r>
        <w:t xml:space="preserve">Restrict repository, branch, environment, account and workload claims; monitor impersonation.</w:t>
      </w:r>
    </w:p>
    <w:p>
      <w:pPr>
        <w:pStyle w:val="BodyText"/>
      </w:pPr>
      <w:r>
        <w:rPr>
          <w:b/>
          <w:bCs/>
        </w:rPr>
        <w:t xml:space="preserve">Cost optimization.</w:t>
      </w:r>
      <w:r>
        <w:t xml:space="preserve"> </w:t>
      </w:r>
      <w:r>
        <w:t xml:space="preserve">Reduces key-rotation and incident-management overhead.</w:t>
      </w:r>
    </w:p>
    <w:p>
      <w:pPr>
        <w:pStyle w:val="BodyText"/>
      </w:pPr>
      <w:r>
        <w:rPr>
          <w:b/>
          <w:bCs/>
        </w:rPr>
        <w:t xml:space="preserve">Pitfalls.</w:t>
      </w:r>
      <w:r>
        <w:t xml:space="preserve"> </w:t>
      </w:r>
      <w:r>
        <w:t xml:space="preserve">Trusting an entire external organization when only one repository or workload is needed.</w:t>
      </w:r>
    </w:p>
    <w:bookmarkEnd w:id="204"/>
    <w:bookmarkStart w:id="205" w:name="privileged-access-manager-1"/>
    <w:p>
      <w:pPr>
        <w:pStyle w:val="Heading2"/>
        <w:keepNext/>
        <w:pageBreakBefore w:val="0"/>
      </w:pPr>
      <w:r>
        <w:t xml:space="preserve">13.10 Privileged Access Manager</w:t>
      </w:r>
    </w:p>
    <w:p>
      <w:pPr>
        <w:pStyle w:val="FirstParagraph"/>
      </w:pPr>
      <w:r>
        <w:rPr>
          <w:b/>
          <w:bCs/>
        </w:rPr>
        <w:t xml:space="preserve">Purpose and role.</w:t>
      </w:r>
      <w:r>
        <w:t xml:space="preserve"> </w:t>
      </w:r>
      <w:r>
        <w:t xml:space="preserve">Provides approved, time-bound elevation to privileged roles.</w:t>
      </w:r>
    </w:p>
    <w:p>
      <w:pPr>
        <w:pStyle w:val="BodyText"/>
      </w:pPr>
      <w:r>
        <w:rPr>
          <w:b/>
          <w:bCs/>
        </w:rPr>
        <w:t xml:space="preserve">Benefits.</w:t>
      </w:r>
      <w:r>
        <w:t xml:space="preserve"> </w:t>
      </w:r>
      <w:r>
        <w:t xml:space="preserve">Reduces standing privilege and connects access to business justification.</w:t>
      </w:r>
    </w:p>
    <w:p>
      <w:pPr>
        <w:pStyle w:val="BodyText"/>
      </w:pPr>
      <w:r>
        <w:rPr>
          <w:b/>
          <w:bCs/>
        </w:rPr>
        <w:t xml:space="preserve">Limitations.</w:t>
      </w:r>
      <w:r>
        <w:t xml:space="preserve"> </w:t>
      </w:r>
      <w:r>
        <w:t xml:space="preserve">Coverage, roles and workflow must be tested for each administrative use case.</w:t>
      </w:r>
    </w:p>
    <w:p>
      <w:pPr>
        <w:pStyle w:val="BodyText"/>
      </w:pPr>
      <w:r>
        <w:rPr>
          <w:b/>
          <w:bCs/>
        </w:rPr>
        <w:t xml:space="preserve">Alternatives.</w:t>
      </w:r>
      <w:r>
        <w:t xml:space="preserve"> </w:t>
      </w:r>
      <w:r>
        <w:t xml:space="preserve">Manual temporary IAM grants or permanent admin groups.</w:t>
      </w:r>
    </w:p>
    <w:p>
      <w:pPr>
        <w:pStyle w:val="BodyText"/>
      </w:pPr>
      <w:r>
        <w:rPr>
          <w:b/>
          <w:bCs/>
        </w:rPr>
        <w:t xml:space="preserve">Security and monitoring.</w:t>
      </w:r>
      <w:r>
        <w:t xml:space="preserve"> </w:t>
      </w:r>
      <w:r>
        <w:t xml:space="preserve">Independent approvers, short duration, post-use review and alerting.</w:t>
      </w:r>
    </w:p>
    <w:p>
      <w:pPr>
        <w:pStyle w:val="BodyText"/>
      </w:pPr>
      <w:r>
        <w:rPr>
          <w:b/>
          <w:bCs/>
        </w:rPr>
        <w:t xml:space="preserve">Cost optimization.</w:t>
      </w:r>
      <w:r>
        <w:t xml:space="preserve"> </w:t>
      </w:r>
      <w:r>
        <w:t xml:space="preserve">Reduces risk and audit effort rather than direct infrastructure cost.</w:t>
      </w:r>
    </w:p>
    <w:p>
      <w:pPr>
        <w:pStyle w:val="BodyText"/>
      </w:pPr>
      <w:r>
        <w:rPr>
          <w:b/>
          <w:bCs/>
        </w:rPr>
        <w:t xml:space="preserve">Pitfalls.</w:t>
      </w:r>
      <w:r>
        <w:t xml:space="preserve"> </w:t>
      </w:r>
      <w:r>
        <w:t xml:space="preserve">Entitlements that are too broad or approvals that become rubber stamps.</w:t>
      </w:r>
    </w:p>
    <w:bookmarkEnd w:id="205"/>
    <w:bookmarkStart w:id="206" w:name="vpc-service-controls-1"/>
    <w:p>
      <w:pPr>
        <w:pStyle w:val="Heading2"/>
        <w:keepNext/>
        <w:pageBreakBefore w:val="0"/>
      </w:pPr>
      <w:r>
        <w:t xml:space="preserve">13.11 VPC Service Controls</w:t>
      </w:r>
    </w:p>
    <w:p>
      <w:pPr>
        <w:pStyle w:val="FirstParagraph"/>
      </w:pPr>
      <w:r>
        <w:rPr>
          <w:b/>
          <w:bCs/>
        </w:rPr>
        <w:t xml:space="preserve">Purpose and role.</w:t>
      </w:r>
      <w:r>
        <w:t xml:space="preserve"> </w:t>
      </w:r>
      <w:r>
        <w:t xml:space="preserve">Creates service perimeters around supported managed services to reduce exfiltration risk.</w:t>
      </w:r>
    </w:p>
    <w:p>
      <w:pPr>
        <w:pStyle w:val="BodyText"/>
      </w:pPr>
      <w:r>
        <w:rPr>
          <w:b/>
          <w:bCs/>
        </w:rPr>
        <w:t xml:space="preserve">Benefits.</w:t>
      </w:r>
      <w:r>
        <w:t xml:space="preserve"> </w:t>
      </w:r>
      <w:r>
        <w:t xml:space="preserve">Context- and identity-aware ingress/egress controls beyond IAM.</w:t>
      </w:r>
    </w:p>
    <w:p>
      <w:pPr>
        <w:pStyle w:val="BodyText"/>
      </w:pPr>
      <w:r>
        <w:rPr>
          <w:b/>
          <w:bCs/>
        </w:rPr>
        <w:t xml:space="preserve">Limitations.</w:t>
      </w:r>
      <w:r>
        <w:t xml:space="preserve"> </w:t>
      </w:r>
      <w:r>
        <w:t xml:space="preserve">Supported-service boundaries, integration complexity and one regular perimeter per project.</w:t>
      </w:r>
    </w:p>
    <w:p>
      <w:pPr>
        <w:pStyle w:val="BodyText"/>
      </w:pPr>
      <w:r>
        <w:rPr>
          <w:b/>
          <w:bCs/>
        </w:rPr>
        <w:t xml:space="preserve">Alternatives.</w:t>
      </w:r>
      <w:r>
        <w:t xml:space="preserve"> </w:t>
      </w:r>
      <w:r>
        <w:t xml:space="preserve">IAM, network controls and separate organizations, none equivalent by themselves.</w:t>
      </w:r>
    </w:p>
    <w:p>
      <w:pPr>
        <w:pStyle w:val="BodyText"/>
      </w:pPr>
      <w:r>
        <w:rPr>
          <w:b/>
          <w:bCs/>
        </w:rPr>
        <w:t xml:space="preserve">Security and monitoring.</w:t>
      </w:r>
      <w:r>
        <w:t xml:space="preserve"> </w:t>
      </w:r>
      <w:r>
        <w:t xml:space="preserve">Dry-run rollout, violation analysis and centrally reviewed ingress/egress rules.</w:t>
      </w:r>
    </w:p>
    <w:p>
      <w:pPr>
        <w:pStyle w:val="BodyText"/>
      </w:pPr>
      <w:r>
        <w:rPr>
          <w:b/>
          <w:bCs/>
        </w:rPr>
        <w:t xml:space="preserve">Cost optimization.</w:t>
      </w:r>
      <w:r>
        <w:t xml:space="preserve"> </w:t>
      </w:r>
      <w:r>
        <w:t xml:space="preserve">Primary value is risk reduction; minimize unnecessary perimeter fragmentation and operational toil.</w:t>
      </w:r>
    </w:p>
    <w:p>
      <w:pPr>
        <w:pStyle w:val="BodyText"/>
      </w:pPr>
      <w:r>
        <w:rPr>
          <w:b/>
          <w:bCs/>
        </w:rPr>
        <w:t xml:space="preserve">Pitfalls.</w:t>
      </w:r>
      <w:r>
        <w:t xml:space="preserve"> </w:t>
      </w:r>
      <w:r>
        <w:t xml:space="preserve">Enforcing before flow discovery and using broad wildcard rules.</w:t>
      </w:r>
    </w:p>
    <w:bookmarkEnd w:id="206"/>
    <w:bookmarkStart w:id="207" w:name="security-command-center-1"/>
    <w:p>
      <w:pPr>
        <w:pStyle w:val="Heading2"/>
        <w:keepNext/>
        <w:pageBreakBefore w:val="0"/>
      </w:pPr>
      <w:r>
        <w:t xml:space="preserve">13.12 Security Command Center</w:t>
      </w:r>
    </w:p>
    <w:p>
      <w:pPr>
        <w:pStyle w:val="FirstParagraph"/>
      </w:pPr>
      <w:r>
        <w:rPr>
          <w:b/>
          <w:bCs/>
        </w:rPr>
        <w:t xml:space="preserve">Purpose and role.</w:t>
      </w:r>
      <w:r>
        <w:t xml:space="preserve"> </w:t>
      </w:r>
      <w:r>
        <w:t xml:space="preserve">Centralizes cloud posture, asset, vulnerability and threat findings.</w:t>
      </w:r>
    </w:p>
    <w:p>
      <w:pPr>
        <w:pStyle w:val="BodyText"/>
      </w:pPr>
      <w:r>
        <w:rPr>
          <w:b/>
          <w:bCs/>
        </w:rPr>
        <w:t xml:space="preserve">Benefits.</w:t>
      </w:r>
      <w:r>
        <w:t xml:space="preserve"> </w:t>
      </w:r>
      <w:r>
        <w:t xml:space="preserve">Organization-wide visibility and integrated Google Cloud context.</w:t>
      </w:r>
    </w:p>
    <w:p>
      <w:pPr>
        <w:pStyle w:val="BodyText"/>
      </w:pPr>
      <w:r>
        <w:rPr>
          <w:b/>
          <w:bCs/>
        </w:rPr>
        <w:t xml:space="preserve">Limitations.</w:t>
      </w:r>
      <w:r>
        <w:t xml:space="preserve"> </w:t>
      </w:r>
      <w:r>
        <w:t xml:space="preserve">Finding quality depends on activation, tier, service coverage and ownership mapping.</w:t>
      </w:r>
    </w:p>
    <w:p>
      <w:pPr>
        <w:pStyle w:val="BodyText"/>
      </w:pPr>
      <w:r>
        <w:rPr>
          <w:b/>
          <w:bCs/>
        </w:rPr>
        <w:t xml:space="preserve">Alternatives.</w:t>
      </w:r>
      <w:r>
        <w:t xml:space="preserve"> </w:t>
      </w:r>
      <w:r>
        <w:t xml:space="preserve">Third-party CSPM/CNAPP or service-specific alerts.</w:t>
      </w:r>
    </w:p>
    <w:p>
      <w:pPr>
        <w:pStyle w:val="BodyText"/>
      </w:pPr>
      <w:r>
        <w:rPr>
          <w:b/>
          <w:bCs/>
        </w:rPr>
        <w:t xml:space="preserve">Security and monitoring.</w:t>
      </w:r>
      <w:r>
        <w:t xml:space="preserve"> </w:t>
      </w:r>
      <w:r>
        <w:t xml:space="preserve">Integrate with SIEM/SOAR, set remediation SLOs and govern suppressions.</w:t>
      </w:r>
    </w:p>
    <w:p>
      <w:pPr>
        <w:pStyle w:val="BodyText"/>
      </w:pPr>
      <w:r>
        <w:rPr>
          <w:b/>
          <w:bCs/>
        </w:rPr>
        <w:t xml:space="preserve">Cost optimization.</w:t>
      </w:r>
      <w:r>
        <w:t xml:space="preserve"> </w:t>
      </w:r>
      <w:r>
        <w:t xml:space="preserve">Select service tier according to risk and avoid duplicative integrations without purpose.</w:t>
      </w:r>
    </w:p>
    <w:p>
      <w:pPr>
        <w:pStyle w:val="BodyText"/>
      </w:pPr>
      <w:r>
        <w:rPr>
          <w:b/>
          <w:bCs/>
        </w:rPr>
        <w:t xml:space="preserve">Pitfalls.</w:t>
      </w:r>
      <w:r>
        <w:t xml:space="preserve"> </w:t>
      </w:r>
      <w:r>
        <w:t xml:space="preserve">Activating findings without a response operating model.</w:t>
      </w:r>
    </w:p>
    <w:bookmarkEnd w:id="207"/>
    <w:bookmarkStart w:id="208" w:name="secret-manager-1"/>
    <w:p>
      <w:pPr>
        <w:pStyle w:val="Heading2"/>
        <w:keepNext/>
        <w:pageBreakBefore w:val="0"/>
      </w:pPr>
      <w:r>
        <w:t xml:space="preserve">13.13 Secret Manager</w:t>
      </w:r>
    </w:p>
    <w:p>
      <w:pPr>
        <w:pStyle w:val="FirstParagraph"/>
      </w:pPr>
      <w:r>
        <w:rPr>
          <w:b/>
          <w:bCs/>
        </w:rPr>
        <w:t xml:space="preserve">Purpose and role.</w:t>
      </w:r>
      <w:r>
        <w:t xml:space="preserve"> </w:t>
      </w:r>
      <w:r>
        <w:t xml:space="preserve">Stores and versions secrets that cannot be replaced by identity federation.</w:t>
      </w:r>
    </w:p>
    <w:p>
      <w:pPr>
        <w:pStyle w:val="BodyText"/>
      </w:pPr>
      <w:r>
        <w:rPr>
          <w:b/>
          <w:bCs/>
        </w:rPr>
        <w:t xml:space="preserve">Benefits.</w:t>
      </w:r>
      <w:r>
        <w:t xml:space="preserve"> </w:t>
      </w:r>
      <w:r>
        <w:t xml:space="preserve">IAM-controlled access, replication, rotation support and auditability.</w:t>
      </w:r>
    </w:p>
    <w:p>
      <w:pPr>
        <w:pStyle w:val="BodyText"/>
      </w:pPr>
      <w:r>
        <w:rPr>
          <w:b/>
          <w:bCs/>
        </w:rPr>
        <w:t xml:space="preserve">Limitations.</w:t>
      </w:r>
      <w:r>
        <w:t xml:space="preserve"> </w:t>
      </w:r>
      <w:r>
        <w:t xml:space="preserve">Applications must implement safe retrieval, caching and rotation handling.</w:t>
      </w:r>
    </w:p>
    <w:p>
      <w:pPr>
        <w:pStyle w:val="BodyText"/>
      </w:pPr>
      <w:r>
        <w:rPr>
          <w:b/>
          <w:bCs/>
        </w:rPr>
        <w:t xml:space="preserve">Alternatives.</w:t>
      </w:r>
      <w:r>
        <w:t xml:space="preserve"> </w:t>
      </w:r>
      <w:r>
        <w:t xml:space="preserve">External vault or workload-native credentials.</w:t>
      </w:r>
    </w:p>
    <w:p>
      <w:pPr>
        <w:pStyle w:val="BodyText"/>
      </w:pPr>
      <w:r>
        <w:rPr>
          <w:b/>
          <w:bCs/>
        </w:rPr>
        <w:t xml:space="preserve">Security and monitoring.</w:t>
      </w:r>
      <w:r>
        <w:t xml:space="preserve"> </w:t>
      </w:r>
      <w:r>
        <w:t xml:space="preserve">Narrow access, access logging, rotation and disabled-before-destroy lifecycle.</w:t>
      </w:r>
    </w:p>
    <w:p>
      <w:pPr>
        <w:pStyle w:val="BodyText"/>
      </w:pPr>
      <w:r>
        <w:rPr>
          <w:b/>
          <w:bCs/>
        </w:rPr>
        <w:t xml:space="preserve">Cost optimization.</w:t>
      </w:r>
      <w:r>
        <w:t xml:space="preserve"> </w:t>
      </w:r>
      <w:r>
        <w:t xml:space="preserve">Remove unused versions and avoid polling excessively.</w:t>
      </w:r>
    </w:p>
    <w:p>
      <w:pPr>
        <w:pStyle w:val="BodyText"/>
      </w:pPr>
      <w:r>
        <w:rPr>
          <w:b/>
          <w:bCs/>
        </w:rPr>
        <w:t xml:space="preserve">Pitfalls.</w:t>
      </w:r>
      <w:r>
        <w:t xml:space="preserve"> </w:t>
      </w:r>
      <w:r>
        <w:t xml:space="preserve">Storing ordinary configuration, granting project-wide secret access and embedding payloads in CI logs.</w:t>
      </w:r>
    </w:p>
    <w:bookmarkEnd w:id="208"/>
    <w:bookmarkStart w:id="209" w:name="cloud-kms-and-cloud-hsm"/>
    <w:p>
      <w:pPr>
        <w:pStyle w:val="Heading2"/>
        <w:keepNext/>
        <w:pageBreakBefore w:val="0"/>
      </w:pPr>
      <w:r>
        <w:t xml:space="preserve">13.14 Cloud KMS and Cloud HSM</w:t>
      </w:r>
    </w:p>
    <w:p>
      <w:pPr>
        <w:pStyle w:val="FirstParagraph"/>
      </w:pPr>
      <w:r>
        <w:rPr>
          <w:b/>
          <w:bCs/>
        </w:rPr>
        <w:t xml:space="preserve">Purpose and role.</w:t>
      </w:r>
      <w:r>
        <w:t xml:space="preserve"> </w:t>
      </w:r>
      <w:r>
        <w:t xml:space="preserve">Manage cryptographic keys and hardware-backed key material for protected services.</w:t>
      </w:r>
    </w:p>
    <w:p>
      <w:pPr>
        <w:pStyle w:val="BodyText"/>
      </w:pPr>
      <w:r>
        <w:rPr>
          <w:b/>
          <w:bCs/>
        </w:rPr>
        <w:t xml:space="preserve">Benefits.</w:t>
      </w:r>
      <w:r>
        <w:t xml:space="preserve"> </w:t>
      </w:r>
      <w:r>
        <w:t xml:space="preserve">Central lifecycle, IAM, rotation, audit and service integrations.</w:t>
      </w:r>
    </w:p>
    <w:p>
      <w:pPr>
        <w:pStyle w:val="BodyText"/>
      </w:pPr>
      <w:r>
        <w:rPr>
          <w:b/>
          <w:bCs/>
        </w:rPr>
        <w:t xml:space="preserve">Limitations.</w:t>
      </w:r>
      <w:r>
        <w:t xml:space="preserve"> </w:t>
      </w:r>
      <w:r>
        <w:t xml:space="preserve">Customer operational responsibility and service/region compatibility.</w:t>
      </w:r>
    </w:p>
    <w:p>
      <w:pPr>
        <w:pStyle w:val="BodyText"/>
      </w:pPr>
      <w:r>
        <w:rPr>
          <w:b/>
          <w:bCs/>
        </w:rPr>
        <w:t xml:space="preserve">Alternatives.</w:t>
      </w:r>
      <w:r>
        <w:t xml:space="preserve"> </w:t>
      </w:r>
      <w:r>
        <w:t xml:space="preserve">Google-managed encryption or external key management.</w:t>
      </w:r>
    </w:p>
    <w:p>
      <w:pPr>
        <w:pStyle w:val="BodyText"/>
      </w:pPr>
      <w:r>
        <w:rPr>
          <w:b/>
          <w:bCs/>
        </w:rPr>
        <w:t xml:space="preserve">Security and monitoring.</w:t>
      </w:r>
      <w:r>
        <w:t xml:space="preserve"> </w:t>
      </w:r>
      <w:r>
        <w:t xml:space="preserve">Separate key and data administration, monitor use and policy changes, test rotation and recovery.</w:t>
      </w:r>
    </w:p>
    <w:p>
      <w:pPr>
        <w:pStyle w:val="BodyText"/>
      </w:pPr>
      <w:r>
        <w:rPr>
          <w:b/>
          <w:bCs/>
        </w:rPr>
        <w:t xml:space="preserve">Cost optimization.</w:t>
      </w:r>
      <w:r>
        <w:t xml:space="preserve"> </w:t>
      </w:r>
      <w:r>
        <w:t xml:space="preserve">Apply HSM and CMEK based on classification, not indiscriminately.</w:t>
      </w:r>
    </w:p>
    <w:p>
      <w:pPr>
        <w:pStyle w:val="BodyText"/>
      </w:pPr>
      <w:r>
        <w:rPr>
          <w:b/>
          <w:bCs/>
        </w:rPr>
        <w:t xml:space="preserve">Pitfalls.</w:t>
      </w:r>
      <w:r>
        <w:t xml:space="preserve"> </w:t>
      </w:r>
      <w:r>
        <w:t xml:space="preserve">Key project in same administrative boundary as data, missing service-agent grants and destructive key actions without safeguards.</w:t>
      </w:r>
    </w:p>
    <w:bookmarkEnd w:id="209"/>
    <w:bookmarkStart w:id="210" w:name="cloud-logging"/>
    <w:p>
      <w:pPr>
        <w:pStyle w:val="Heading2"/>
        <w:keepNext/>
        <w:pageBreakBefore w:val="0"/>
      </w:pPr>
      <w:r>
        <w:t xml:space="preserve">13.15 Cloud Logging</w:t>
      </w:r>
    </w:p>
    <w:p>
      <w:pPr>
        <w:pStyle w:val="FirstParagraph"/>
      </w:pPr>
      <w:r>
        <w:rPr>
          <w:b/>
          <w:bCs/>
        </w:rPr>
        <w:t xml:space="preserve">Purpose and role.</w:t>
      </w:r>
      <w:r>
        <w:t xml:space="preserve"> </w:t>
      </w:r>
      <w:r>
        <w:t xml:space="preserve">Collects, routes, stores and analyzes platform and audit logs.</w:t>
      </w:r>
    </w:p>
    <w:p>
      <w:pPr>
        <w:pStyle w:val="BodyText"/>
      </w:pPr>
      <w:r>
        <w:rPr>
          <w:b/>
          <w:bCs/>
        </w:rPr>
        <w:t xml:space="preserve">Benefits.</w:t>
      </w:r>
      <w:r>
        <w:t xml:space="preserve"> </w:t>
      </w:r>
      <w:r>
        <w:t xml:space="preserve">Native service integration, aggregated sinks, log buckets, views and alerting.</w:t>
      </w:r>
    </w:p>
    <w:p>
      <w:pPr>
        <w:pStyle w:val="BodyText"/>
      </w:pPr>
      <w:r>
        <w:rPr>
          <w:b/>
          <w:bCs/>
        </w:rPr>
        <w:t xml:space="preserve">Limitations.</w:t>
      </w:r>
      <w:r>
        <w:t xml:space="preserve"> </w:t>
      </w:r>
      <w:r>
        <w:t xml:space="preserve">High-volume logs can create material storage and query cost.</w:t>
      </w:r>
    </w:p>
    <w:p>
      <w:pPr>
        <w:pStyle w:val="BodyText"/>
      </w:pPr>
      <w:r>
        <w:rPr>
          <w:b/>
          <w:bCs/>
        </w:rPr>
        <w:t xml:space="preserve">Alternatives.</w:t>
      </w:r>
      <w:r>
        <w:t xml:space="preserve"> </w:t>
      </w:r>
      <w:r>
        <w:t xml:space="preserve">Third-party log platform with export, though native audit collection remains foundational.</w:t>
      </w:r>
    </w:p>
    <w:p>
      <w:pPr>
        <w:pStyle w:val="BodyText"/>
      </w:pPr>
      <w:r>
        <w:rPr>
          <w:b/>
          <w:bCs/>
        </w:rPr>
        <w:t xml:space="preserve">Security and monitoring.</w:t>
      </w:r>
      <w:r>
        <w:t xml:space="preserve"> </w:t>
      </w:r>
      <w:r>
        <w:t xml:space="preserve">Protected buckets, route health alerts, least-privilege views and retention controls.</w:t>
      </w:r>
    </w:p>
    <w:p>
      <w:pPr>
        <w:pStyle w:val="BodyText"/>
      </w:pPr>
      <w:r>
        <w:rPr>
          <w:b/>
          <w:bCs/>
        </w:rPr>
        <w:t xml:space="preserve">Cost optimization.</w:t>
      </w:r>
      <w:r>
        <w:t xml:space="preserve"> </w:t>
      </w:r>
      <w:r>
        <w:t xml:space="preserve">Tier retention, use justified exclusions and avoid duplicate exports.</w:t>
      </w:r>
    </w:p>
    <w:p>
      <w:pPr>
        <w:pStyle w:val="BodyText"/>
      </w:pPr>
      <w:r>
        <w:rPr>
          <w:b/>
          <w:bCs/>
        </w:rPr>
        <w:t xml:space="preserve">Pitfalls.</w:t>
      </w:r>
      <w:r>
        <w:t xml:space="preserve"> </w:t>
      </w:r>
      <w:r>
        <w:t xml:space="preserve">Disabling high-value logs solely for cost and granting broad log-view access.</w:t>
      </w:r>
    </w:p>
    <w:bookmarkEnd w:id="210"/>
    <w:bookmarkStart w:id="211" w:name="cloud-monitoring"/>
    <w:p>
      <w:pPr>
        <w:pStyle w:val="Heading2"/>
        <w:keepNext/>
        <w:pageBreakBefore w:val="0"/>
      </w:pPr>
      <w:r>
        <w:t xml:space="preserve">13.16 Cloud Monitoring</w:t>
      </w:r>
    </w:p>
    <w:p>
      <w:pPr>
        <w:pStyle w:val="FirstParagraph"/>
      </w:pPr>
      <w:r>
        <w:rPr>
          <w:b/>
          <w:bCs/>
        </w:rPr>
        <w:t xml:space="preserve">Purpose and role.</w:t>
      </w:r>
      <w:r>
        <w:t xml:space="preserve"> </w:t>
      </w:r>
      <w:r>
        <w:t xml:space="preserve">Provides metrics, dashboards, alerting and SLO monitoring.</w:t>
      </w:r>
    </w:p>
    <w:p>
      <w:pPr>
        <w:pStyle w:val="BodyText"/>
      </w:pPr>
      <w:r>
        <w:rPr>
          <w:b/>
          <w:bCs/>
        </w:rPr>
        <w:t xml:space="preserve">Benefits.</w:t>
      </w:r>
      <w:r>
        <w:t xml:space="preserve"> </w:t>
      </w:r>
      <w:r>
        <w:t xml:space="preserve">Native Google Cloud telemetry and cross-project metrics scopes.</w:t>
      </w:r>
    </w:p>
    <w:p>
      <w:pPr>
        <w:pStyle w:val="BodyText"/>
      </w:pPr>
      <w:r>
        <w:rPr>
          <w:b/>
          <w:bCs/>
        </w:rPr>
        <w:t xml:space="preserve">Limitations.</w:t>
      </w:r>
      <w:r>
        <w:t xml:space="preserve"> </w:t>
      </w:r>
      <w:r>
        <w:t xml:space="preserve">Custom metrics and alert design require governance to avoid cost and noise.</w:t>
      </w:r>
    </w:p>
    <w:p>
      <w:pPr>
        <w:pStyle w:val="BodyText"/>
      </w:pPr>
      <w:r>
        <w:rPr>
          <w:b/>
          <w:bCs/>
        </w:rPr>
        <w:t xml:space="preserve">Alternatives.</w:t>
      </w:r>
      <w:r>
        <w:t xml:space="preserve"> </w:t>
      </w:r>
      <w:r>
        <w:t xml:space="preserve">External observability platform or Prometheus-based stacks.</w:t>
      </w:r>
    </w:p>
    <w:p>
      <w:pPr>
        <w:pStyle w:val="BodyText"/>
      </w:pPr>
      <w:r>
        <w:rPr>
          <w:b/>
          <w:bCs/>
        </w:rPr>
        <w:t xml:space="preserve">Security and monitoring.</w:t>
      </w:r>
      <w:r>
        <w:t xml:space="preserve"> </w:t>
      </w:r>
      <w:r>
        <w:t xml:space="preserve">Separate metric writers/readers, standardize alert routing and test notifications.</w:t>
      </w:r>
    </w:p>
    <w:p>
      <w:pPr>
        <w:pStyle w:val="BodyText"/>
      </w:pPr>
      <w:r>
        <w:rPr>
          <w:b/>
          <w:bCs/>
        </w:rPr>
        <w:t xml:space="preserve">Cost optimization.</w:t>
      </w:r>
      <w:r>
        <w:t xml:space="preserve"> </w:t>
      </w:r>
      <w:r>
        <w:t xml:space="preserve">Control custom metric cardinality and dashboard duplication.</w:t>
      </w:r>
    </w:p>
    <w:p>
      <w:pPr>
        <w:pStyle w:val="BodyText"/>
      </w:pPr>
      <w:r>
        <w:rPr>
          <w:b/>
          <w:bCs/>
        </w:rPr>
        <w:t xml:space="preserve">Pitfalls.</w:t>
      </w:r>
      <w:r>
        <w:t xml:space="preserve"> </w:t>
      </w:r>
      <w:r>
        <w:t xml:space="preserve">Alerts without runbooks, ownership or actionable thresholds.</w:t>
      </w:r>
    </w:p>
    <w:bookmarkEnd w:id="211"/>
    <w:bookmarkEnd w:id="212"/>
    <w:bookmarkStart w:id="215" w:name="operating-model-and-raci"/>
    <w:p>
      <w:pPr>
        <w:pStyle w:val="Heading1"/>
        <w:keepNext/>
        <w:pageBreakBefore w:val="0"/>
      </w:pPr>
      <w:r>
        <w:t xml:space="preserve">14. Operating Model and RACI</w:t>
      </w:r>
    </w:p>
    <w:bookmarkStart w:id="213" w:name="responsibility-model"/>
    <w:p>
      <w:pPr>
        <w:pStyle w:val="Heading2"/>
        <w:keepNext/>
        <w:pageBreakBefore w:val="0"/>
      </w:pPr>
      <w:r>
        <w:t xml:space="preserve">14.1 Responsibility model</w:t>
      </w:r>
    </w:p>
    <w:tbl>
      <w:tblPr>
        <w:tblStyle w:val="LightShading-Accent1"/>
        <w:tblW w:type="pct" w:w="5000"/>
        <w:jc w:val="center"/>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Capability</w:t>
            </w:r>
          </w:p>
        </w:tc>
        <w:tc>
          <w:tcPr>
            <w:vAlign w:val="center"/>
            <w:tcMar>
              <w:top w:w="70" w:type="dxa"/>
              <w:left w:w="85" w:type="dxa"/>
              <w:bottom w:w="70" w:type="dxa"/>
              <w:right w:w="85" w:type="dxa"/>
            </w:tcMar>
          </w:tcPr>
          <w:p>
            <w:pPr>
              <w:spacing w:after="30" w:before="0"/>
              <w:jc w:val="left"/>
            </w:pPr>
            <w:r>
              <w:rPr>
                <w:rFonts w:ascii="Arial" w:hAnsi="Arial"/>
                <w:b/>
                <w:sz w:val="16"/>
              </w:rPr>
              <w:t xml:space="preserve">Cloud platform</w:t>
            </w:r>
          </w:p>
        </w:tc>
        <w:tc>
          <w:tcPr>
            <w:vAlign w:val="center"/>
            <w:tcMar>
              <w:top w:w="70" w:type="dxa"/>
              <w:left w:w="85" w:type="dxa"/>
              <w:bottom w:w="70" w:type="dxa"/>
              <w:right w:w="85" w:type="dxa"/>
            </w:tcMar>
          </w:tcPr>
          <w:p>
            <w:pPr>
              <w:spacing w:after="30" w:before="0"/>
              <w:jc w:val="left"/>
            </w:pPr>
            <w:r>
              <w:rPr>
                <w:rFonts w:ascii="Arial" w:hAnsi="Arial"/>
                <w:b/>
                <w:sz w:val="16"/>
              </w:rPr>
              <w:t xml:space="preserve">Network</w:t>
            </w:r>
          </w:p>
        </w:tc>
        <w:tc>
          <w:tcPr>
            <w:vAlign w:val="center"/>
            <w:tcMar>
              <w:top w:w="70" w:type="dxa"/>
              <w:left w:w="85" w:type="dxa"/>
              <w:bottom w:w="70" w:type="dxa"/>
              <w:right w:w="85" w:type="dxa"/>
            </w:tcMar>
          </w:tcPr>
          <w:p>
            <w:pPr>
              <w:spacing w:after="30" w:before="0"/>
              <w:jc w:val="left"/>
            </w:pPr>
            <w:r>
              <w:rPr>
                <w:rFonts w:ascii="Arial" w:hAnsi="Arial"/>
                <w:b/>
                <w:sz w:val="16"/>
              </w:rPr>
              <w:t xml:space="preserve">Security</w:t>
            </w:r>
          </w:p>
        </w:tc>
        <w:tc>
          <w:tcPr>
            <w:vAlign w:val="center"/>
            <w:tcMar>
              <w:top w:w="70" w:type="dxa"/>
              <w:left w:w="85" w:type="dxa"/>
              <w:bottom w:w="70" w:type="dxa"/>
              <w:right w:w="85" w:type="dxa"/>
            </w:tcMar>
          </w:tcPr>
          <w:p>
            <w:pPr>
              <w:spacing w:after="30" w:before="0"/>
              <w:jc w:val="left"/>
            </w:pPr>
            <w:r>
              <w:rPr>
                <w:rFonts w:ascii="Arial" w:hAnsi="Arial"/>
                <w:b/>
                <w:sz w:val="16"/>
              </w:rPr>
              <w:t xml:space="preserve">Identity</w:t>
            </w:r>
          </w:p>
        </w:tc>
        <w:tc>
          <w:tcPr>
            <w:vAlign w:val="center"/>
            <w:tcMar>
              <w:top w:w="70" w:type="dxa"/>
              <w:left w:w="85" w:type="dxa"/>
              <w:bottom w:w="70" w:type="dxa"/>
              <w:right w:w="85" w:type="dxa"/>
            </w:tcMar>
          </w:tcPr>
          <w:p>
            <w:pPr>
              <w:spacing w:after="30" w:before="0"/>
              <w:jc w:val="left"/>
            </w:pPr>
            <w:r>
              <w:rPr>
                <w:rFonts w:ascii="Arial" w:hAnsi="Arial"/>
                <w:b/>
                <w:sz w:val="16"/>
              </w:rPr>
              <w:t xml:space="preserve">Domain team</w:t>
            </w:r>
          </w:p>
        </w:tc>
        <w:tc>
          <w:tcPr>
            <w:vAlign w:val="center"/>
            <w:tcMar>
              <w:top w:w="70" w:type="dxa"/>
              <w:left w:w="85" w:type="dxa"/>
              <w:bottom w:w="70" w:type="dxa"/>
              <w:right w:w="85" w:type="dxa"/>
            </w:tcMar>
          </w:tcPr>
          <w:p>
            <w:pPr>
              <w:spacing w:after="30" w:before="0"/>
              <w:jc w:val="left"/>
            </w:pPr>
            <w:r>
              <w:rPr>
                <w:rFonts w:ascii="Arial" w:hAnsi="Arial"/>
                <w:b/>
                <w:sz w:val="16"/>
              </w:rPr>
              <w:t xml:space="preserve">SRE/Operations</w:t>
            </w:r>
          </w:p>
        </w:tc>
        <w:tc>
          <w:tcPr>
            <w:vAlign w:val="center"/>
            <w:tcMar>
              <w:top w:w="70" w:type="dxa"/>
              <w:left w:w="85" w:type="dxa"/>
              <w:bottom w:w="70" w:type="dxa"/>
              <w:right w:w="85" w:type="dxa"/>
            </w:tcMar>
          </w:tcPr>
          <w:p>
            <w:pPr>
              <w:spacing w:after="30" w:before="0"/>
              <w:jc w:val="left"/>
            </w:pPr>
            <w:r>
              <w:rPr>
                <w:rFonts w:ascii="Arial" w:hAnsi="Arial"/>
                <w:b/>
                <w:sz w:val="16"/>
              </w:rPr>
              <w:t xml:space="preserve">FinOps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Organization hierarchy</w:t>
            </w:r>
          </w:p>
        </w:tc>
        <w:tc>
          <w:tcPr>
            <w:vAlign w:val="center"/>
            <w:tcMar>
              <w:top w:w="70" w:type="dxa"/>
              <w:left w:w="85" w:type="dxa"/>
              <w:bottom w:w="70" w:type="dxa"/>
              <w:right w:w="85" w:type="dxa"/>
            </w:tcMar>
          </w:tcPr>
          <w:p>
            <w:pPr>
              <w:spacing w:after="30" w:before="0"/>
              <w:jc w:val="left"/>
            </w:pPr>
            <w:r>
              <w:rPr>
                <w:rFonts w:ascii="Arial" w:hAnsi="Arial"/>
                <w:sz w:val="16"/>
              </w:rPr>
              <w:t xml:space="preserve">A/R</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Project factory</w:t>
            </w:r>
          </w:p>
        </w:tc>
        <w:tc>
          <w:tcPr>
            <w:vAlign w:val="center"/>
            <w:tcMar>
              <w:top w:w="70" w:type="dxa"/>
              <w:left w:w="85" w:type="dxa"/>
              <w:bottom w:w="70" w:type="dxa"/>
              <w:right w:w="85" w:type="dxa"/>
            </w:tcMar>
          </w:tcPr>
          <w:p>
            <w:pPr>
              <w:spacing w:after="30" w:before="0"/>
              <w:jc w:val="left"/>
            </w:pPr>
            <w:r>
              <w:rPr>
                <w:rFonts w:ascii="Arial" w:hAnsi="Arial"/>
                <w:sz w:val="16"/>
              </w:rPr>
              <w:t xml:space="preserve">A/R</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Shared VPC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A/R</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Hybrid connectivity</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c>
          <w:tcPr>
            <w:vAlign w:val="center"/>
            <w:tcMar>
              <w:top w:w="70" w:type="dxa"/>
              <w:left w:w="85" w:type="dxa"/>
              <w:bottom w:w="70" w:type="dxa"/>
              <w:right w:w="85" w:type="dxa"/>
            </w:tcMar>
          </w:tcPr>
          <w:p>
            <w:pPr>
              <w:spacing w:after="30" w:before="0"/>
              <w:jc w:val="left"/>
            </w:pPr>
            <w:r>
              <w:rPr>
                <w:rFonts w:ascii="Arial" w:hAnsi="Arial"/>
                <w:sz w:val="16"/>
              </w:rPr>
              <w:t xml:space="preserve">A/R</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IAM standards</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c>
          <w:tcPr>
            <w:vAlign w:val="center"/>
            <w:tcMar>
              <w:top w:w="70" w:type="dxa"/>
              <w:left w:w="85" w:type="dxa"/>
              <w:bottom w:w="70" w:type="dxa"/>
              <w:right w:w="85" w:type="dxa"/>
            </w:tcMar>
          </w:tcPr>
          <w:p>
            <w:pPr>
              <w:spacing w:after="30" w:before="0"/>
              <w:jc w:val="left"/>
            </w:pPr>
            <w:r>
              <w:rPr>
                <w:rFonts w:ascii="Arial" w:hAnsi="Arial"/>
                <w:sz w:val="16"/>
              </w:rPr>
              <w:t xml:space="preserve">A</w:t>
            </w:r>
          </w:p>
        </w:tc>
        <w:tc>
          <w:tcPr>
            <w:vAlign w:val="center"/>
            <w:tcMar>
              <w:top w:w="70" w:type="dxa"/>
              <w:left w:w="85" w:type="dxa"/>
              <w:bottom w:w="70" w:type="dxa"/>
              <w:right w:w="85" w:type="dxa"/>
            </w:tcMar>
          </w:tcPr>
          <w:p>
            <w:pPr>
              <w:spacing w:after="30" w:before="0"/>
              <w:jc w:val="left"/>
            </w:pPr>
            <w:r>
              <w:rPr>
                <w:rFonts w:ascii="Arial" w:hAnsi="Arial"/>
                <w:sz w:val="16"/>
              </w:rPr>
              <w:t xml:space="preserve">R</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Organization policy</w:t>
            </w:r>
          </w:p>
        </w:tc>
        <w:tc>
          <w:tcPr>
            <w:vAlign w:val="center"/>
            <w:tcMar>
              <w:top w:w="70" w:type="dxa"/>
              <w:left w:w="85" w:type="dxa"/>
              <w:bottom w:w="70" w:type="dxa"/>
              <w:right w:w="85" w:type="dxa"/>
            </w:tcMar>
          </w:tcPr>
          <w:p>
            <w:pPr>
              <w:spacing w:after="30" w:before="0"/>
              <w:jc w:val="left"/>
            </w:pPr>
            <w:r>
              <w:rPr>
                <w:rFonts w:ascii="Arial" w:hAnsi="Arial"/>
                <w:sz w:val="16"/>
              </w:rPr>
              <w:t xml:space="preserve">R</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A</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VPC Service Controls</w:t>
            </w:r>
          </w:p>
        </w:tc>
        <w:tc>
          <w:tcPr>
            <w:vAlign w:val="center"/>
            <w:tcMar>
              <w:top w:w="70" w:type="dxa"/>
              <w:left w:w="85" w:type="dxa"/>
              <w:bottom w:w="70" w:type="dxa"/>
              <w:right w:w="85" w:type="dxa"/>
            </w:tcMar>
          </w:tcPr>
          <w:p>
            <w:pPr>
              <w:spacing w:after="30" w:before="0"/>
              <w:jc w:val="left"/>
            </w:pPr>
            <w:r>
              <w:rPr>
                <w:rFonts w:ascii="Arial" w:hAnsi="Arial"/>
                <w:sz w:val="16"/>
              </w:rPr>
              <w:t xml:space="preserve">R</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A</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Logging foundation</w:t>
            </w:r>
          </w:p>
        </w:tc>
        <w:tc>
          <w:tcPr>
            <w:vAlign w:val="center"/>
            <w:tcMar>
              <w:top w:w="70" w:type="dxa"/>
              <w:left w:w="85" w:type="dxa"/>
              <w:bottom w:w="70" w:type="dxa"/>
              <w:right w:w="85" w:type="dxa"/>
            </w:tcMar>
          </w:tcPr>
          <w:p>
            <w:pPr>
              <w:spacing w:after="30" w:before="0"/>
              <w:jc w:val="left"/>
            </w:pPr>
            <w:r>
              <w:rPr>
                <w:rFonts w:ascii="Arial" w:hAnsi="Arial"/>
                <w:sz w:val="16"/>
              </w:rPr>
              <w:t xml:space="preserve">R</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A</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Monitoring foundation</w:t>
            </w:r>
          </w:p>
        </w:tc>
        <w:tc>
          <w:tcPr>
            <w:vAlign w:val="center"/>
            <w:tcMar>
              <w:top w:w="70" w:type="dxa"/>
              <w:left w:w="85" w:type="dxa"/>
              <w:bottom w:w="70" w:type="dxa"/>
              <w:right w:w="85" w:type="dxa"/>
            </w:tcMar>
          </w:tcPr>
          <w:p>
            <w:pPr>
              <w:spacing w:after="30" w:before="0"/>
              <w:jc w:val="left"/>
            </w:pPr>
            <w:r>
              <w:rPr>
                <w:rFonts w:ascii="Arial" w:hAnsi="Arial"/>
                <w:sz w:val="16"/>
              </w:rPr>
              <w:t xml:space="preserve">R</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A</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KMS</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c>
          <w:tcPr>
            <w:vAlign w:val="center"/>
            <w:tcMar>
              <w:top w:w="70" w:type="dxa"/>
              <w:left w:w="85" w:type="dxa"/>
              <w:bottom w:w="70" w:type="dxa"/>
              <w:right w:w="85" w:type="dxa"/>
            </w:tcMar>
          </w:tcPr>
          <w:p>
            <w:pPr>
              <w:spacing w:after="30" w:before="0"/>
              <w:jc w:val="left"/>
            </w:pPr>
            <w:r>
              <w:rPr>
                <w:rFonts w:ascii="Arial" w:hAnsi="Arial"/>
                <w:sz w:val="16"/>
              </w:rPr>
              <w:t xml:space="preserve">A/R</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Cost allocation</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c>
          <w:tcPr>
            <w:vAlign w:val="center"/>
            <w:tcMar>
              <w:top w:w="70" w:type="dxa"/>
              <w:left w:w="85" w:type="dxa"/>
              <w:bottom w:w="70" w:type="dxa"/>
              <w:right w:w="85" w:type="dxa"/>
            </w:tcMar>
          </w:tcPr>
          <w:p>
            <w:pPr>
              <w:spacing w:after="30" w:before="0"/>
              <w:jc w:val="left"/>
            </w:pPr>
            <w:r>
              <w:rPr>
                <w:rFonts w:ascii="Arial" w:hAnsi="Arial"/>
                <w:sz w:val="16"/>
              </w:rPr>
              <w:t xml:space="preserve">I</w:t>
            </w:r>
          </w:p>
        </w:tc>
        <w:tc>
          <w:tcPr>
            <w:vAlign w:val="center"/>
            <w:tcMar>
              <w:top w:w="70" w:type="dxa"/>
              <w:left w:w="85" w:type="dxa"/>
              <w:bottom w:w="70" w:type="dxa"/>
              <w:right w:w="85" w:type="dxa"/>
            </w:tcMar>
          </w:tcPr>
          <w:p>
            <w:pPr>
              <w:spacing w:after="30" w:before="0"/>
              <w:jc w:val="left"/>
            </w:pPr>
            <w:r>
              <w:rPr>
                <w:rFonts w:ascii="Arial" w:hAnsi="Arial"/>
                <w:sz w:val="16"/>
              </w:rPr>
              <w:t xml:space="preserve">R</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A</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Workload onboarding</w:t>
            </w:r>
          </w:p>
        </w:tc>
        <w:tc>
          <w:tcPr>
            <w:vAlign w:val="center"/>
            <w:tcMar>
              <w:top w:w="70" w:type="dxa"/>
              <w:left w:w="85" w:type="dxa"/>
              <w:bottom w:w="70" w:type="dxa"/>
              <w:right w:w="85" w:type="dxa"/>
            </w:tcMar>
          </w:tcPr>
          <w:p>
            <w:pPr>
              <w:spacing w:after="30" w:before="0"/>
              <w:jc w:val="left"/>
            </w:pPr>
            <w:r>
              <w:rPr>
                <w:rFonts w:ascii="Arial" w:hAnsi="Arial"/>
                <w:sz w:val="16"/>
              </w:rPr>
              <w:t xml:space="preserve">R</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A</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c>
          <w:tcPr>
            <w:vAlign w:val="center"/>
            <w:tcMar>
              <w:top w:w="70" w:type="dxa"/>
              <w:left w:w="85" w:type="dxa"/>
              <w:bottom w:w="70" w:type="dxa"/>
              <w:right w:w="85" w:type="dxa"/>
            </w:tcMar>
          </w:tcPr>
          <w:p>
            <w:pPr>
              <w:spacing w:after="30" w:before="0"/>
              <w:jc w:val="left"/>
            </w:pPr>
            <w:r>
              <w:rPr>
                <w:rFonts w:ascii="Arial" w:hAnsi="Arial"/>
                <w:sz w:val="16"/>
              </w:rPr>
              <w:t xml:space="preserve">C</w:t>
            </w:r>
          </w:p>
        </w:tc>
      </w:tr>
    </w:tbl>
    <w:p>
      <w:pPr>
        <w:pStyle w:val="BodyText"/>
      </w:pPr>
      <w:r>
        <w:t xml:space="preserve">A = Accountable, R = Responsible, C = Consulted, I = Informed.</w:t>
      </w:r>
    </w:p>
    <w:bookmarkEnd w:id="213"/>
    <w:bookmarkStart w:id="214" w:name="service-ownership"/>
    <w:p>
      <w:pPr>
        <w:pStyle w:val="Heading2"/>
        <w:keepNext/>
        <w:pageBreakBefore w:val="0"/>
      </w:pPr>
      <w:r>
        <w:t xml:space="preserve">14.2 Service ownership</w:t>
      </w:r>
    </w:p>
    <w:p>
      <w:pPr>
        <w:pStyle w:val="FirstParagraph"/>
      </w:pPr>
      <w:r>
        <w:t xml:space="preserve">Every landing-zone service has:</w:t>
      </w:r>
    </w:p>
    <w:p>
      <w:pPr>
        <w:pStyle w:val="Compact"/>
        <w:numPr>
          <w:ilvl w:val="0"/>
          <w:numId w:val="1042"/>
        </w:numPr>
      </w:pPr>
      <w:r>
        <w:t xml:space="preserve">Executive sponsor.</w:t>
      </w:r>
    </w:p>
    <w:p>
      <w:pPr>
        <w:pStyle w:val="Compact"/>
        <w:numPr>
          <w:ilvl w:val="0"/>
          <w:numId w:val="1042"/>
        </w:numPr>
      </w:pPr>
      <w:r>
        <w:t xml:space="preserve">Product owner.</w:t>
      </w:r>
    </w:p>
    <w:p>
      <w:pPr>
        <w:pStyle w:val="Compact"/>
        <w:numPr>
          <w:ilvl w:val="0"/>
          <w:numId w:val="1042"/>
        </w:numPr>
      </w:pPr>
      <w:r>
        <w:t xml:space="preserve">Technical owner.</w:t>
      </w:r>
    </w:p>
    <w:p>
      <w:pPr>
        <w:pStyle w:val="Compact"/>
        <w:numPr>
          <w:ilvl w:val="0"/>
          <w:numId w:val="1042"/>
        </w:numPr>
      </w:pPr>
      <w:r>
        <w:t xml:space="preserve">Security control owner.</w:t>
      </w:r>
    </w:p>
    <w:p>
      <w:pPr>
        <w:pStyle w:val="Compact"/>
        <w:numPr>
          <w:ilvl w:val="0"/>
          <w:numId w:val="1042"/>
        </w:numPr>
      </w:pPr>
      <w:r>
        <w:t xml:space="preserve">24x7 support owner where required.</w:t>
      </w:r>
    </w:p>
    <w:p>
      <w:pPr>
        <w:pStyle w:val="Compact"/>
        <w:numPr>
          <w:ilvl w:val="0"/>
          <w:numId w:val="1042"/>
        </w:numPr>
      </w:pPr>
      <w:r>
        <w:t xml:space="preserve">SLO and error budget.</w:t>
      </w:r>
    </w:p>
    <w:p>
      <w:pPr>
        <w:pStyle w:val="Compact"/>
        <w:numPr>
          <w:ilvl w:val="0"/>
          <w:numId w:val="1042"/>
        </w:numPr>
      </w:pPr>
      <w:r>
        <w:t xml:space="preserve">Roadmap and lifecycle.</w:t>
      </w:r>
    </w:p>
    <w:p>
      <w:pPr>
        <w:pStyle w:val="Compact"/>
        <w:numPr>
          <w:ilvl w:val="0"/>
          <w:numId w:val="1042"/>
        </w:numPr>
      </w:pPr>
      <w:r>
        <w:t xml:space="preserve">Cost owner.</w:t>
      </w:r>
    </w:p>
    <w:p>
      <w:pPr>
        <w:pStyle w:val="Compact"/>
        <w:numPr>
          <w:ilvl w:val="0"/>
          <w:numId w:val="1042"/>
        </w:numPr>
      </w:pPr>
      <w:r>
        <w:t xml:space="preserve">Runbook and escalation path.</w:t>
      </w:r>
    </w:p>
    <w:bookmarkEnd w:id="214"/>
    <w:bookmarkEnd w:id="215"/>
    <w:bookmarkStart w:id="216" w:name="risks-and-mitigations"/>
    <w:p>
      <w:pPr>
        <w:pStyle w:val="Heading1"/>
        <w:keepNext/>
        <w:pageBreakBefore w:val="0"/>
      </w:pPr>
      <w:r>
        <w:t xml:space="preserve">15. Risks and Mitigations</w:t>
      </w:r>
    </w:p>
    <w:tbl>
      <w:tblPr>
        <w:tblStyle w:val="LightShading-Accent1"/>
        <w:tblW w:type="pct" w:w="5000"/>
        <w:jc w:val="center"/>
        <w:tblLayout w:type="autofit"/>
        <w:tblLook w:firstRow="1" w:lastRow="0" w:firstColumn="0" w:lastColumn="0" w:noHBand="0" w:noVBand="0" w:val="0020"/>
      </w:tblPr>
      <w:tblGrid>
        <w:gridCol w:w="1397"/>
        <w:gridCol w:w="1397"/>
        <w:gridCol w:w="1863"/>
        <w:gridCol w:w="1863"/>
        <w:gridCol w:w="1397"/>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ID</w:t>
            </w:r>
          </w:p>
        </w:tc>
        <w:tc>
          <w:tcPr>
            <w:vAlign w:val="center"/>
            <w:tcMar>
              <w:top w:w="70" w:type="dxa"/>
              <w:left w:w="85" w:type="dxa"/>
              <w:bottom w:w="70" w:type="dxa"/>
              <w:right w:w="85" w:type="dxa"/>
            </w:tcMar>
          </w:tcPr>
          <w:p>
            <w:pPr>
              <w:spacing w:after="30" w:before="0"/>
              <w:jc w:val="left"/>
            </w:pPr>
            <w:r>
              <w:rPr>
                <w:rFonts w:ascii="Arial" w:hAnsi="Arial"/>
                <w:b/>
                <w:sz w:val="16"/>
              </w:rPr>
              <w:t xml:space="preserve">Risk</w:t>
            </w:r>
          </w:p>
        </w:tc>
        <w:tc>
          <w:tcPr>
            <w:vAlign w:val="center"/>
            <w:tcMar>
              <w:top w:w="70" w:type="dxa"/>
              <w:left w:w="85" w:type="dxa"/>
              <w:bottom w:w="70" w:type="dxa"/>
              <w:right w:w="85" w:type="dxa"/>
            </w:tcMar>
          </w:tcPr>
          <w:p>
            <w:pPr>
              <w:spacing w:after="30" w:before="0"/>
              <w:jc w:val="right"/>
            </w:pPr>
            <w:r>
              <w:rPr>
                <w:rFonts w:ascii="Arial" w:hAnsi="Arial"/>
                <w:b/>
                <w:sz w:val="16"/>
              </w:rPr>
              <w:t xml:space="preserve">Probability</w:t>
            </w:r>
          </w:p>
        </w:tc>
        <w:tc>
          <w:tcPr>
            <w:vAlign w:val="center"/>
            <w:tcMar>
              <w:top w:w="70" w:type="dxa"/>
              <w:left w:w="85" w:type="dxa"/>
              <w:bottom w:w="70" w:type="dxa"/>
              <w:right w:w="85" w:type="dxa"/>
            </w:tcMar>
          </w:tcPr>
          <w:p>
            <w:pPr>
              <w:spacing w:after="30" w:before="0"/>
              <w:jc w:val="right"/>
            </w:pPr>
            <w:r>
              <w:rPr>
                <w:rFonts w:ascii="Arial" w:hAnsi="Arial"/>
                <w:b/>
                <w:sz w:val="16"/>
              </w:rPr>
              <w:t xml:space="preserve">Impact</w:t>
            </w:r>
          </w:p>
        </w:tc>
        <w:tc>
          <w:tcPr>
            <w:vAlign w:val="center"/>
            <w:tcMar>
              <w:top w:w="70" w:type="dxa"/>
              <w:left w:w="85" w:type="dxa"/>
              <w:bottom w:w="70" w:type="dxa"/>
              <w:right w:w="85" w:type="dxa"/>
            </w:tcMar>
          </w:tcPr>
          <w:p>
            <w:pPr>
              <w:spacing w:after="30" w:before="0"/>
              <w:jc w:val="left"/>
            </w:pPr>
            <w:r>
              <w:rPr>
                <w:rFonts w:ascii="Arial" w:hAnsi="Arial"/>
                <w:b/>
                <w:sz w:val="16"/>
              </w:rPr>
              <w:t xml:space="preserve">Mitigation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LZ-R01</w:t>
            </w:r>
          </w:p>
        </w:tc>
        <w:tc>
          <w:tcPr>
            <w:vAlign w:val="center"/>
            <w:tcMar>
              <w:top w:w="70" w:type="dxa"/>
              <w:left w:w="85" w:type="dxa"/>
              <w:bottom w:w="70" w:type="dxa"/>
              <w:right w:w="85" w:type="dxa"/>
            </w:tcMar>
          </w:tcPr>
          <w:p>
            <w:pPr>
              <w:spacing w:after="30" w:before="0"/>
              <w:jc w:val="left"/>
            </w:pPr>
            <w:r>
              <w:rPr>
                <w:rFonts w:ascii="Arial" w:hAnsi="Arial"/>
                <w:sz w:val="16"/>
              </w:rPr>
              <w:t xml:space="preserve">Central platform becomes onboarding bottleneck</w:t>
            </w:r>
          </w:p>
        </w:tc>
        <w:tc>
          <w:tcPr>
            <w:vAlign w:val="center"/>
            <w:tcMar>
              <w:top w:w="70" w:type="dxa"/>
              <w:left w:w="85" w:type="dxa"/>
              <w:bottom w:w="70" w:type="dxa"/>
              <w:right w:w="85" w:type="dxa"/>
            </w:tcMar>
          </w:tcPr>
          <w:p>
            <w:pPr>
              <w:spacing w:after="30" w:before="0"/>
              <w:jc w:val="right"/>
            </w:pPr>
            <w:r>
              <w:rPr>
                <w:rFonts w:ascii="Arial" w:hAnsi="Arial"/>
                <w:sz w:val="16"/>
              </w:rPr>
              <w:t xml:space="preserve">Medium</w:t>
            </w:r>
          </w:p>
        </w:tc>
        <w:tc>
          <w:tcPr>
            <w:vAlign w:val="center"/>
            <w:tcMar>
              <w:top w:w="70" w:type="dxa"/>
              <w:left w:w="85" w:type="dxa"/>
              <w:bottom w:w="70" w:type="dxa"/>
              <w:right w:w="85" w:type="dxa"/>
            </w:tcMar>
          </w:tcPr>
          <w:p>
            <w:pPr>
              <w:spacing w:after="30" w:before="0"/>
              <w:jc w:val="right"/>
            </w:pPr>
            <w:r>
              <w:rPr>
                <w:rFonts w:ascii="Arial" w:hAnsi="Arial"/>
                <w:sz w:val="16"/>
              </w:rPr>
              <w:t xml:space="preserve">High</w:t>
            </w:r>
          </w:p>
        </w:tc>
        <w:tc>
          <w:tcPr>
            <w:vAlign w:val="center"/>
            <w:tcMar>
              <w:top w:w="70" w:type="dxa"/>
              <w:left w:w="85" w:type="dxa"/>
              <w:bottom w:w="70" w:type="dxa"/>
              <w:right w:w="85" w:type="dxa"/>
            </w:tcMar>
          </w:tcPr>
          <w:p>
            <w:pPr>
              <w:spacing w:after="30" w:before="0"/>
              <w:jc w:val="left"/>
            </w:pPr>
            <w:r>
              <w:rPr>
                <w:rFonts w:ascii="Arial" w:hAnsi="Arial"/>
                <w:sz w:val="16"/>
              </w:rPr>
              <w:t xml:space="preserve">Product factory, APIs, service catalog and SLOs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LZ-R02</w:t>
            </w:r>
          </w:p>
        </w:tc>
        <w:tc>
          <w:tcPr>
            <w:vAlign w:val="center"/>
            <w:tcMar>
              <w:top w:w="70" w:type="dxa"/>
              <w:left w:w="85" w:type="dxa"/>
              <w:bottom w:w="70" w:type="dxa"/>
              <w:right w:w="85" w:type="dxa"/>
            </w:tcMar>
          </w:tcPr>
          <w:p>
            <w:pPr>
              <w:spacing w:after="30" w:before="0"/>
              <w:jc w:val="left"/>
            </w:pPr>
            <w:r>
              <w:rPr>
                <w:rFonts w:ascii="Arial" w:hAnsi="Arial"/>
                <w:sz w:val="16"/>
              </w:rPr>
              <w:t xml:space="preserve">Organization policy disrupts legacy workloads</w:t>
            </w:r>
          </w:p>
        </w:tc>
        <w:tc>
          <w:tcPr>
            <w:vAlign w:val="center"/>
            <w:tcMar>
              <w:top w:w="70" w:type="dxa"/>
              <w:left w:w="85" w:type="dxa"/>
              <w:bottom w:w="70" w:type="dxa"/>
              <w:right w:w="85" w:type="dxa"/>
            </w:tcMar>
          </w:tcPr>
          <w:p>
            <w:pPr>
              <w:spacing w:after="30" w:before="0"/>
              <w:jc w:val="right"/>
            </w:pPr>
            <w:r>
              <w:rPr>
                <w:rFonts w:ascii="Arial" w:hAnsi="Arial"/>
                <w:sz w:val="16"/>
              </w:rPr>
              <w:t xml:space="preserve">Medium</w:t>
            </w:r>
          </w:p>
        </w:tc>
        <w:tc>
          <w:tcPr>
            <w:vAlign w:val="center"/>
            <w:tcMar>
              <w:top w:w="70" w:type="dxa"/>
              <w:left w:w="85" w:type="dxa"/>
              <w:bottom w:w="70" w:type="dxa"/>
              <w:right w:w="85" w:type="dxa"/>
            </w:tcMar>
          </w:tcPr>
          <w:p>
            <w:pPr>
              <w:spacing w:after="30" w:before="0"/>
              <w:jc w:val="right"/>
            </w:pPr>
            <w:r>
              <w:rPr>
                <w:rFonts w:ascii="Arial" w:hAnsi="Arial"/>
                <w:sz w:val="16"/>
              </w:rPr>
              <w:t xml:space="preserve">Critical</w:t>
            </w:r>
          </w:p>
        </w:tc>
        <w:tc>
          <w:tcPr>
            <w:vAlign w:val="center"/>
            <w:tcMar>
              <w:top w:w="70" w:type="dxa"/>
              <w:left w:w="85" w:type="dxa"/>
              <w:bottom w:w="70" w:type="dxa"/>
              <w:right w:w="85" w:type="dxa"/>
            </w:tcMar>
          </w:tcPr>
          <w:p>
            <w:pPr>
              <w:spacing w:after="30" w:before="0"/>
              <w:jc w:val="left"/>
            </w:pPr>
            <w:r>
              <w:rPr>
                <w:rFonts w:ascii="Arial" w:hAnsi="Arial"/>
                <w:sz w:val="16"/>
              </w:rPr>
              <w:t xml:space="preserve">Inventory, staged rollout, canaries and rollback</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LZ-R03</w:t>
            </w:r>
          </w:p>
        </w:tc>
        <w:tc>
          <w:tcPr>
            <w:vAlign w:val="center"/>
            <w:tcMar>
              <w:top w:w="70" w:type="dxa"/>
              <w:left w:w="85" w:type="dxa"/>
              <w:bottom w:w="70" w:type="dxa"/>
              <w:right w:w="85" w:type="dxa"/>
            </w:tcMar>
          </w:tcPr>
          <w:p>
            <w:pPr>
              <w:spacing w:after="30" w:before="0"/>
              <w:jc w:val="left"/>
            </w:pPr>
            <w:r>
              <w:rPr>
                <w:rFonts w:ascii="Arial" w:hAnsi="Arial"/>
                <w:sz w:val="16"/>
              </w:rPr>
              <w:t xml:space="preserve">Overlapping multi-cloud address space blocks routing</w:t>
            </w:r>
          </w:p>
        </w:tc>
        <w:tc>
          <w:tcPr>
            <w:vAlign w:val="center"/>
            <w:tcMar>
              <w:top w:w="70" w:type="dxa"/>
              <w:left w:w="85" w:type="dxa"/>
              <w:bottom w:w="70" w:type="dxa"/>
              <w:right w:w="85" w:type="dxa"/>
            </w:tcMar>
          </w:tcPr>
          <w:p>
            <w:pPr>
              <w:spacing w:after="30" w:before="0"/>
              <w:jc w:val="right"/>
            </w:pPr>
            <w:r>
              <w:rPr>
                <w:rFonts w:ascii="Arial" w:hAnsi="Arial"/>
                <w:sz w:val="16"/>
              </w:rPr>
              <w:t xml:space="preserve">High</w:t>
            </w:r>
          </w:p>
        </w:tc>
        <w:tc>
          <w:tcPr>
            <w:vAlign w:val="center"/>
            <w:tcMar>
              <w:top w:w="70" w:type="dxa"/>
              <w:left w:w="85" w:type="dxa"/>
              <w:bottom w:w="70" w:type="dxa"/>
              <w:right w:w="85" w:type="dxa"/>
            </w:tcMar>
          </w:tcPr>
          <w:p>
            <w:pPr>
              <w:spacing w:after="30" w:before="0"/>
              <w:jc w:val="right"/>
            </w:pPr>
            <w:r>
              <w:rPr>
                <w:rFonts w:ascii="Arial" w:hAnsi="Arial"/>
                <w:sz w:val="16"/>
              </w:rPr>
              <w:t xml:space="preserve">High</w:t>
            </w:r>
          </w:p>
        </w:tc>
        <w:tc>
          <w:tcPr>
            <w:vAlign w:val="center"/>
            <w:tcMar>
              <w:top w:w="70" w:type="dxa"/>
              <w:left w:w="85" w:type="dxa"/>
              <w:bottom w:w="70" w:type="dxa"/>
              <w:right w:w="85" w:type="dxa"/>
            </w:tcMar>
          </w:tcPr>
          <w:p>
            <w:pPr>
              <w:spacing w:after="30" w:before="0"/>
              <w:jc w:val="left"/>
            </w:pPr>
            <w:r>
              <w:rPr>
                <w:rFonts w:ascii="Arial" w:hAnsi="Arial"/>
                <w:sz w:val="16"/>
              </w:rPr>
              <w:t xml:space="preserve">Enterprise IPAM and service-level integration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LZ-R04</w:t>
            </w:r>
          </w:p>
        </w:tc>
        <w:tc>
          <w:tcPr>
            <w:vAlign w:val="center"/>
            <w:tcMar>
              <w:top w:w="70" w:type="dxa"/>
              <w:left w:w="85" w:type="dxa"/>
              <w:bottom w:w="70" w:type="dxa"/>
              <w:right w:w="85" w:type="dxa"/>
            </w:tcMar>
          </w:tcPr>
          <w:p>
            <w:pPr>
              <w:spacing w:after="30" w:before="0"/>
              <w:jc w:val="left"/>
            </w:pPr>
            <w:r>
              <w:rPr>
                <w:rFonts w:ascii="Arial" w:hAnsi="Arial"/>
                <w:sz w:val="16"/>
              </w:rPr>
              <w:t xml:space="preserve">VPC SC blocks valid managed-service flows</w:t>
            </w:r>
          </w:p>
        </w:tc>
        <w:tc>
          <w:tcPr>
            <w:vAlign w:val="center"/>
            <w:tcMar>
              <w:top w:w="70" w:type="dxa"/>
              <w:left w:w="85" w:type="dxa"/>
              <w:bottom w:w="70" w:type="dxa"/>
              <w:right w:w="85" w:type="dxa"/>
            </w:tcMar>
          </w:tcPr>
          <w:p>
            <w:pPr>
              <w:spacing w:after="30" w:before="0"/>
              <w:jc w:val="right"/>
            </w:pPr>
            <w:r>
              <w:rPr>
                <w:rFonts w:ascii="Arial" w:hAnsi="Arial"/>
                <w:sz w:val="16"/>
              </w:rPr>
              <w:t xml:space="preserve">Medium</w:t>
            </w:r>
          </w:p>
        </w:tc>
        <w:tc>
          <w:tcPr>
            <w:vAlign w:val="center"/>
            <w:tcMar>
              <w:top w:w="70" w:type="dxa"/>
              <w:left w:w="85" w:type="dxa"/>
              <w:bottom w:w="70" w:type="dxa"/>
              <w:right w:w="85" w:type="dxa"/>
            </w:tcMar>
          </w:tcPr>
          <w:p>
            <w:pPr>
              <w:spacing w:after="30" w:before="0"/>
              <w:jc w:val="right"/>
            </w:pPr>
            <w:r>
              <w:rPr>
                <w:rFonts w:ascii="Arial" w:hAnsi="Arial"/>
                <w:sz w:val="16"/>
              </w:rPr>
              <w:t xml:space="preserve">High</w:t>
            </w:r>
          </w:p>
        </w:tc>
        <w:tc>
          <w:tcPr>
            <w:vAlign w:val="center"/>
            <w:tcMar>
              <w:top w:w="70" w:type="dxa"/>
              <w:left w:w="85" w:type="dxa"/>
              <w:bottom w:w="70" w:type="dxa"/>
              <w:right w:w="85" w:type="dxa"/>
            </w:tcMar>
          </w:tcPr>
          <w:p>
            <w:pPr>
              <w:spacing w:after="30" w:before="0"/>
              <w:jc w:val="left"/>
            </w:pPr>
            <w:r>
              <w:rPr>
                <w:rFonts w:ascii="Arial" w:hAnsi="Arial"/>
                <w:sz w:val="16"/>
              </w:rPr>
              <w:t xml:space="preserve">Dry run, flow tests and narrow policies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LZ-R05</w:t>
            </w:r>
          </w:p>
        </w:tc>
        <w:tc>
          <w:tcPr>
            <w:vAlign w:val="center"/>
            <w:tcMar>
              <w:top w:w="70" w:type="dxa"/>
              <w:left w:w="85" w:type="dxa"/>
              <w:bottom w:w="70" w:type="dxa"/>
              <w:right w:w="85" w:type="dxa"/>
            </w:tcMar>
          </w:tcPr>
          <w:p>
            <w:pPr>
              <w:spacing w:after="30" w:before="0"/>
              <w:jc w:val="left"/>
            </w:pPr>
            <w:r>
              <w:rPr>
                <w:rFonts w:ascii="Arial" w:hAnsi="Arial"/>
                <w:sz w:val="16"/>
              </w:rPr>
              <w:t xml:space="preserve">Standing privileged access is compromised</w:t>
            </w:r>
          </w:p>
        </w:tc>
        <w:tc>
          <w:tcPr>
            <w:vAlign w:val="center"/>
            <w:tcMar>
              <w:top w:w="70" w:type="dxa"/>
              <w:left w:w="85" w:type="dxa"/>
              <w:bottom w:w="70" w:type="dxa"/>
              <w:right w:w="85" w:type="dxa"/>
            </w:tcMar>
          </w:tcPr>
          <w:p>
            <w:pPr>
              <w:spacing w:after="30" w:before="0"/>
              <w:jc w:val="right"/>
            </w:pPr>
            <w:r>
              <w:rPr>
                <w:rFonts w:ascii="Arial" w:hAnsi="Arial"/>
                <w:sz w:val="16"/>
              </w:rPr>
              <w:t xml:space="preserve">Medium</w:t>
            </w:r>
          </w:p>
        </w:tc>
        <w:tc>
          <w:tcPr>
            <w:vAlign w:val="center"/>
            <w:tcMar>
              <w:top w:w="70" w:type="dxa"/>
              <w:left w:w="85" w:type="dxa"/>
              <w:bottom w:w="70" w:type="dxa"/>
              <w:right w:w="85" w:type="dxa"/>
            </w:tcMar>
          </w:tcPr>
          <w:p>
            <w:pPr>
              <w:spacing w:after="30" w:before="0"/>
              <w:jc w:val="right"/>
            </w:pPr>
            <w:r>
              <w:rPr>
                <w:rFonts w:ascii="Arial" w:hAnsi="Arial"/>
                <w:sz w:val="16"/>
              </w:rPr>
              <w:t xml:space="preserve">Critical</w:t>
            </w:r>
          </w:p>
        </w:tc>
        <w:tc>
          <w:tcPr>
            <w:vAlign w:val="center"/>
            <w:tcMar>
              <w:top w:w="70" w:type="dxa"/>
              <w:left w:w="85" w:type="dxa"/>
              <w:bottom w:w="70" w:type="dxa"/>
              <w:right w:w="85" w:type="dxa"/>
            </w:tcMar>
          </w:tcPr>
          <w:p>
            <w:pPr>
              <w:spacing w:after="30" w:before="0"/>
              <w:jc w:val="left"/>
            </w:pPr>
            <w:r>
              <w:rPr>
                <w:rFonts w:ascii="Arial" w:hAnsi="Arial"/>
                <w:sz w:val="16"/>
              </w:rPr>
              <w:t xml:space="preserve">PAM, MFA, group reviews and break glass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LZ-R06</w:t>
            </w:r>
          </w:p>
        </w:tc>
        <w:tc>
          <w:tcPr>
            <w:vAlign w:val="center"/>
            <w:tcMar>
              <w:top w:w="70" w:type="dxa"/>
              <w:left w:w="85" w:type="dxa"/>
              <w:bottom w:w="70" w:type="dxa"/>
              <w:right w:w="85" w:type="dxa"/>
            </w:tcMar>
          </w:tcPr>
          <w:p>
            <w:pPr>
              <w:spacing w:after="30" w:before="0"/>
              <w:jc w:val="left"/>
            </w:pPr>
            <w:r>
              <w:rPr>
                <w:rFonts w:ascii="Arial" w:hAnsi="Arial"/>
                <w:sz w:val="16"/>
              </w:rPr>
              <w:t xml:space="preserve">Key mismanagement makes data unavailable</w:t>
            </w:r>
          </w:p>
        </w:tc>
        <w:tc>
          <w:tcPr>
            <w:vAlign w:val="center"/>
            <w:tcMar>
              <w:top w:w="70" w:type="dxa"/>
              <w:left w:w="85" w:type="dxa"/>
              <w:bottom w:w="70" w:type="dxa"/>
              <w:right w:w="85" w:type="dxa"/>
            </w:tcMar>
          </w:tcPr>
          <w:p>
            <w:pPr>
              <w:spacing w:after="30" w:before="0"/>
              <w:jc w:val="right"/>
            </w:pPr>
            <w:r>
              <w:rPr>
                <w:rFonts w:ascii="Arial" w:hAnsi="Arial"/>
                <w:sz w:val="16"/>
              </w:rPr>
              <w:t xml:space="preserve">Low</w:t>
            </w:r>
          </w:p>
        </w:tc>
        <w:tc>
          <w:tcPr>
            <w:vAlign w:val="center"/>
            <w:tcMar>
              <w:top w:w="70" w:type="dxa"/>
              <w:left w:w="85" w:type="dxa"/>
              <w:bottom w:w="70" w:type="dxa"/>
              <w:right w:w="85" w:type="dxa"/>
            </w:tcMar>
          </w:tcPr>
          <w:p>
            <w:pPr>
              <w:spacing w:after="30" w:before="0"/>
              <w:jc w:val="right"/>
            </w:pPr>
            <w:r>
              <w:rPr>
                <w:rFonts w:ascii="Arial" w:hAnsi="Arial"/>
                <w:sz w:val="16"/>
              </w:rPr>
              <w:t xml:space="preserve">Critical</w:t>
            </w:r>
          </w:p>
        </w:tc>
        <w:tc>
          <w:tcPr>
            <w:vAlign w:val="center"/>
            <w:tcMar>
              <w:top w:w="70" w:type="dxa"/>
              <w:left w:w="85" w:type="dxa"/>
              <w:bottom w:w="70" w:type="dxa"/>
              <w:right w:w="85" w:type="dxa"/>
            </w:tcMar>
          </w:tcPr>
          <w:p>
            <w:pPr>
              <w:spacing w:after="30" w:before="0"/>
              <w:jc w:val="left"/>
            </w:pPr>
            <w:r>
              <w:rPr>
                <w:rFonts w:ascii="Arial" w:hAnsi="Arial"/>
                <w:sz w:val="16"/>
              </w:rPr>
              <w:t xml:space="preserve">Separation, rotation tests, alerts and recovery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LZ-R07</w:t>
            </w:r>
          </w:p>
        </w:tc>
        <w:tc>
          <w:tcPr>
            <w:vAlign w:val="center"/>
            <w:tcMar>
              <w:top w:w="70" w:type="dxa"/>
              <w:left w:w="85" w:type="dxa"/>
              <w:bottom w:w="70" w:type="dxa"/>
              <w:right w:w="85" w:type="dxa"/>
            </w:tcMar>
          </w:tcPr>
          <w:p>
            <w:pPr>
              <w:spacing w:after="30" w:before="0"/>
              <w:jc w:val="left"/>
            </w:pPr>
            <w:r>
              <w:rPr>
                <w:rFonts w:ascii="Arial" w:hAnsi="Arial"/>
                <w:sz w:val="16"/>
              </w:rPr>
              <w:t xml:space="preserve">Central logging cost grows unexpectedly</w:t>
            </w:r>
          </w:p>
        </w:tc>
        <w:tc>
          <w:tcPr>
            <w:vAlign w:val="center"/>
            <w:tcMar>
              <w:top w:w="70" w:type="dxa"/>
              <w:left w:w="85" w:type="dxa"/>
              <w:bottom w:w="70" w:type="dxa"/>
              <w:right w:w="85" w:type="dxa"/>
            </w:tcMar>
          </w:tcPr>
          <w:p>
            <w:pPr>
              <w:spacing w:after="30" w:before="0"/>
              <w:jc w:val="right"/>
            </w:pPr>
            <w:r>
              <w:rPr>
                <w:rFonts w:ascii="Arial" w:hAnsi="Arial"/>
                <w:sz w:val="16"/>
              </w:rPr>
              <w:t xml:space="preserve">Medium</w:t>
            </w:r>
          </w:p>
        </w:tc>
        <w:tc>
          <w:tcPr>
            <w:vAlign w:val="center"/>
            <w:tcMar>
              <w:top w:w="70" w:type="dxa"/>
              <w:left w:w="85" w:type="dxa"/>
              <w:bottom w:w="70" w:type="dxa"/>
              <w:right w:w="85" w:type="dxa"/>
            </w:tcMar>
          </w:tcPr>
          <w:p>
            <w:pPr>
              <w:spacing w:after="30" w:before="0"/>
              <w:jc w:val="right"/>
            </w:pPr>
            <w:r>
              <w:rPr>
                <w:rFonts w:ascii="Arial" w:hAnsi="Arial"/>
                <w:sz w:val="16"/>
              </w:rPr>
              <w:t xml:space="preserve">Medium</w:t>
            </w:r>
          </w:p>
        </w:tc>
        <w:tc>
          <w:tcPr>
            <w:vAlign w:val="center"/>
            <w:tcMar>
              <w:top w:w="70" w:type="dxa"/>
              <w:left w:w="85" w:type="dxa"/>
              <w:bottom w:w="70" w:type="dxa"/>
              <w:right w:w="85" w:type="dxa"/>
            </w:tcMar>
          </w:tcPr>
          <w:p>
            <w:pPr>
              <w:spacing w:after="30" w:before="0"/>
              <w:jc w:val="left"/>
            </w:pPr>
            <w:r>
              <w:rPr>
                <w:rFonts w:ascii="Arial" w:hAnsi="Arial"/>
                <w:sz w:val="16"/>
              </w:rPr>
              <w:t xml:space="preserve">Retention tiers, exclusions governance and budgets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LZ-R08</w:t>
            </w:r>
          </w:p>
        </w:tc>
        <w:tc>
          <w:tcPr>
            <w:vAlign w:val="center"/>
            <w:tcMar>
              <w:top w:w="70" w:type="dxa"/>
              <w:left w:w="85" w:type="dxa"/>
              <w:bottom w:w="70" w:type="dxa"/>
              <w:right w:w="85" w:type="dxa"/>
            </w:tcMar>
          </w:tcPr>
          <w:p>
            <w:pPr>
              <w:spacing w:after="30" w:before="0"/>
              <w:jc w:val="left"/>
            </w:pPr>
            <w:r>
              <w:rPr>
                <w:rFonts w:ascii="Arial" w:hAnsi="Arial"/>
                <w:sz w:val="16"/>
              </w:rPr>
              <w:t xml:space="preserve">Hybrid carrier failure causes regional outage</w:t>
            </w:r>
          </w:p>
        </w:tc>
        <w:tc>
          <w:tcPr>
            <w:vAlign w:val="center"/>
            <w:tcMar>
              <w:top w:w="70" w:type="dxa"/>
              <w:left w:w="85" w:type="dxa"/>
              <w:bottom w:w="70" w:type="dxa"/>
              <w:right w:w="85" w:type="dxa"/>
            </w:tcMar>
          </w:tcPr>
          <w:p>
            <w:pPr>
              <w:spacing w:after="30" w:before="0"/>
              <w:jc w:val="right"/>
            </w:pPr>
            <w:r>
              <w:rPr>
                <w:rFonts w:ascii="Arial" w:hAnsi="Arial"/>
                <w:sz w:val="16"/>
              </w:rPr>
              <w:t xml:space="preserve">Medium</w:t>
            </w:r>
          </w:p>
        </w:tc>
        <w:tc>
          <w:tcPr>
            <w:vAlign w:val="center"/>
            <w:tcMar>
              <w:top w:w="70" w:type="dxa"/>
              <w:left w:w="85" w:type="dxa"/>
              <w:bottom w:w="70" w:type="dxa"/>
              <w:right w:w="85" w:type="dxa"/>
            </w:tcMar>
          </w:tcPr>
          <w:p>
            <w:pPr>
              <w:spacing w:after="30" w:before="0"/>
              <w:jc w:val="right"/>
            </w:pPr>
            <w:r>
              <w:rPr>
                <w:rFonts w:ascii="Arial" w:hAnsi="Arial"/>
                <w:sz w:val="16"/>
              </w:rPr>
              <w:t xml:space="preserve">High</w:t>
            </w:r>
          </w:p>
        </w:tc>
        <w:tc>
          <w:tcPr>
            <w:vAlign w:val="center"/>
            <w:tcMar>
              <w:top w:w="70" w:type="dxa"/>
              <w:left w:w="85" w:type="dxa"/>
              <w:bottom w:w="70" w:type="dxa"/>
              <w:right w:w="85" w:type="dxa"/>
            </w:tcMar>
          </w:tcPr>
          <w:p>
            <w:pPr>
              <w:spacing w:after="30" w:before="0"/>
              <w:jc w:val="left"/>
            </w:pPr>
            <w:r>
              <w:rPr>
                <w:rFonts w:ascii="Arial" w:hAnsi="Arial"/>
                <w:sz w:val="16"/>
              </w:rPr>
              <w:t xml:space="preserve">Diverse attachments, VPN backup and failover tests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LZ-R09</w:t>
            </w:r>
          </w:p>
        </w:tc>
        <w:tc>
          <w:tcPr>
            <w:vAlign w:val="center"/>
            <w:tcMar>
              <w:top w:w="70" w:type="dxa"/>
              <w:left w:w="85" w:type="dxa"/>
              <w:bottom w:w="70" w:type="dxa"/>
              <w:right w:w="85" w:type="dxa"/>
            </w:tcMar>
          </w:tcPr>
          <w:p>
            <w:pPr>
              <w:spacing w:after="30" w:before="0"/>
              <w:jc w:val="left"/>
            </w:pPr>
            <w:r>
              <w:rPr>
                <w:rFonts w:ascii="Arial" w:hAnsi="Arial"/>
                <w:sz w:val="16"/>
              </w:rPr>
              <w:t xml:space="preserve">Terraform module defect creates broad misconfiguration</w:t>
            </w:r>
          </w:p>
        </w:tc>
        <w:tc>
          <w:tcPr>
            <w:vAlign w:val="center"/>
            <w:tcMar>
              <w:top w:w="70" w:type="dxa"/>
              <w:left w:w="85" w:type="dxa"/>
              <w:bottom w:w="70" w:type="dxa"/>
              <w:right w:w="85" w:type="dxa"/>
            </w:tcMar>
          </w:tcPr>
          <w:p>
            <w:pPr>
              <w:spacing w:after="30" w:before="0"/>
              <w:jc w:val="right"/>
            </w:pPr>
            <w:r>
              <w:rPr>
                <w:rFonts w:ascii="Arial" w:hAnsi="Arial"/>
                <w:sz w:val="16"/>
              </w:rPr>
              <w:t xml:space="preserve">Medium</w:t>
            </w:r>
          </w:p>
        </w:tc>
        <w:tc>
          <w:tcPr>
            <w:vAlign w:val="center"/>
            <w:tcMar>
              <w:top w:w="70" w:type="dxa"/>
              <w:left w:w="85" w:type="dxa"/>
              <w:bottom w:w="70" w:type="dxa"/>
              <w:right w:w="85" w:type="dxa"/>
            </w:tcMar>
          </w:tcPr>
          <w:p>
            <w:pPr>
              <w:spacing w:after="30" w:before="0"/>
              <w:jc w:val="right"/>
            </w:pPr>
            <w:r>
              <w:rPr>
                <w:rFonts w:ascii="Arial" w:hAnsi="Arial"/>
                <w:sz w:val="16"/>
              </w:rPr>
              <w:t xml:space="preserve">High</w:t>
            </w:r>
          </w:p>
        </w:tc>
        <w:tc>
          <w:tcPr>
            <w:vAlign w:val="center"/>
            <w:tcMar>
              <w:top w:w="70" w:type="dxa"/>
              <w:left w:w="85" w:type="dxa"/>
              <w:bottom w:w="70" w:type="dxa"/>
              <w:right w:w="85" w:type="dxa"/>
            </w:tcMar>
          </w:tcPr>
          <w:p>
            <w:pPr>
              <w:spacing w:after="30" w:before="0"/>
              <w:jc w:val="left"/>
            </w:pPr>
            <w:r>
              <w:rPr>
                <w:rFonts w:ascii="Arial" w:hAnsi="Arial"/>
                <w:sz w:val="16"/>
              </w:rPr>
              <w:t xml:space="preserve">Versioning, test fixtures, canaries and plan review</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LZ-R10</w:t>
            </w:r>
          </w:p>
        </w:tc>
        <w:tc>
          <w:tcPr>
            <w:vAlign w:val="center"/>
            <w:tcMar>
              <w:top w:w="70" w:type="dxa"/>
              <w:left w:w="85" w:type="dxa"/>
              <w:bottom w:w="70" w:type="dxa"/>
              <w:right w:w="85" w:type="dxa"/>
            </w:tcMar>
          </w:tcPr>
          <w:p>
            <w:pPr>
              <w:spacing w:after="30" w:before="0"/>
              <w:jc w:val="left"/>
            </w:pPr>
            <w:r>
              <w:rPr>
                <w:rFonts w:ascii="Arial" w:hAnsi="Arial"/>
                <w:sz w:val="16"/>
              </w:rPr>
              <w:t xml:space="preserve">Acquired companies create shadow organizations</w:t>
            </w:r>
          </w:p>
        </w:tc>
        <w:tc>
          <w:tcPr>
            <w:vAlign w:val="center"/>
            <w:tcMar>
              <w:top w:w="70" w:type="dxa"/>
              <w:left w:w="85" w:type="dxa"/>
              <w:bottom w:w="70" w:type="dxa"/>
              <w:right w:w="85" w:type="dxa"/>
            </w:tcMar>
          </w:tcPr>
          <w:p>
            <w:pPr>
              <w:spacing w:after="30" w:before="0"/>
              <w:jc w:val="right"/>
            </w:pPr>
            <w:r>
              <w:rPr>
                <w:rFonts w:ascii="Arial" w:hAnsi="Arial"/>
                <w:sz w:val="16"/>
              </w:rPr>
              <w:t xml:space="preserve">High</w:t>
            </w:r>
          </w:p>
        </w:tc>
        <w:tc>
          <w:tcPr>
            <w:vAlign w:val="center"/>
            <w:tcMar>
              <w:top w:w="70" w:type="dxa"/>
              <w:left w:w="85" w:type="dxa"/>
              <w:bottom w:w="70" w:type="dxa"/>
              <w:right w:w="85" w:type="dxa"/>
            </w:tcMar>
          </w:tcPr>
          <w:p>
            <w:pPr>
              <w:spacing w:after="30" w:before="0"/>
              <w:jc w:val="right"/>
            </w:pPr>
            <w:r>
              <w:rPr>
                <w:rFonts w:ascii="Arial" w:hAnsi="Arial"/>
                <w:sz w:val="16"/>
              </w:rPr>
              <w:t xml:space="preserve">High</w:t>
            </w:r>
          </w:p>
        </w:tc>
        <w:tc>
          <w:tcPr>
            <w:vAlign w:val="center"/>
            <w:tcMar>
              <w:top w:w="70" w:type="dxa"/>
              <w:left w:w="85" w:type="dxa"/>
              <w:bottom w:w="70" w:type="dxa"/>
              <w:right w:w="85" w:type="dxa"/>
            </w:tcMar>
          </w:tcPr>
          <w:p>
            <w:pPr>
              <w:spacing w:after="30" w:before="0"/>
              <w:jc w:val="left"/>
            </w:pPr>
            <w:r>
              <w:rPr>
                <w:rFonts w:ascii="Arial" w:hAnsi="Arial"/>
                <w:sz w:val="16"/>
              </w:rPr>
              <w:t xml:space="preserve">M&amp;A discovery, transition pattern and governance mandate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LZ-R11</w:t>
            </w:r>
          </w:p>
        </w:tc>
        <w:tc>
          <w:tcPr>
            <w:vAlign w:val="center"/>
            <w:tcMar>
              <w:top w:w="70" w:type="dxa"/>
              <w:left w:w="85" w:type="dxa"/>
              <w:bottom w:w="70" w:type="dxa"/>
              <w:right w:w="85" w:type="dxa"/>
            </w:tcMar>
          </w:tcPr>
          <w:p>
            <w:pPr>
              <w:spacing w:after="30" w:before="0"/>
              <w:jc w:val="left"/>
            </w:pPr>
            <w:r>
              <w:rPr>
                <w:rFonts w:ascii="Arial" w:hAnsi="Arial"/>
                <w:sz w:val="16"/>
              </w:rPr>
              <w:t xml:space="preserve">Service-account keys persist in legacy systems</w:t>
            </w:r>
          </w:p>
        </w:tc>
        <w:tc>
          <w:tcPr>
            <w:vAlign w:val="center"/>
            <w:tcMar>
              <w:top w:w="70" w:type="dxa"/>
              <w:left w:w="85" w:type="dxa"/>
              <w:bottom w:w="70" w:type="dxa"/>
              <w:right w:w="85" w:type="dxa"/>
            </w:tcMar>
          </w:tcPr>
          <w:p>
            <w:pPr>
              <w:spacing w:after="30" w:before="0"/>
              <w:jc w:val="right"/>
            </w:pPr>
            <w:r>
              <w:rPr>
                <w:rFonts w:ascii="Arial" w:hAnsi="Arial"/>
                <w:sz w:val="16"/>
              </w:rPr>
              <w:t xml:space="preserve">High</w:t>
            </w:r>
          </w:p>
        </w:tc>
        <w:tc>
          <w:tcPr>
            <w:vAlign w:val="center"/>
            <w:tcMar>
              <w:top w:w="70" w:type="dxa"/>
              <w:left w:w="85" w:type="dxa"/>
              <w:bottom w:w="70" w:type="dxa"/>
              <w:right w:w="85" w:type="dxa"/>
            </w:tcMar>
          </w:tcPr>
          <w:p>
            <w:pPr>
              <w:spacing w:after="30" w:before="0"/>
              <w:jc w:val="right"/>
            </w:pPr>
            <w:r>
              <w:rPr>
                <w:rFonts w:ascii="Arial" w:hAnsi="Arial"/>
                <w:sz w:val="16"/>
              </w:rPr>
              <w:t xml:space="preserve">High</w:t>
            </w:r>
          </w:p>
        </w:tc>
        <w:tc>
          <w:tcPr>
            <w:vAlign w:val="center"/>
            <w:tcMar>
              <w:top w:w="70" w:type="dxa"/>
              <w:left w:w="85" w:type="dxa"/>
              <w:bottom w:w="70" w:type="dxa"/>
              <w:right w:w="85" w:type="dxa"/>
            </w:tcMar>
          </w:tcPr>
          <w:p>
            <w:pPr>
              <w:spacing w:after="30" w:before="0"/>
              <w:jc w:val="left"/>
            </w:pPr>
            <w:r>
              <w:rPr>
                <w:rFonts w:ascii="Arial" w:hAnsi="Arial"/>
                <w:sz w:val="16"/>
              </w:rPr>
              <w:t xml:space="preserve">Inventory, deny new keys, federation migration and expiry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LZ-R12</w:t>
            </w:r>
          </w:p>
        </w:tc>
        <w:tc>
          <w:tcPr>
            <w:vAlign w:val="center"/>
            <w:tcMar>
              <w:top w:w="70" w:type="dxa"/>
              <w:left w:w="85" w:type="dxa"/>
              <w:bottom w:w="70" w:type="dxa"/>
              <w:right w:w="85" w:type="dxa"/>
            </w:tcMar>
          </w:tcPr>
          <w:p>
            <w:pPr>
              <w:spacing w:after="30" w:before="0"/>
              <w:jc w:val="left"/>
            </w:pPr>
            <w:r>
              <w:rPr>
                <w:rFonts w:ascii="Arial" w:hAnsi="Arial"/>
                <w:sz w:val="16"/>
              </w:rPr>
              <w:t xml:space="preserve">Security findings lack accountable owners</w:t>
            </w:r>
          </w:p>
        </w:tc>
        <w:tc>
          <w:tcPr>
            <w:vAlign w:val="center"/>
            <w:tcMar>
              <w:top w:w="70" w:type="dxa"/>
              <w:left w:w="85" w:type="dxa"/>
              <w:bottom w:w="70" w:type="dxa"/>
              <w:right w:w="85" w:type="dxa"/>
            </w:tcMar>
          </w:tcPr>
          <w:p>
            <w:pPr>
              <w:spacing w:after="30" w:before="0"/>
              <w:jc w:val="right"/>
            </w:pPr>
            <w:r>
              <w:rPr>
                <w:rFonts w:ascii="Arial" w:hAnsi="Arial"/>
                <w:sz w:val="16"/>
              </w:rPr>
              <w:t xml:space="preserve">Medium</w:t>
            </w:r>
          </w:p>
        </w:tc>
        <w:tc>
          <w:tcPr>
            <w:vAlign w:val="center"/>
            <w:tcMar>
              <w:top w:w="70" w:type="dxa"/>
              <w:left w:w="85" w:type="dxa"/>
              <w:bottom w:w="70" w:type="dxa"/>
              <w:right w:w="85" w:type="dxa"/>
            </w:tcMar>
          </w:tcPr>
          <w:p>
            <w:pPr>
              <w:spacing w:after="30" w:before="0"/>
              <w:jc w:val="right"/>
            </w:pPr>
            <w:r>
              <w:rPr>
                <w:rFonts w:ascii="Arial" w:hAnsi="Arial"/>
                <w:sz w:val="16"/>
              </w:rPr>
              <w:t xml:space="preserve">High</w:t>
            </w:r>
          </w:p>
        </w:tc>
        <w:tc>
          <w:tcPr>
            <w:vAlign w:val="center"/>
            <w:tcMar>
              <w:top w:w="70" w:type="dxa"/>
              <w:left w:w="85" w:type="dxa"/>
              <w:bottom w:w="70" w:type="dxa"/>
              <w:right w:w="85" w:type="dxa"/>
            </w:tcMar>
          </w:tcPr>
          <w:p>
            <w:pPr>
              <w:spacing w:after="30" w:before="0"/>
              <w:jc w:val="left"/>
            </w:pPr>
            <w:r>
              <w:rPr>
                <w:rFonts w:ascii="Arial" w:hAnsi="Arial"/>
                <w:sz w:val="16"/>
              </w:rPr>
              <w:t xml:space="preserve">Resource metadata, routing rules and remediation SLOs</w:t>
            </w:r>
          </w:p>
        </w:tc>
      </w:tr>
    </w:tbl>
    <w:bookmarkEnd w:id="216"/>
    <w:bookmarkStart w:id="217" w:name="production-readiness-review"/>
    <w:p>
      <w:pPr>
        <w:pStyle w:val="Heading1"/>
        <w:keepNext/>
        <w:pageBreakBefore w:val="0"/>
      </w:pPr>
      <w:r>
        <w:t xml:space="preserve">16. Production Readiness Review</w:t>
      </w:r>
    </w:p>
    <w:p>
      <w:pPr>
        <w:pStyle w:val="FirstParagraph"/>
      </w:pPr>
      <w:r>
        <w:t xml:space="preserve">A landing-zone release is production ready only when:</w:t>
      </w:r>
    </w:p>
    <w:p>
      <w:pPr>
        <w:pStyle w:val="Compact"/>
        <w:numPr>
          <w:ilvl w:val="0"/>
          <w:numId w:val="1043"/>
        </w:numPr>
      </w:pPr>
      <w:r>
        <w:t xml:space="preserve">Architecture decisions are approved and recorded.</w:t>
      </w:r>
    </w:p>
    <w:p>
      <w:pPr>
        <w:pStyle w:val="Compact"/>
        <w:numPr>
          <w:ilvl w:val="0"/>
          <w:numId w:val="1043"/>
        </w:numPr>
      </w:pPr>
      <w:r>
        <w:t xml:space="preserve">Terraform source, state and pipelines are protected.</w:t>
      </w:r>
    </w:p>
    <w:p>
      <w:pPr>
        <w:pStyle w:val="Compact"/>
        <w:numPr>
          <w:ilvl w:val="0"/>
          <w:numId w:val="1043"/>
        </w:numPr>
      </w:pPr>
      <w:r>
        <w:t xml:space="preserve">Project-factory request and rollback paths are tested.</w:t>
      </w:r>
    </w:p>
    <w:p>
      <w:pPr>
        <w:pStyle w:val="Compact"/>
        <w:numPr>
          <w:ilvl w:val="0"/>
          <w:numId w:val="1043"/>
        </w:numPr>
      </w:pPr>
      <w:r>
        <w:t xml:space="preserve">Identity federation and break-glass recovery are tested.</w:t>
      </w:r>
    </w:p>
    <w:p>
      <w:pPr>
        <w:pStyle w:val="Compact"/>
        <w:numPr>
          <w:ilvl w:val="0"/>
          <w:numId w:val="1043"/>
        </w:numPr>
      </w:pPr>
      <w:r>
        <w:t xml:space="preserve">Hybrid connectivity survives documented failures.</w:t>
      </w:r>
    </w:p>
    <w:p>
      <w:pPr>
        <w:pStyle w:val="Compact"/>
        <w:numPr>
          <w:ilvl w:val="0"/>
          <w:numId w:val="1043"/>
        </w:numPr>
      </w:pPr>
      <w:r>
        <w:t xml:space="preserve">DNS, routing, firewall and private access tests pass.</w:t>
      </w:r>
    </w:p>
    <w:p>
      <w:pPr>
        <w:pStyle w:val="Compact"/>
        <w:numPr>
          <w:ilvl w:val="0"/>
          <w:numId w:val="1043"/>
        </w:numPr>
      </w:pPr>
      <w:r>
        <w:t xml:space="preserve">Logging coverage is complete and retention is verified.</w:t>
      </w:r>
    </w:p>
    <w:p>
      <w:pPr>
        <w:pStyle w:val="Compact"/>
        <w:numPr>
          <w:ilvl w:val="0"/>
          <w:numId w:val="1043"/>
        </w:numPr>
      </w:pPr>
      <w:r>
        <w:t xml:space="preserve">Monitoring alerts reach accountable responders.</w:t>
      </w:r>
    </w:p>
    <w:p>
      <w:pPr>
        <w:pStyle w:val="Compact"/>
        <w:numPr>
          <w:ilvl w:val="0"/>
          <w:numId w:val="1043"/>
        </w:numPr>
      </w:pPr>
      <w:r>
        <w:t xml:space="preserve">VPC SC dry-run violations are resolved or approved.</w:t>
      </w:r>
    </w:p>
    <w:p>
      <w:pPr>
        <w:pStyle w:val="Compact"/>
        <w:numPr>
          <w:ilvl w:val="0"/>
          <w:numId w:val="1043"/>
        </w:numPr>
      </w:pPr>
      <w:r>
        <w:t xml:space="preserve">CMEK rotation and failure behavior are tested.</w:t>
      </w:r>
    </w:p>
    <w:p>
      <w:pPr>
        <w:pStyle w:val="Compact"/>
        <w:numPr>
          <w:ilvl w:val="0"/>
          <w:numId w:val="1043"/>
        </w:numPr>
      </w:pPr>
      <w:r>
        <w:t xml:space="preserve">Organization policies are validated against representative workloads.</w:t>
      </w:r>
    </w:p>
    <w:p>
      <w:pPr>
        <w:pStyle w:val="Compact"/>
        <w:numPr>
          <w:ilvl w:val="0"/>
          <w:numId w:val="1043"/>
        </w:numPr>
      </w:pPr>
      <w:r>
        <w:t xml:space="preserve">Security findings route into operational workflows.</w:t>
      </w:r>
    </w:p>
    <w:p>
      <w:pPr>
        <w:pStyle w:val="Compact"/>
        <w:numPr>
          <w:ilvl w:val="0"/>
          <w:numId w:val="1043"/>
        </w:numPr>
      </w:pPr>
      <w:r>
        <w:t xml:space="preserve">CMDB, IPAM, billing and ownership integrations reconcile.</w:t>
      </w:r>
    </w:p>
    <w:p>
      <w:pPr>
        <w:pStyle w:val="Compact"/>
        <w:numPr>
          <w:ilvl w:val="0"/>
          <w:numId w:val="1043"/>
        </w:numPr>
      </w:pPr>
      <w:r>
        <w:t xml:space="preserve">Runbooks are approved and exercised.</w:t>
      </w:r>
    </w:p>
    <w:p>
      <w:pPr>
        <w:pStyle w:val="Compact"/>
        <w:numPr>
          <w:ilvl w:val="0"/>
          <w:numId w:val="1043"/>
        </w:numPr>
      </w:pPr>
      <w:r>
        <w:t xml:space="preserve">Disaster recovery dependencies are documented.</w:t>
      </w:r>
    </w:p>
    <w:p>
      <w:pPr>
        <w:pStyle w:val="Compact"/>
        <w:numPr>
          <w:ilvl w:val="0"/>
          <w:numId w:val="1043"/>
        </w:numPr>
      </w:pPr>
      <w:r>
        <w:t xml:space="preserve">FinOps budgets and allocation metadata are active.</w:t>
      </w:r>
    </w:p>
    <w:p>
      <w:pPr>
        <w:pStyle w:val="Compact"/>
        <w:numPr>
          <w:ilvl w:val="0"/>
          <w:numId w:val="1043"/>
        </w:numPr>
      </w:pPr>
      <w:r>
        <w:t xml:space="preserve">Exceptions have owners, compensating controls and expiry.</w:t>
      </w:r>
    </w:p>
    <w:bookmarkEnd w:id="217"/>
    <w:bookmarkStart w:id="218" w:name="appendix-a-example-artifact-inventory"/>
    <w:p>
      <w:pPr>
        <w:pStyle w:val="Heading1"/>
        <w:keepNext/>
        <w:pageBreakBefore w:val="0"/>
      </w:pPr>
      <w:r>
        <w:t xml:space="preserve">Appendix A — Example Artifact Inventory</w:t>
      </w:r>
    </w:p>
    <w:p>
      <w:pPr>
        <w:pStyle w:val="FirstParagraph"/>
      </w:pPr>
      <w:r>
        <w:t xml:space="preserve">The accompanying package contains:</w:t>
      </w:r>
    </w:p>
    <w:p>
      <w:pPr>
        <w:pStyle w:val="Compact"/>
        <w:numPr>
          <w:ilvl w:val="0"/>
          <w:numId w:val="1044"/>
        </w:numPr>
      </w:pPr>
      <w:r>
        <w:t xml:space="preserve">Seven diagrams in Draw.io, Mermaid, PlantUML, Graphviz DOT, SVG and PNG.</w:t>
      </w:r>
    </w:p>
    <w:p>
      <w:pPr>
        <w:pStyle w:val="Compact"/>
        <w:numPr>
          <w:ilvl w:val="0"/>
          <w:numId w:val="1044"/>
        </w:numPr>
      </w:pPr>
      <w:r>
        <w:t xml:space="preserve">Terraform bootstrap and reusable landing-zone modules.</w:t>
      </w:r>
    </w:p>
    <w:p>
      <w:pPr>
        <w:pStyle w:val="Compact"/>
        <w:numPr>
          <w:ilvl w:val="0"/>
          <w:numId w:val="1044"/>
        </w:numPr>
      </w:pPr>
      <w:r>
        <w:t xml:space="preserve">Project-factory, Shared VPC, organization-policy, logging, KMS and VPC SC examples.</w:t>
      </w:r>
    </w:p>
    <w:p>
      <w:pPr>
        <w:pStyle w:val="Compact"/>
        <w:numPr>
          <w:ilvl w:val="0"/>
          <w:numId w:val="1044"/>
        </w:numPr>
      </w:pPr>
      <w:r>
        <w:t xml:space="preserve">Cloud Build pipeline example.</w:t>
      </w:r>
    </w:p>
    <w:p>
      <w:pPr>
        <w:pStyle w:val="Compact"/>
        <w:numPr>
          <w:ilvl w:val="0"/>
          <w:numId w:val="1044"/>
        </w:numPr>
      </w:pPr>
      <w:r>
        <w:t xml:space="preserve">IAM, firewall-policy and organization-policy YAML examples.</w:t>
      </w:r>
    </w:p>
    <w:p>
      <w:pPr>
        <w:pStyle w:val="Compact"/>
        <w:numPr>
          <w:ilvl w:val="0"/>
          <w:numId w:val="1044"/>
        </w:numPr>
      </w:pPr>
      <w:r>
        <w:t xml:space="preserve">Editable DOCX and polished PDF versions of this volume.</w:t>
      </w:r>
    </w:p>
    <w:bookmarkEnd w:id="218"/>
    <w:bookmarkStart w:id="219" w:name="appendix-b-glossary"/>
    <w:p>
      <w:pPr>
        <w:pStyle w:val="Heading1"/>
        <w:keepNext/>
        <w:pageBreakBefore w:val="0"/>
      </w:pPr>
      <w:r>
        <w:t xml:space="preserve">Appendix B — Glossary</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Term</w:t>
            </w:r>
          </w:p>
        </w:tc>
        <w:tc>
          <w:tcPr>
            <w:vAlign w:val="center"/>
            <w:tcMar>
              <w:top w:w="70" w:type="dxa"/>
              <w:left w:w="85" w:type="dxa"/>
              <w:bottom w:w="70" w:type="dxa"/>
              <w:right w:w="85" w:type="dxa"/>
            </w:tcMar>
          </w:tcPr>
          <w:p>
            <w:pPr>
              <w:spacing w:after="30" w:before="0"/>
              <w:jc w:val="left"/>
            </w:pPr>
            <w:r>
              <w:rPr>
                <w:rFonts w:ascii="Arial" w:hAnsi="Arial"/>
                <w:b/>
                <w:sz w:val="16"/>
              </w:rPr>
              <w:t xml:space="preserve">Definition</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Landing zone</w:t>
            </w:r>
          </w:p>
        </w:tc>
        <w:tc>
          <w:tcPr>
            <w:vAlign w:val="center"/>
            <w:tcMar>
              <w:top w:w="70" w:type="dxa"/>
              <w:left w:w="85" w:type="dxa"/>
              <w:bottom w:w="70" w:type="dxa"/>
              <w:right w:w="85" w:type="dxa"/>
            </w:tcMar>
          </w:tcPr>
          <w:p>
            <w:pPr>
              <w:spacing w:after="30" w:before="0"/>
              <w:jc w:val="left"/>
            </w:pPr>
            <w:r>
              <w:rPr>
                <w:rFonts w:ascii="Arial" w:hAnsi="Arial"/>
                <w:sz w:val="16"/>
              </w:rPr>
              <w:t xml:space="preserve">Governed cloud foundation for secure workload deployment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Host project</w:t>
            </w:r>
          </w:p>
        </w:tc>
        <w:tc>
          <w:tcPr>
            <w:vAlign w:val="center"/>
            <w:tcMar>
              <w:top w:w="70" w:type="dxa"/>
              <w:left w:w="85" w:type="dxa"/>
              <w:bottom w:w="70" w:type="dxa"/>
              <w:right w:w="85" w:type="dxa"/>
            </w:tcMar>
          </w:tcPr>
          <w:p>
            <w:pPr>
              <w:spacing w:after="30" w:before="0"/>
              <w:jc w:val="left"/>
            </w:pPr>
            <w:r>
              <w:rPr>
                <w:rFonts w:ascii="Arial" w:hAnsi="Arial"/>
                <w:sz w:val="16"/>
              </w:rPr>
              <w:t xml:space="preserve">Project that owns a Shared VPC network</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Service project</w:t>
            </w:r>
          </w:p>
        </w:tc>
        <w:tc>
          <w:tcPr>
            <w:vAlign w:val="center"/>
            <w:tcMar>
              <w:top w:w="70" w:type="dxa"/>
              <w:left w:w="85" w:type="dxa"/>
              <w:bottom w:w="70" w:type="dxa"/>
              <w:right w:w="85" w:type="dxa"/>
            </w:tcMar>
          </w:tcPr>
          <w:p>
            <w:pPr>
              <w:spacing w:after="30" w:before="0"/>
              <w:jc w:val="left"/>
            </w:pPr>
            <w:r>
              <w:rPr>
                <w:rFonts w:ascii="Arial" w:hAnsi="Arial"/>
                <w:sz w:val="16"/>
              </w:rPr>
              <w:t xml:space="preserve">Project attached to a Shared VPC and containing workload resources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Project factory</w:t>
            </w:r>
          </w:p>
        </w:tc>
        <w:tc>
          <w:tcPr>
            <w:vAlign w:val="center"/>
            <w:tcMar>
              <w:top w:w="70" w:type="dxa"/>
              <w:left w:w="85" w:type="dxa"/>
              <w:bottom w:w="70" w:type="dxa"/>
              <w:right w:w="85" w:type="dxa"/>
            </w:tcMar>
          </w:tcPr>
          <w:p>
            <w:pPr>
              <w:spacing w:after="30" w:before="0"/>
              <w:jc w:val="left"/>
            </w:pPr>
            <w:r>
              <w:rPr>
                <w:rFonts w:ascii="Arial" w:hAnsi="Arial"/>
                <w:sz w:val="16"/>
              </w:rPr>
              <w:t xml:space="preserve">Automated workflow that provisions compliant projects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Service perimeter</w:t>
            </w:r>
          </w:p>
        </w:tc>
        <w:tc>
          <w:tcPr>
            <w:vAlign w:val="center"/>
            <w:tcMar>
              <w:top w:w="70" w:type="dxa"/>
              <w:left w:w="85" w:type="dxa"/>
              <w:bottom w:w="70" w:type="dxa"/>
              <w:right w:w="85" w:type="dxa"/>
            </w:tcMar>
          </w:tcPr>
          <w:p>
            <w:pPr>
              <w:spacing w:after="30" w:before="0"/>
              <w:jc w:val="left"/>
            </w:pPr>
            <w:r>
              <w:rPr>
                <w:rFonts w:ascii="Arial" w:hAnsi="Arial"/>
                <w:sz w:val="16"/>
              </w:rPr>
              <w:t xml:space="preserve">VPC Service Controls boundary for supported services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Access level</w:t>
            </w:r>
          </w:p>
        </w:tc>
        <w:tc>
          <w:tcPr>
            <w:vAlign w:val="center"/>
            <w:tcMar>
              <w:top w:w="70" w:type="dxa"/>
              <w:left w:w="85" w:type="dxa"/>
              <w:bottom w:w="70" w:type="dxa"/>
              <w:right w:w="85" w:type="dxa"/>
            </w:tcMar>
          </w:tcPr>
          <w:p>
            <w:pPr>
              <w:spacing w:after="30" w:before="0"/>
              <w:jc w:val="left"/>
            </w:pPr>
            <w:r>
              <w:rPr>
                <w:rFonts w:ascii="Arial" w:hAnsi="Arial"/>
                <w:sz w:val="16"/>
              </w:rPr>
              <w:t xml:space="preserve">Context definition used for context-aware access controls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CMEK</w:t>
            </w:r>
          </w:p>
        </w:tc>
        <w:tc>
          <w:tcPr>
            <w:vAlign w:val="center"/>
            <w:tcMar>
              <w:top w:w="70" w:type="dxa"/>
              <w:left w:w="85" w:type="dxa"/>
              <w:bottom w:w="70" w:type="dxa"/>
              <w:right w:w="85" w:type="dxa"/>
            </w:tcMar>
          </w:tcPr>
          <w:p>
            <w:pPr>
              <w:spacing w:after="30" w:before="0"/>
              <w:jc w:val="left"/>
            </w:pPr>
            <w:r>
              <w:rPr>
                <w:rFonts w:ascii="Arial" w:hAnsi="Arial"/>
                <w:sz w:val="16"/>
              </w:rPr>
              <w:t xml:space="preserve">Customer-managed encryption key</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PSC</w:t>
            </w:r>
          </w:p>
        </w:tc>
        <w:tc>
          <w:tcPr>
            <w:vAlign w:val="center"/>
            <w:tcMar>
              <w:top w:w="70" w:type="dxa"/>
              <w:left w:w="85" w:type="dxa"/>
              <w:bottom w:w="70" w:type="dxa"/>
              <w:right w:w="85" w:type="dxa"/>
            </w:tcMar>
          </w:tcPr>
          <w:p>
            <w:pPr>
              <w:spacing w:after="30" w:before="0"/>
              <w:jc w:val="left"/>
            </w:pPr>
            <w:r>
              <w:rPr>
                <w:rFonts w:ascii="Arial" w:hAnsi="Arial"/>
                <w:sz w:val="16"/>
              </w:rPr>
              <w:t xml:space="preserve">Private Service Connect</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PAM</w:t>
            </w:r>
          </w:p>
        </w:tc>
        <w:tc>
          <w:tcPr>
            <w:vAlign w:val="center"/>
            <w:tcMar>
              <w:top w:w="70" w:type="dxa"/>
              <w:left w:w="85" w:type="dxa"/>
              <w:bottom w:w="70" w:type="dxa"/>
              <w:right w:w="85" w:type="dxa"/>
            </w:tcMar>
          </w:tcPr>
          <w:p>
            <w:pPr>
              <w:spacing w:after="30" w:before="0"/>
              <w:jc w:val="left"/>
            </w:pPr>
            <w:r>
              <w:rPr>
                <w:rFonts w:ascii="Arial" w:hAnsi="Arial"/>
                <w:sz w:val="16"/>
              </w:rPr>
              <w:t xml:space="preserve">Privileged Access Manager</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SLI</w:t>
            </w:r>
          </w:p>
        </w:tc>
        <w:tc>
          <w:tcPr>
            <w:vAlign w:val="center"/>
            <w:tcMar>
              <w:top w:w="70" w:type="dxa"/>
              <w:left w:w="85" w:type="dxa"/>
              <w:bottom w:w="70" w:type="dxa"/>
              <w:right w:w="85" w:type="dxa"/>
            </w:tcMar>
          </w:tcPr>
          <w:p>
            <w:pPr>
              <w:spacing w:after="30" w:before="0"/>
              <w:jc w:val="left"/>
            </w:pPr>
            <w:r>
              <w:rPr>
                <w:rFonts w:ascii="Arial" w:hAnsi="Arial"/>
                <w:sz w:val="16"/>
              </w:rPr>
              <w:t xml:space="preserve">Service level indicator</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SLO</w:t>
            </w:r>
          </w:p>
        </w:tc>
        <w:tc>
          <w:tcPr>
            <w:vAlign w:val="center"/>
            <w:tcMar>
              <w:top w:w="70" w:type="dxa"/>
              <w:left w:w="85" w:type="dxa"/>
              <w:bottom w:w="70" w:type="dxa"/>
              <w:right w:w="85" w:type="dxa"/>
            </w:tcMar>
          </w:tcPr>
          <w:p>
            <w:pPr>
              <w:spacing w:after="30" w:before="0"/>
              <w:jc w:val="left"/>
            </w:pPr>
            <w:r>
              <w:rPr>
                <w:rFonts w:ascii="Arial" w:hAnsi="Arial"/>
                <w:sz w:val="16"/>
              </w:rPr>
              <w:t xml:space="preserve">Service level objective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RTO</w:t>
            </w:r>
          </w:p>
        </w:tc>
        <w:tc>
          <w:tcPr>
            <w:vAlign w:val="center"/>
            <w:tcMar>
              <w:top w:w="70" w:type="dxa"/>
              <w:left w:w="85" w:type="dxa"/>
              <w:bottom w:w="70" w:type="dxa"/>
              <w:right w:w="85" w:type="dxa"/>
            </w:tcMar>
          </w:tcPr>
          <w:p>
            <w:pPr>
              <w:spacing w:after="30" w:before="0"/>
              <w:jc w:val="left"/>
            </w:pPr>
            <w:r>
              <w:rPr>
                <w:rFonts w:ascii="Arial" w:hAnsi="Arial"/>
                <w:sz w:val="16"/>
              </w:rPr>
              <w:t xml:space="preserve">Recovery time objective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RPO</w:t>
            </w:r>
          </w:p>
        </w:tc>
        <w:tc>
          <w:tcPr>
            <w:vAlign w:val="center"/>
            <w:tcMar>
              <w:top w:w="70" w:type="dxa"/>
              <w:left w:w="85" w:type="dxa"/>
              <w:bottom w:w="70" w:type="dxa"/>
              <w:right w:w="85" w:type="dxa"/>
            </w:tcMar>
          </w:tcPr>
          <w:p>
            <w:pPr>
              <w:spacing w:after="30" w:before="0"/>
              <w:jc w:val="left"/>
            </w:pPr>
            <w:r>
              <w:rPr>
                <w:rFonts w:ascii="Arial" w:hAnsi="Arial"/>
                <w:sz w:val="16"/>
              </w:rPr>
              <w:t xml:space="preserve">Recovery point objective</w:t>
            </w:r>
          </w:p>
        </w:tc>
      </w:tr>
    </w:tbl>
    <w:bookmarkEnd w:id="219"/>
    <w:bookmarkStart w:id="220" w:name="appendix-c-quality-assurance-checklist"/>
    <w:p>
      <w:pPr>
        <w:pStyle w:val="Heading1"/>
        <w:keepNext/>
        <w:pageBreakBefore w:val="0"/>
      </w:pPr>
      <w:r>
        <w:t xml:space="preserve">Appendix C — Quality Assurance Checklist</w:t>
      </w:r>
    </w:p>
    <w:p>
      <w:pPr>
        <w:pStyle w:val="Compact"/>
        <w:numPr>
          <w:ilvl w:val="0"/>
          <w:numId w:val="1045"/>
        </w:numPr>
      </w:pPr>
      <w:r>
        <w:t xml:space="preserve">All requested landing-zone topics are addressed.</w:t>
      </w:r>
    </w:p>
    <w:p>
      <w:pPr>
        <w:pStyle w:val="Compact"/>
        <w:numPr>
          <w:ilvl w:val="0"/>
          <w:numId w:val="1045"/>
        </w:numPr>
      </w:pPr>
      <w:r>
        <w:t xml:space="preserve">Diagram source formats are editable.</w:t>
      </w:r>
    </w:p>
    <w:p>
      <w:pPr>
        <w:pStyle w:val="Compact"/>
        <w:numPr>
          <w:ilvl w:val="0"/>
          <w:numId w:val="1045"/>
        </w:numPr>
      </w:pPr>
      <w:r>
        <w:t xml:space="preserve">Examples contain no production secrets or real identifiers.</w:t>
      </w:r>
    </w:p>
    <w:p>
      <w:pPr>
        <w:pStyle w:val="Compact"/>
        <w:numPr>
          <w:ilvl w:val="0"/>
          <w:numId w:val="1045"/>
        </w:numPr>
      </w:pPr>
      <w:r>
        <w:t xml:space="preserve">Naming is consistent across narrative, diagrams and Terraform.</w:t>
      </w:r>
    </w:p>
    <w:p>
      <w:pPr>
        <w:pStyle w:val="Compact"/>
        <w:numPr>
          <w:ilvl w:val="0"/>
          <w:numId w:val="1045"/>
        </w:numPr>
      </w:pPr>
      <w:r>
        <w:t xml:space="preserve">Security controls identify owners and evidence.</w:t>
      </w:r>
    </w:p>
    <w:p>
      <w:pPr>
        <w:pStyle w:val="Compact"/>
        <w:numPr>
          <w:ilvl w:val="0"/>
          <w:numId w:val="1045"/>
        </w:numPr>
      </w:pPr>
      <w:r>
        <w:t xml:space="preserve">Architecture decisions include alternatives, tradeoffs, risks and mitigations.</w:t>
      </w:r>
    </w:p>
    <w:p>
      <w:pPr>
        <w:pStyle w:val="Compact"/>
        <w:numPr>
          <w:ilvl w:val="0"/>
          <w:numId w:val="1045"/>
        </w:numPr>
      </w:pPr>
      <w:r>
        <w:t xml:space="preserve">Service cards identify limitations and common pitfalls.</w:t>
      </w:r>
    </w:p>
    <w:p>
      <w:pPr>
        <w:pStyle w:val="Compact"/>
        <w:numPr>
          <w:ilvl w:val="0"/>
          <w:numId w:val="1045"/>
        </w:numPr>
      </w:pPr>
      <w:r>
        <w:t xml:space="preserve">Product features and constraints are marked for current-documentation validation.</w:t>
      </w:r>
    </w:p>
    <w:p>
      <w:pPr>
        <w:pStyle w:val="Compact"/>
        <w:numPr>
          <w:ilvl w:val="0"/>
          <w:numId w:val="1045"/>
        </w:numPr>
      </w:pPr>
      <w:r>
        <w:t xml:space="preserve">DOCX and PDF are visually inspected after rendering.</w:t>
      </w:r>
    </w:p>
    <w:p>
      <w:pPr>
        <w:pStyle w:val="Compact"/>
        <w:numPr>
          <w:ilvl w:val="0"/>
          <w:numId w:val="1045"/>
        </w:numPr>
      </w:pPr>
      <w:r>
        <w:t xml:space="preserve">Package contains checksums and a manifest.</w:t>
      </w:r>
    </w:p>
    <w:bookmarkEnd w:id="220"/>
    <w:bookmarkStart w:id="221" w:name="appendix-d-control-evidence-catalogue"/>
    <w:p>
      <w:pPr>
        <w:pStyle w:val="Heading1"/>
        <w:keepNext/>
        <w:pageBreakBefore w:val="0"/>
      </w:pPr>
      <w:r>
        <w:t xml:space="preserve">Appendix D — Control Evidence Catalogue</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0" w:type="dxa"/>
              <w:left w:w="85" w:type="dxa"/>
              <w:bottom w:w="70" w:type="dxa"/>
              <w:right w:w="85" w:type="dxa"/>
            </w:tcMar>
          </w:tcPr>
          <w:p>
            <w:pPr>
              <w:spacing w:after="30" w:before="0"/>
              <w:jc w:val="left"/>
            </w:pPr>
            <w:r>
              <w:rPr>
                <w:rFonts w:ascii="Arial" w:hAnsi="Arial"/>
                <w:b/>
                <w:sz w:val="16"/>
              </w:rPr>
              <w:t xml:space="preserve">Control area</w:t>
            </w:r>
          </w:p>
        </w:tc>
        <w:tc>
          <w:tcPr>
            <w:vAlign w:val="center"/>
            <w:tcMar>
              <w:top w:w="70" w:type="dxa"/>
              <w:left w:w="85" w:type="dxa"/>
              <w:bottom w:w="70" w:type="dxa"/>
              <w:right w:w="85" w:type="dxa"/>
            </w:tcMar>
          </w:tcPr>
          <w:p>
            <w:pPr>
              <w:spacing w:after="30" w:before="0"/>
              <w:jc w:val="left"/>
            </w:pPr>
            <w:r>
              <w:rPr>
                <w:rFonts w:ascii="Arial" w:hAnsi="Arial"/>
                <w:b/>
                <w:sz w:val="16"/>
              </w:rPr>
              <w:t xml:space="preserve">Design evidence</w:t>
            </w:r>
          </w:p>
        </w:tc>
        <w:tc>
          <w:tcPr>
            <w:vAlign w:val="center"/>
            <w:tcMar>
              <w:top w:w="70" w:type="dxa"/>
              <w:left w:w="85" w:type="dxa"/>
              <w:bottom w:w="70" w:type="dxa"/>
              <w:right w:w="85" w:type="dxa"/>
            </w:tcMar>
          </w:tcPr>
          <w:p>
            <w:pPr>
              <w:spacing w:after="30" w:before="0"/>
              <w:jc w:val="left"/>
            </w:pPr>
            <w:r>
              <w:rPr>
                <w:rFonts w:ascii="Arial" w:hAnsi="Arial"/>
                <w:b/>
                <w:sz w:val="16"/>
              </w:rPr>
              <w:t xml:space="preserve">Deployment evidence</w:t>
            </w:r>
          </w:p>
        </w:tc>
        <w:tc>
          <w:tcPr>
            <w:vAlign w:val="center"/>
            <w:tcMar>
              <w:top w:w="70" w:type="dxa"/>
              <w:left w:w="85" w:type="dxa"/>
              <w:bottom w:w="70" w:type="dxa"/>
              <w:right w:w="85" w:type="dxa"/>
            </w:tcMar>
          </w:tcPr>
          <w:p>
            <w:pPr>
              <w:spacing w:after="30" w:before="0"/>
              <w:jc w:val="left"/>
            </w:pPr>
            <w:r>
              <w:rPr>
                <w:rFonts w:ascii="Arial" w:hAnsi="Arial"/>
                <w:b/>
                <w:sz w:val="16"/>
              </w:rPr>
              <w:t xml:space="preserve">Operating 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Resource hierarchy</w:t>
            </w:r>
          </w:p>
        </w:tc>
        <w:tc>
          <w:tcPr>
            <w:vAlign w:val="center"/>
            <w:tcMar>
              <w:top w:w="70" w:type="dxa"/>
              <w:left w:w="85" w:type="dxa"/>
              <w:bottom w:w="70" w:type="dxa"/>
              <w:right w:w="85" w:type="dxa"/>
            </w:tcMar>
          </w:tcPr>
          <w:p>
            <w:pPr>
              <w:spacing w:after="30" w:before="0"/>
              <w:jc w:val="left"/>
            </w:pPr>
            <w:r>
              <w:rPr>
                <w:rFonts w:ascii="Arial" w:hAnsi="Arial"/>
                <w:sz w:val="16"/>
              </w:rPr>
              <w:t xml:space="preserve">Approved hierarchy and inheritance map</w:t>
            </w:r>
          </w:p>
        </w:tc>
        <w:tc>
          <w:tcPr>
            <w:vAlign w:val="center"/>
            <w:tcMar>
              <w:top w:w="70" w:type="dxa"/>
              <w:left w:w="85" w:type="dxa"/>
              <w:bottom w:w="70" w:type="dxa"/>
              <w:right w:w="85" w:type="dxa"/>
            </w:tcMar>
          </w:tcPr>
          <w:p>
            <w:pPr>
              <w:spacing w:after="30" w:before="0"/>
              <w:jc w:val="left"/>
            </w:pPr>
            <w:r>
              <w:rPr>
                <w:rFonts w:ascii="Arial" w:hAnsi="Arial"/>
                <w:sz w:val="16"/>
              </w:rPr>
              <w:t xml:space="preserve">Terraform plan and resource inventory</w:t>
            </w:r>
          </w:p>
        </w:tc>
        <w:tc>
          <w:tcPr>
            <w:vAlign w:val="center"/>
            <w:tcMar>
              <w:top w:w="70" w:type="dxa"/>
              <w:left w:w="85" w:type="dxa"/>
              <w:bottom w:w="70" w:type="dxa"/>
              <w:right w:w="85" w:type="dxa"/>
            </w:tcMar>
          </w:tcPr>
          <w:p>
            <w:pPr>
              <w:spacing w:after="30" w:before="0"/>
              <w:jc w:val="left"/>
            </w:pPr>
            <w:r>
              <w:rPr>
                <w:rFonts w:ascii="Arial" w:hAnsi="Arial"/>
                <w:sz w:val="16"/>
              </w:rPr>
              <w:t xml:space="preserve">Quarterly ownership review</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Project factory</w:t>
            </w:r>
          </w:p>
        </w:tc>
        <w:tc>
          <w:tcPr>
            <w:vAlign w:val="center"/>
            <w:tcMar>
              <w:top w:w="70" w:type="dxa"/>
              <w:left w:w="85" w:type="dxa"/>
              <w:bottom w:w="70" w:type="dxa"/>
              <w:right w:w="85" w:type="dxa"/>
            </w:tcMar>
          </w:tcPr>
          <w:p>
            <w:pPr>
              <w:spacing w:after="30" w:before="0"/>
              <w:jc w:val="left"/>
            </w:pPr>
            <w:r>
              <w:rPr>
                <w:rFonts w:ascii="Arial" w:hAnsi="Arial"/>
                <w:sz w:val="16"/>
              </w:rPr>
              <w:t xml:space="preserve">Service design and request schema</w:t>
            </w:r>
          </w:p>
        </w:tc>
        <w:tc>
          <w:tcPr>
            <w:vAlign w:val="center"/>
            <w:tcMar>
              <w:top w:w="70" w:type="dxa"/>
              <w:left w:w="85" w:type="dxa"/>
              <w:bottom w:w="70" w:type="dxa"/>
              <w:right w:w="85" w:type="dxa"/>
            </w:tcMar>
          </w:tcPr>
          <w:p>
            <w:pPr>
              <w:spacing w:after="30" w:before="0"/>
              <w:jc w:val="left"/>
            </w:pPr>
            <w:r>
              <w:rPr>
                <w:rFonts w:ascii="Arial" w:hAnsi="Arial"/>
                <w:sz w:val="16"/>
              </w:rPr>
              <w:t xml:space="preserve">Pipeline logs and test project</w:t>
            </w:r>
          </w:p>
        </w:tc>
        <w:tc>
          <w:tcPr>
            <w:vAlign w:val="center"/>
            <w:tcMar>
              <w:top w:w="70" w:type="dxa"/>
              <w:left w:w="85" w:type="dxa"/>
              <w:bottom w:w="70" w:type="dxa"/>
              <w:right w:w="85" w:type="dxa"/>
            </w:tcMar>
          </w:tcPr>
          <w:p>
            <w:pPr>
              <w:spacing w:after="30" w:before="0"/>
              <w:jc w:val="left"/>
            </w:pPr>
            <w:r>
              <w:rPr>
                <w:rFonts w:ascii="Arial" w:hAnsi="Arial"/>
                <w:sz w:val="16"/>
              </w:rPr>
              <w:t xml:space="preserve">Lead-time SLO and exception metrics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Shared VPC</w:t>
            </w:r>
          </w:p>
        </w:tc>
        <w:tc>
          <w:tcPr>
            <w:vAlign w:val="center"/>
            <w:tcMar>
              <w:top w:w="70" w:type="dxa"/>
              <w:left w:w="85" w:type="dxa"/>
              <w:bottom w:w="70" w:type="dxa"/>
              <w:right w:w="85" w:type="dxa"/>
            </w:tcMar>
          </w:tcPr>
          <w:p>
            <w:pPr>
              <w:spacing w:after="30" w:before="0"/>
              <w:jc w:val="left"/>
            </w:pPr>
            <w:r>
              <w:rPr>
                <w:rFonts w:ascii="Arial" w:hAnsi="Arial"/>
                <w:sz w:val="16"/>
              </w:rPr>
              <w:t xml:space="preserve">Network architecture and IPAM allocation</w:t>
            </w:r>
          </w:p>
        </w:tc>
        <w:tc>
          <w:tcPr>
            <w:vAlign w:val="center"/>
            <w:tcMar>
              <w:top w:w="70" w:type="dxa"/>
              <w:left w:w="85" w:type="dxa"/>
              <w:bottom w:w="70" w:type="dxa"/>
              <w:right w:w="85" w:type="dxa"/>
            </w:tcMar>
          </w:tcPr>
          <w:p>
            <w:pPr>
              <w:spacing w:after="30" w:before="0"/>
              <w:jc w:val="left"/>
            </w:pPr>
            <w:r>
              <w:rPr>
                <w:rFonts w:ascii="Arial" w:hAnsi="Arial"/>
                <w:sz w:val="16"/>
              </w:rPr>
              <w:t xml:space="preserve">Host/service project attachment</w:t>
            </w:r>
          </w:p>
        </w:tc>
        <w:tc>
          <w:tcPr>
            <w:vAlign w:val="center"/>
            <w:tcMar>
              <w:top w:w="70" w:type="dxa"/>
              <w:left w:w="85" w:type="dxa"/>
              <w:bottom w:w="70" w:type="dxa"/>
              <w:right w:w="85" w:type="dxa"/>
            </w:tcMar>
          </w:tcPr>
          <w:p>
            <w:pPr>
              <w:spacing w:after="30" w:before="0"/>
              <w:jc w:val="left"/>
            </w:pPr>
            <w:r>
              <w:rPr>
                <w:rFonts w:ascii="Arial" w:hAnsi="Arial"/>
                <w:sz w:val="16"/>
              </w:rPr>
              <w:t xml:space="preserve">Route, firewall and capacity dashboards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Hybrid connectivity</w:t>
            </w:r>
          </w:p>
        </w:tc>
        <w:tc>
          <w:tcPr>
            <w:vAlign w:val="center"/>
            <w:tcMar>
              <w:top w:w="70" w:type="dxa"/>
              <w:left w:w="85" w:type="dxa"/>
              <w:bottom w:w="70" w:type="dxa"/>
              <w:right w:w="85" w:type="dxa"/>
            </w:tcMar>
          </w:tcPr>
          <w:p>
            <w:pPr>
              <w:spacing w:after="30" w:before="0"/>
              <w:jc w:val="left"/>
            </w:pPr>
            <w:r>
              <w:rPr>
                <w:rFonts w:ascii="Arial" w:hAnsi="Arial"/>
                <w:sz w:val="16"/>
              </w:rPr>
              <w:t xml:space="preserve">Resilience and route design</w:t>
            </w:r>
          </w:p>
        </w:tc>
        <w:tc>
          <w:tcPr>
            <w:vAlign w:val="center"/>
            <w:tcMar>
              <w:top w:w="70" w:type="dxa"/>
              <w:left w:w="85" w:type="dxa"/>
              <w:bottom w:w="70" w:type="dxa"/>
              <w:right w:w="85" w:type="dxa"/>
            </w:tcMar>
          </w:tcPr>
          <w:p>
            <w:pPr>
              <w:spacing w:after="30" w:before="0"/>
              <w:jc w:val="left"/>
            </w:pPr>
            <w:r>
              <w:rPr>
                <w:rFonts w:ascii="Arial" w:hAnsi="Arial"/>
                <w:sz w:val="16"/>
              </w:rPr>
              <w:t xml:space="preserve">Attachment, VPN and BGP configurations</w:t>
            </w:r>
          </w:p>
        </w:tc>
        <w:tc>
          <w:tcPr>
            <w:vAlign w:val="center"/>
            <w:tcMar>
              <w:top w:w="70" w:type="dxa"/>
              <w:left w:w="85" w:type="dxa"/>
              <w:bottom w:w="70" w:type="dxa"/>
              <w:right w:w="85" w:type="dxa"/>
            </w:tcMar>
          </w:tcPr>
          <w:p>
            <w:pPr>
              <w:spacing w:after="30" w:before="0"/>
              <w:jc w:val="left"/>
            </w:pPr>
            <w:r>
              <w:rPr>
                <w:rFonts w:ascii="Arial" w:hAnsi="Arial"/>
                <w:sz w:val="16"/>
              </w:rPr>
              <w:t xml:space="preserve">Failover exercises and availability SLI</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Identity federation</w:t>
            </w:r>
          </w:p>
        </w:tc>
        <w:tc>
          <w:tcPr>
            <w:vAlign w:val="center"/>
            <w:tcMar>
              <w:top w:w="70" w:type="dxa"/>
              <w:left w:w="85" w:type="dxa"/>
              <w:bottom w:w="70" w:type="dxa"/>
              <w:right w:w="85" w:type="dxa"/>
            </w:tcMar>
          </w:tcPr>
          <w:p>
            <w:pPr>
              <w:spacing w:after="30" w:before="0"/>
              <w:jc w:val="left"/>
            </w:pPr>
            <w:r>
              <w:rPr>
                <w:rFonts w:ascii="Arial" w:hAnsi="Arial"/>
                <w:sz w:val="16"/>
              </w:rPr>
              <w:t xml:space="preserve">Trust model and claim mapping</w:t>
            </w:r>
          </w:p>
        </w:tc>
        <w:tc>
          <w:tcPr>
            <w:vAlign w:val="center"/>
            <w:tcMar>
              <w:top w:w="70" w:type="dxa"/>
              <w:left w:w="85" w:type="dxa"/>
              <w:bottom w:w="70" w:type="dxa"/>
              <w:right w:w="85" w:type="dxa"/>
            </w:tcMar>
          </w:tcPr>
          <w:p>
            <w:pPr>
              <w:spacing w:after="30" w:before="0"/>
              <w:jc w:val="left"/>
            </w:pPr>
            <w:r>
              <w:rPr>
                <w:rFonts w:ascii="Arial" w:hAnsi="Arial"/>
                <w:sz w:val="16"/>
              </w:rPr>
              <w:t xml:space="preserve">Pool/provider and IAM configuration</w:t>
            </w:r>
          </w:p>
        </w:tc>
        <w:tc>
          <w:tcPr>
            <w:vAlign w:val="center"/>
            <w:tcMar>
              <w:top w:w="70" w:type="dxa"/>
              <w:left w:w="85" w:type="dxa"/>
              <w:bottom w:w="70" w:type="dxa"/>
              <w:right w:w="85" w:type="dxa"/>
            </w:tcMar>
          </w:tcPr>
          <w:p>
            <w:pPr>
              <w:spacing w:after="30" w:before="0"/>
              <w:jc w:val="left"/>
            </w:pPr>
            <w:r>
              <w:rPr>
                <w:rFonts w:ascii="Arial" w:hAnsi="Arial"/>
                <w:sz w:val="16"/>
              </w:rPr>
              <w:t xml:space="preserve">Token and access-review 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Privileged access</w:t>
            </w:r>
          </w:p>
        </w:tc>
        <w:tc>
          <w:tcPr>
            <w:vAlign w:val="center"/>
            <w:tcMar>
              <w:top w:w="70" w:type="dxa"/>
              <w:left w:w="85" w:type="dxa"/>
              <w:bottom w:w="70" w:type="dxa"/>
              <w:right w:w="85" w:type="dxa"/>
            </w:tcMar>
          </w:tcPr>
          <w:p>
            <w:pPr>
              <w:spacing w:after="30" w:before="0"/>
              <w:jc w:val="left"/>
            </w:pPr>
            <w:r>
              <w:rPr>
                <w:rFonts w:ascii="Arial" w:hAnsi="Arial"/>
                <w:sz w:val="16"/>
              </w:rPr>
              <w:t xml:space="preserve">Entitlement and approval design</w:t>
            </w:r>
          </w:p>
        </w:tc>
        <w:tc>
          <w:tcPr>
            <w:vAlign w:val="center"/>
            <w:tcMar>
              <w:top w:w="70" w:type="dxa"/>
              <w:left w:w="85" w:type="dxa"/>
              <w:bottom w:w="70" w:type="dxa"/>
              <w:right w:w="85" w:type="dxa"/>
            </w:tcMar>
          </w:tcPr>
          <w:p>
            <w:pPr>
              <w:spacing w:after="30" w:before="0"/>
              <w:jc w:val="left"/>
            </w:pPr>
            <w:r>
              <w:rPr>
                <w:rFonts w:ascii="Arial" w:hAnsi="Arial"/>
                <w:sz w:val="16"/>
              </w:rPr>
              <w:t xml:space="preserve">PAM configuration</w:t>
            </w:r>
          </w:p>
        </w:tc>
        <w:tc>
          <w:tcPr>
            <w:vAlign w:val="center"/>
            <w:tcMar>
              <w:top w:w="70" w:type="dxa"/>
              <w:left w:w="85" w:type="dxa"/>
              <w:bottom w:w="70" w:type="dxa"/>
              <w:right w:w="85" w:type="dxa"/>
            </w:tcMar>
          </w:tcPr>
          <w:p>
            <w:pPr>
              <w:spacing w:after="30" w:before="0"/>
              <w:jc w:val="left"/>
            </w:pPr>
            <w:r>
              <w:rPr>
                <w:rFonts w:ascii="Arial" w:hAnsi="Arial"/>
                <w:sz w:val="16"/>
              </w:rPr>
              <w:t xml:space="preserve">Request, use and expiry records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Organization policy</w:t>
            </w:r>
          </w:p>
        </w:tc>
        <w:tc>
          <w:tcPr>
            <w:vAlign w:val="center"/>
            <w:tcMar>
              <w:top w:w="70" w:type="dxa"/>
              <w:left w:w="85" w:type="dxa"/>
              <w:bottom w:w="70" w:type="dxa"/>
              <w:right w:w="85" w:type="dxa"/>
            </w:tcMar>
          </w:tcPr>
          <w:p>
            <w:pPr>
              <w:spacing w:after="30" w:before="0"/>
              <w:jc w:val="left"/>
            </w:pPr>
            <w:r>
              <w:rPr>
                <w:rFonts w:ascii="Arial" w:hAnsi="Arial"/>
                <w:sz w:val="16"/>
              </w:rPr>
              <w:t xml:space="preserve">Policy baseline and exception model</w:t>
            </w:r>
          </w:p>
        </w:tc>
        <w:tc>
          <w:tcPr>
            <w:vAlign w:val="center"/>
            <w:tcMar>
              <w:top w:w="70" w:type="dxa"/>
              <w:left w:w="85" w:type="dxa"/>
              <w:bottom w:w="70" w:type="dxa"/>
              <w:right w:w="85" w:type="dxa"/>
            </w:tcMar>
          </w:tcPr>
          <w:p>
            <w:pPr>
              <w:spacing w:after="30" w:before="0"/>
              <w:jc w:val="left"/>
            </w:pPr>
            <w:r>
              <w:rPr>
                <w:rFonts w:ascii="Arial" w:hAnsi="Arial"/>
                <w:sz w:val="16"/>
              </w:rPr>
              <w:t xml:space="preserve">Effective-policy inventory</w:t>
            </w:r>
          </w:p>
        </w:tc>
        <w:tc>
          <w:tcPr>
            <w:vAlign w:val="center"/>
            <w:tcMar>
              <w:top w:w="70" w:type="dxa"/>
              <w:left w:w="85" w:type="dxa"/>
              <w:bottom w:w="70" w:type="dxa"/>
              <w:right w:w="85" w:type="dxa"/>
            </w:tcMar>
          </w:tcPr>
          <w:p>
            <w:pPr>
              <w:spacing w:after="30" w:before="0"/>
              <w:jc w:val="left"/>
            </w:pPr>
            <w:r>
              <w:rPr>
                <w:rFonts w:ascii="Arial" w:hAnsi="Arial"/>
                <w:sz w:val="16"/>
              </w:rPr>
              <w:t xml:space="preserve">Compliance and exception review</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VPC Service Controls</w:t>
            </w:r>
          </w:p>
        </w:tc>
        <w:tc>
          <w:tcPr>
            <w:vAlign w:val="center"/>
            <w:tcMar>
              <w:top w:w="70" w:type="dxa"/>
              <w:left w:w="85" w:type="dxa"/>
              <w:bottom w:w="70" w:type="dxa"/>
              <w:right w:w="85" w:type="dxa"/>
            </w:tcMar>
          </w:tcPr>
          <w:p>
            <w:pPr>
              <w:spacing w:after="30" w:before="0"/>
              <w:jc w:val="left"/>
            </w:pPr>
            <w:r>
              <w:rPr>
                <w:rFonts w:ascii="Arial" w:hAnsi="Arial"/>
                <w:sz w:val="16"/>
              </w:rPr>
              <w:t xml:space="preserve">Perimeter and flow matrix</w:t>
            </w:r>
          </w:p>
        </w:tc>
        <w:tc>
          <w:tcPr>
            <w:vAlign w:val="center"/>
            <w:tcMar>
              <w:top w:w="70" w:type="dxa"/>
              <w:left w:w="85" w:type="dxa"/>
              <w:bottom w:w="70" w:type="dxa"/>
              <w:right w:w="85" w:type="dxa"/>
            </w:tcMar>
          </w:tcPr>
          <w:p>
            <w:pPr>
              <w:spacing w:after="30" w:before="0"/>
              <w:jc w:val="left"/>
            </w:pPr>
            <w:r>
              <w:rPr>
                <w:rFonts w:ascii="Arial" w:hAnsi="Arial"/>
                <w:sz w:val="16"/>
              </w:rPr>
              <w:t xml:space="preserve">Dry-run and enforced policies</w:t>
            </w:r>
          </w:p>
        </w:tc>
        <w:tc>
          <w:tcPr>
            <w:vAlign w:val="center"/>
            <w:tcMar>
              <w:top w:w="70" w:type="dxa"/>
              <w:left w:w="85" w:type="dxa"/>
              <w:bottom w:w="70" w:type="dxa"/>
              <w:right w:w="85" w:type="dxa"/>
            </w:tcMar>
          </w:tcPr>
          <w:p>
            <w:pPr>
              <w:spacing w:after="30" w:before="0"/>
              <w:jc w:val="left"/>
            </w:pPr>
            <w:r>
              <w:rPr>
                <w:rFonts w:ascii="Arial" w:hAnsi="Arial"/>
                <w:sz w:val="16"/>
              </w:rPr>
              <w:t xml:space="preserve">Violation dashboard and rule review</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Encryption</w:t>
            </w:r>
          </w:p>
        </w:tc>
        <w:tc>
          <w:tcPr>
            <w:vAlign w:val="center"/>
            <w:tcMar>
              <w:top w:w="70" w:type="dxa"/>
              <w:left w:w="85" w:type="dxa"/>
              <w:bottom w:w="70" w:type="dxa"/>
              <w:right w:w="85" w:type="dxa"/>
            </w:tcMar>
          </w:tcPr>
          <w:p>
            <w:pPr>
              <w:spacing w:after="30" w:before="0"/>
              <w:jc w:val="left"/>
            </w:pPr>
            <w:r>
              <w:rPr>
                <w:rFonts w:ascii="Arial" w:hAnsi="Arial"/>
                <w:sz w:val="16"/>
              </w:rPr>
              <w:t xml:space="preserve">Key hierarchy and classification mapping</w:t>
            </w:r>
          </w:p>
        </w:tc>
        <w:tc>
          <w:tcPr>
            <w:vAlign w:val="center"/>
            <w:tcMar>
              <w:top w:w="70" w:type="dxa"/>
              <w:left w:w="85" w:type="dxa"/>
              <w:bottom w:w="70" w:type="dxa"/>
              <w:right w:w="85" w:type="dxa"/>
            </w:tcMar>
          </w:tcPr>
          <w:p>
            <w:pPr>
              <w:spacing w:after="30" w:before="0"/>
              <w:jc w:val="left"/>
            </w:pPr>
            <w:r>
              <w:rPr>
                <w:rFonts w:ascii="Arial" w:hAnsi="Arial"/>
                <w:sz w:val="16"/>
              </w:rPr>
              <w:t xml:space="preserve">KMS, HSM and IAM configuration</w:t>
            </w:r>
          </w:p>
        </w:tc>
        <w:tc>
          <w:tcPr>
            <w:vAlign w:val="center"/>
            <w:tcMar>
              <w:top w:w="70" w:type="dxa"/>
              <w:left w:w="85" w:type="dxa"/>
              <w:bottom w:w="70" w:type="dxa"/>
              <w:right w:w="85" w:type="dxa"/>
            </w:tcMar>
          </w:tcPr>
          <w:p>
            <w:pPr>
              <w:spacing w:after="30" w:before="0"/>
              <w:jc w:val="left"/>
            </w:pPr>
            <w:r>
              <w:rPr>
                <w:rFonts w:ascii="Arial" w:hAnsi="Arial"/>
                <w:sz w:val="16"/>
              </w:rPr>
              <w:t xml:space="preserve">Rotation, access and recovery tests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Logging</w:t>
            </w:r>
          </w:p>
        </w:tc>
        <w:tc>
          <w:tcPr>
            <w:vAlign w:val="center"/>
            <w:tcMar>
              <w:top w:w="70" w:type="dxa"/>
              <w:left w:w="85" w:type="dxa"/>
              <w:bottom w:w="70" w:type="dxa"/>
              <w:right w:w="85" w:type="dxa"/>
            </w:tcMar>
          </w:tcPr>
          <w:p>
            <w:pPr>
              <w:spacing w:after="30" w:before="0"/>
              <w:jc w:val="left"/>
            </w:pPr>
            <w:r>
              <w:rPr>
                <w:rFonts w:ascii="Arial" w:hAnsi="Arial"/>
                <w:sz w:val="16"/>
              </w:rPr>
              <w:t xml:space="preserve">Log-source and retention matrix</w:t>
            </w:r>
          </w:p>
        </w:tc>
        <w:tc>
          <w:tcPr>
            <w:vAlign w:val="center"/>
            <w:tcMar>
              <w:top w:w="70" w:type="dxa"/>
              <w:left w:w="85" w:type="dxa"/>
              <w:bottom w:w="70" w:type="dxa"/>
              <w:right w:w="85" w:type="dxa"/>
            </w:tcMar>
          </w:tcPr>
          <w:p>
            <w:pPr>
              <w:spacing w:after="30" w:before="0"/>
              <w:jc w:val="left"/>
            </w:pPr>
            <w:r>
              <w:rPr>
                <w:rFonts w:ascii="Arial" w:hAnsi="Arial"/>
                <w:sz w:val="16"/>
              </w:rPr>
              <w:t xml:space="preserve">Aggregated sinks, buckets and views</w:t>
            </w:r>
          </w:p>
        </w:tc>
        <w:tc>
          <w:tcPr>
            <w:vAlign w:val="center"/>
            <w:tcMar>
              <w:top w:w="70" w:type="dxa"/>
              <w:left w:w="85" w:type="dxa"/>
              <w:bottom w:w="70" w:type="dxa"/>
              <w:right w:w="85" w:type="dxa"/>
            </w:tcMar>
          </w:tcPr>
          <w:p>
            <w:pPr>
              <w:spacing w:after="30" w:before="0"/>
              <w:jc w:val="left"/>
            </w:pPr>
            <w:r>
              <w:rPr>
                <w:rFonts w:ascii="Arial" w:hAnsi="Arial"/>
                <w:sz w:val="16"/>
              </w:rPr>
              <w:t xml:space="preserve">Coverage, retention and query evidence</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Monitoring</w:t>
            </w:r>
          </w:p>
        </w:tc>
        <w:tc>
          <w:tcPr>
            <w:vAlign w:val="center"/>
            <w:tcMar>
              <w:top w:w="70" w:type="dxa"/>
              <w:left w:w="85" w:type="dxa"/>
              <w:bottom w:w="70" w:type="dxa"/>
              <w:right w:w="85" w:type="dxa"/>
            </w:tcMar>
          </w:tcPr>
          <w:p>
            <w:pPr>
              <w:spacing w:after="30" w:before="0"/>
              <w:jc w:val="left"/>
            </w:pPr>
            <w:r>
              <w:rPr>
                <w:rFonts w:ascii="Arial" w:hAnsi="Arial"/>
                <w:sz w:val="16"/>
              </w:rPr>
              <w:t xml:space="preserve">SLI/SLO and alert catalogue</w:t>
            </w:r>
          </w:p>
        </w:tc>
        <w:tc>
          <w:tcPr>
            <w:vAlign w:val="center"/>
            <w:tcMar>
              <w:top w:w="70" w:type="dxa"/>
              <w:left w:w="85" w:type="dxa"/>
              <w:bottom w:w="70" w:type="dxa"/>
              <w:right w:w="85" w:type="dxa"/>
            </w:tcMar>
          </w:tcPr>
          <w:p>
            <w:pPr>
              <w:spacing w:after="30" w:before="0"/>
              <w:jc w:val="left"/>
            </w:pPr>
            <w:r>
              <w:rPr>
                <w:rFonts w:ascii="Arial" w:hAnsi="Arial"/>
                <w:sz w:val="16"/>
              </w:rPr>
              <w:t xml:space="preserve">Dashboards and alert policies</w:t>
            </w:r>
          </w:p>
        </w:tc>
        <w:tc>
          <w:tcPr>
            <w:vAlign w:val="center"/>
            <w:tcMar>
              <w:top w:w="70" w:type="dxa"/>
              <w:left w:w="85" w:type="dxa"/>
              <w:bottom w:w="70" w:type="dxa"/>
              <w:right w:w="85" w:type="dxa"/>
            </w:tcMar>
          </w:tcPr>
          <w:p>
            <w:pPr>
              <w:spacing w:after="30" w:before="0"/>
              <w:jc w:val="left"/>
            </w:pPr>
            <w:r>
              <w:rPr>
                <w:rFonts w:ascii="Arial" w:hAnsi="Arial"/>
                <w:sz w:val="16"/>
              </w:rPr>
              <w:t xml:space="preserve">Alert tests, incidents and error budgets</w:t>
            </w:r>
          </w:p>
        </w:tc>
      </w:tr>
      <w:tr>
        <w:trPr>
          <w:cantSplit/>
        </w:trPr>
        <w:tc>
          <w:tcPr>
            <w:vAlign w:val="center"/>
            <w:tcMar>
              <w:top w:w="70" w:type="dxa"/>
              <w:left w:w="85" w:type="dxa"/>
              <w:bottom w:w="70" w:type="dxa"/>
              <w:right w:w="85" w:type="dxa"/>
            </w:tcMar>
          </w:tcPr>
          <w:p>
            <w:pPr>
              <w:spacing w:after="30" w:before="0"/>
              <w:jc w:val="left"/>
            </w:pPr>
            <w:r>
              <w:rPr>
                <w:rFonts w:ascii="Arial" w:hAnsi="Arial"/>
                <w:sz w:val="16"/>
              </w:rPr>
              <w:t xml:space="preserve">Security operations</w:t>
            </w:r>
          </w:p>
        </w:tc>
        <w:tc>
          <w:tcPr>
            <w:vAlign w:val="center"/>
            <w:tcMar>
              <w:top w:w="70" w:type="dxa"/>
              <w:left w:w="85" w:type="dxa"/>
              <w:bottom w:w="70" w:type="dxa"/>
              <w:right w:w="85" w:type="dxa"/>
            </w:tcMar>
          </w:tcPr>
          <w:p>
            <w:pPr>
              <w:spacing w:after="30" w:before="0"/>
              <w:jc w:val="left"/>
            </w:pPr>
            <w:r>
              <w:rPr>
                <w:rFonts w:ascii="Arial" w:hAnsi="Arial"/>
                <w:sz w:val="16"/>
              </w:rPr>
              <w:t xml:space="preserve">Finding ownership and response model</w:t>
            </w:r>
          </w:p>
        </w:tc>
        <w:tc>
          <w:tcPr>
            <w:vAlign w:val="center"/>
            <w:tcMar>
              <w:top w:w="70" w:type="dxa"/>
              <w:left w:w="85" w:type="dxa"/>
              <w:bottom w:w="70" w:type="dxa"/>
              <w:right w:w="85" w:type="dxa"/>
            </w:tcMar>
          </w:tcPr>
          <w:p>
            <w:pPr>
              <w:spacing w:after="30" w:before="0"/>
              <w:jc w:val="left"/>
            </w:pPr>
            <w:r>
              <w:rPr>
                <w:rFonts w:ascii="Arial" w:hAnsi="Arial"/>
                <w:sz w:val="16"/>
              </w:rPr>
              <w:t xml:space="preserve">SCC and SIEM/SOAR connectors</w:t>
            </w:r>
          </w:p>
        </w:tc>
        <w:tc>
          <w:tcPr>
            <w:vAlign w:val="center"/>
            <w:tcMar>
              <w:top w:w="70" w:type="dxa"/>
              <w:left w:w="85" w:type="dxa"/>
              <w:bottom w:w="70" w:type="dxa"/>
              <w:right w:w="85" w:type="dxa"/>
            </w:tcMar>
          </w:tcPr>
          <w:p>
            <w:pPr>
              <w:spacing w:after="30" w:before="0"/>
              <w:jc w:val="left"/>
            </w:pPr>
            <w:r>
              <w:rPr>
                <w:rFonts w:ascii="Arial" w:hAnsi="Arial"/>
                <w:sz w:val="16"/>
              </w:rPr>
              <w:t xml:space="preserve">Remediation SLO and incident records</w:t>
            </w:r>
          </w:p>
        </w:tc>
      </w:tr>
    </w:tbl>
    <w:bookmarkEnd w:id="221"/>
    <w:bookmarkStart w:id="222" w:name="X3e7e6f385a059f44901c8265f7ece81d481fde2"/>
    <w:p>
      <w:pPr>
        <w:pStyle w:val="Heading1"/>
        <w:keepNext/>
        <w:pageBreakBefore w:val="0"/>
      </w:pPr>
      <w:r>
        <w:t xml:space="preserve">Appendix E — Authoritative Implementation References</w:t>
      </w:r>
    </w:p>
    <w:p>
      <w:pPr>
        <w:pStyle w:val="FirstParagraph"/>
      </w:pPr>
      <w:r>
        <w:t xml:space="preserve">The implementation team must validate current behavior against the latest official Google Cloud documentation. The principal reference families are:</w:t>
      </w:r>
    </w:p>
    <w:p>
      <w:pPr>
        <w:pStyle w:val="Compact"/>
        <w:numPr>
          <w:ilvl w:val="0"/>
          <w:numId w:val="1046"/>
        </w:numPr>
      </w:pPr>
      <w:r>
        <w:t xml:space="preserve">Google Cloud landing zone design and deployment guidance.</w:t>
      </w:r>
    </w:p>
    <w:p>
      <w:pPr>
        <w:pStyle w:val="Compact"/>
        <w:numPr>
          <w:ilvl w:val="0"/>
          <w:numId w:val="1046"/>
        </w:numPr>
      </w:pPr>
      <w:r>
        <w:t xml:space="preserve">Google Cloud enterprise foundations blueprint.</w:t>
      </w:r>
    </w:p>
    <w:p>
      <w:pPr>
        <w:pStyle w:val="Compact"/>
        <w:numPr>
          <w:ilvl w:val="0"/>
          <w:numId w:val="1046"/>
        </w:numPr>
      </w:pPr>
      <w:r>
        <w:t xml:space="preserve">Resource hierarchy and organization policy documentation.</w:t>
      </w:r>
    </w:p>
    <w:p>
      <w:pPr>
        <w:pStyle w:val="Compact"/>
        <w:numPr>
          <w:ilvl w:val="0"/>
          <w:numId w:val="1046"/>
        </w:numPr>
      </w:pPr>
      <w:r>
        <w:t xml:space="preserve">Shared VPC, VPC design and Network Connectivity Center documentation.</w:t>
      </w:r>
    </w:p>
    <w:p>
      <w:pPr>
        <w:pStyle w:val="Compact"/>
        <w:numPr>
          <w:ilvl w:val="0"/>
          <w:numId w:val="1046"/>
        </w:numPr>
      </w:pPr>
      <w:r>
        <w:t xml:space="preserve">Private Service Connect and Private Google Access documentation.</w:t>
      </w:r>
    </w:p>
    <w:p>
      <w:pPr>
        <w:pStyle w:val="Compact"/>
        <w:numPr>
          <w:ilvl w:val="0"/>
          <w:numId w:val="1046"/>
        </w:numPr>
      </w:pPr>
      <w:r>
        <w:t xml:space="preserve">Cloud Interconnect, Partner Interconnect and HA VPN documentation.</w:t>
      </w:r>
    </w:p>
    <w:p>
      <w:pPr>
        <w:pStyle w:val="Compact"/>
        <w:numPr>
          <w:ilvl w:val="0"/>
          <w:numId w:val="1046"/>
        </w:numPr>
      </w:pPr>
      <w:r>
        <w:t xml:space="preserve">Cloud DNS, Cloud NAT and Cloud Armor documentation.</w:t>
      </w:r>
    </w:p>
    <w:p>
      <w:pPr>
        <w:pStyle w:val="Compact"/>
        <w:numPr>
          <w:ilvl w:val="0"/>
          <w:numId w:val="1046"/>
        </w:numPr>
      </w:pPr>
      <w:r>
        <w:t xml:space="preserve">Cloud Identity, Workforce Identity Federation and Workload Identity Federation documentation.</w:t>
      </w:r>
    </w:p>
    <w:p>
      <w:pPr>
        <w:pStyle w:val="Compact"/>
        <w:numPr>
          <w:ilvl w:val="0"/>
          <w:numId w:val="1046"/>
        </w:numPr>
      </w:pPr>
      <w:r>
        <w:t xml:space="preserve">IAM, service accounts, IAM Conditions and Privileged Access Manager documentation.</w:t>
      </w:r>
    </w:p>
    <w:p>
      <w:pPr>
        <w:pStyle w:val="Compact"/>
        <w:numPr>
          <w:ilvl w:val="0"/>
          <w:numId w:val="1046"/>
        </w:numPr>
      </w:pPr>
      <w:r>
        <w:t xml:space="preserve">VPC Service Controls and Access Context Manager documentation.</w:t>
      </w:r>
    </w:p>
    <w:p>
      <w:pPr>
        <w:pStyle w:val="Compact"/>
        <w:numPr>
          <w:ilvl w:val="0"/>
          <w:numId w:val="1046"/>
        </w:numPr>
      </w:pPr>
      <w:r>
        <w:t xml:space="preserve">Security Command Center documentation.</w:t>
      </w:r>
    </w:p>
    <w:p>
      <w:pPr>
        <w:pStyle w:val="Compact"/>
        <w:numPr>
          <w:ilvl w:val="0"/>
          <w:numId w:val="1046"/>
        </w:numPr>
      </w:pPr>
      <w:r>
        <w:t xml:space="preserve">Secret Manager, Cloud KMS, Cloud HSM and CMEK integration documentation.</w:t>
      </w:r>
    </w:p>
    <w:p>
      <w:pPr>
        <w:pStyle w:val="Compact"/>
        <w:numPr>
          <w:ilvl w:val="0"/>
          <w:numId w:val="1046"/>
        </w:numPr>
      </w:pPr>
      <w:r>
        <w:t xml:space="preserve">Cloud Audit Logs, Log Router, log buckets, log scopes and Cloud Monitoring documentation.</w:t>
      </w:r>
    </w:p>
    <w:p>
      <w:pPr>
        <w:pStyle w:val="Compact"/>
        <w:numPr>
          <w:ilvl w:val="0"/>
          <w:numId w:val="1046"/>
        </w:numPr>
      </w:pPr>
      <w:r>
        <w:t xml:space="preserve">Terraform Google provider and Google Cloud foundation toolkit examples.</w:t>
      </w:r>
    </w:p>
    <w:p>
      <w:pPr>
        <w:pStyle w:val="FirstParagraph"/>
      </w:pPr>
      <w:r>
        <w:t xml:space="preserve">Reference validation is a release gate because service support, constraints, quotas and recommended patterns can change after this architecture baseline is published.</w:t>
      </w:r>
    </w:p>
    <w:bookmarkEnd w:id="222"/>
    <w:sectPr w:rsidR="00FC693F" w:rsidRPr="0006063C" w:rsidSect="00034616">
      <w:headerReference r:id="rId9" w:type="default"/>
      <w:footerReference r:id="rId10" w:type="default"/>
      <w:headerReference w:type="first" r:id="rId11"/>
      <w:footerReference w:type="first" r:id="rId12"/>
      <w:pgSz w:h="15840" w:w="12240"/>
      <w:pgMar w:bottom="1080" w:footer="432" w:gutter="0" w:header="360" w:left="1123" w:right="1123" w:top="108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D9E2F3"/>
      </w:pBdr>
    </w:pPr>
    <w:r>
      <w:rPr>
        <w:rFonts w:ascii="Arial" w:hAnsi="Arial"/>
        <w:color w:val="595959"/>
        <w:sz w:val="15"/>
      </w:rPr>
      <w:t xml:space="preserve">Enterprise Reference Architecture  •  Architecture Baseline 1.0  •  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Enterprise Reference Architecture  •  Volume 02  •  July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4285F4"/>
      </w:pBdr>
    </w:pPr>
    <w:r>
      <w:rPr>
        <w:rFonts w:ascii="Arial" w:hAnsi="Arial"/>
        <w:b/>
        <w:color w:val="1F4E79"/>
        <w:sz w:val="16"/>
      </w:rPr>
      <w:t>Enterprise Google Cloud Data Platform Blueprint  |  Volume 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70" w:line="264" w:lineRule="auto"/>
    </w:pPr>
    <w:rPr>
      <w:rFonts w:ascii="Arial" w:hAnsi="Arial"/>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Arial" w:asciiTheme="majorHAnsi" w:cstheme="majorBidi" w:eastAsiaTheme="majorEastAsia" w:hAnsi="Arial" w:hAnsiTheme="majorHAnsi"/>
      <w:b/>
      <w:bCs/>
      <w:color w:val="17365D"/>
      <w:sz w:val="34"/>
      <w:szCs w:val="28"/>
    </w:rPr>
  </w:style>
  <w:style w:styleId="Heading2" w:type="paragraph">
    <w:name w:val="heading 2"/>
    <w:basedOn w:val="Normal"/>
    <w:next w:val="Normal"/>
    <w:link w:val="Heading2Char"/>
    <w:uiPriority w:val="9"/>
    <w:unhideWhenUsed/>
    <w:qFormat/>
    <w:rsid w:val="00FC693F"/>
    <w:pPr>
      <w:keepNext/>
      <w:keepLines/>
      <w:spacing w:after="80" w:before="180"/>
      <w:outlineLvl w:val="1"/>
    </w:pPr>
    <w:rPr>
      <w:rFonts w:ascii="Arial" w:asciiTheme="majorHAnsi" w:cstheme="majorBidi" w:eastAsiaTheme="majorEastAsia" w:hAnsi="Arial" w:hAnsiTheme="majorHAnsi"/>
      <w:b/>
      <w:bCs/>
      <w:color w:val="1F4E79"/>
      <w:sz w:val="26"/>
      <w:szCs w:val="26"/>
    </w:rPr>
  </w:style>
  <w:style w:styleId="Heading3" w:type="paragraph">
    <w:name w:val="heading 3"/>
    <w:basedOn w:val="Normal"/>
    <w:next w:val="Normal"/>
    <w:link w:val="Heading3Char"/>
    <w:uiPriority w:val="9"/>
    <w:unhideWhenUsed/>
    <w:qFormat/>
    <w:rsid w:val="00FC693F"/>
    <w:pPr>
      <w:keepNext/>
      <w:keepLines/>
      <w:spacing w:after="60" w:before="120"/>
      <w:outlineLvl w:val="2"/>
    </w:pPr>
    <w:rPr>
      <w:rFonts w:ascii="Arial" w:asciiTheme="majorHAnsi" w:cstheme="majorBidi" w:eastAsiaTheme="majorEastAsia" w:hAnsi="Arial" w:hAnsiTheme="majorHAnsi"/>
      <w:b/>
      <w:bCs/>
      <w:color w:val="365F91"/>
      <w:sz w:val="21"/>
    </w:rPr>
  </w:style>
  <w:style w:styleId="Heading4" w:type="paragraph">
    <w:name w:val="heading 4"/>
    <w:basedOn w:val="Normal"/>
    <w:next w:val="Normal"/>
    <w:link w:val="Heading4Char"/>
    <w:uiPriority w:val="9"/>
    <w:semiHidden/>
    <w:unhideWhenUsed/>
    <w:qFormat/>
    <w:rsid w:val="00FC693F"/>
    <w:pPr>
      <w:keepNext/>
      <w:keepLines/>
      <w:spacing w:after="80" w:before="200"/>
      <w:outlineLvl w:val="3"/>
    </w:pPr>
    <w:rPr>
      <w:rFonts w:ascii="Arial" w:asciiTheme="majorHAnsi" w:cstheme="majorBidi" w:eastAsiaTheme="majorEastAsia" w:hAnsi="Arial" w:hAnsiTheme="majorHAnsi"/>
      <w:b/>
      <w:bCs/>
      <w:i/>
      <w:iCs/>
      <w:color w:val="3C4043"/>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line="240" w:lineRule="auto" w:before="0"/>
      <w:contextualSpacing/>
    </w:pPr>
    <w:rPr>
      <w:rFonts w:ascii="Arial" w:asciiTheme="majorHAnsi" w:cstheme="majorBidi" w:eastAsiaTheme="majorEastAsia" w:hAnsi="Arial" w:hAnsiTheme="majorHAnsi"/>
      <w:b/>
      <w:color w:val="17365D"/>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before="40" w:after="240"/>
    </w:pPr>
    <w:rPr>
      <w:rFonts w:ascii="Arial" w:asciiTheme="majorHAnsi" w:cstheme="majorBidi" w:eastAsiaTheme="majorEastAsia" w:hAnsi="Arial" w:hAnsiTheme="majorHAnsi"/>
      <w:b/>
      <w:i/>
      <w:iCs/>
      <w:color w:val="4285F4"/>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70" w:line="264" w:lineRule="auto"/>
    </w:pPr>
    <w:rPr>
      <w:rFonts w:ascii="Arial" w:hAnsi="Arial"/>
      <w:sz w:val="19"/>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ead" w:type="paragraph">
    <w:name w:val="Lead"/>
    <w:pPr>
      <w:spacing w:after="200" w:line="269" w:lineRule="auto"/>
    </w:pPr>
    <w:rPr>
      <w:rFonts w:ascii="Arial" w:hAnsi="Arial"/>
      <w:color w:val="3C4043"/>
      <w:sz w:val="22"/>
    </w:rPr>
  </w:style>
  <w:style w:type="paragraph" w:customStyle="1" w:styleId="SourceCode">
    <w:name w:val="Source Code"/>
    <w:basedOn w:val="Normal"/>
    <w:link w:val="VerbatimChar"/>
    <w:pPr>
      <w:wordWrap w:val="off"/>
      <w:spacing w:before="40" w:after="40"/>
      <w:ind w:left="173" w:right="72"/>
    </w:pPr>
    <w:rPr>
      <w:rFonts w:ascii="Aptos Mono" w:hAnsi="Aptos Mono"/>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5" Type="http://schemas.openxmlformats.org/officeDocument/2006/relationships/image" Target="media/rId35.png"/><Relationship Id="rId46" Type="http://schemas.openxmlformats.org/officeDocument/2006/relationships/image" Target="media/rId46.png"/><Relationship Id="rId61" Type="http://schemas.openxmlformats.org/officeDocument/2006/relationships/image" Target="media/rId61.png"/><Relationship Id="rId91" Type="http://schemas.openxmlformats.org/officeDocument/2006/relationships/image" Target="media/rId91.png"/><Relationship Id="rId100" Type="http://schemas.openxmlformats.org/officeDocument/2006/relationships/image" Target="media/rId100.png"/><Relationship Id="rId125" Type="http://schemas.openxmlformats.org/officeDocument/2006/relationships/image" Target="media/rId125.png"/><Relationship Id="rId20" Type="http://schemas.openxmlformats.org/officeDocument/2006/relationships/image" Target="media/rId20.png"/><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02 - Google Cloud Landing Zone</dc:title>
  <dc:creator>Enterprise Cloud Architecture Team</dc:creator>
  <dc:language>en-US</dc:language>
  <cp:keywords>Google Cloud, Landing Zone, Shared VPC, IAM, Security, Terraform, VPC Service Controls</cp:keywords>
  <dcterms:created xsi:type="dcterms:W3CDTF">2026-07-11T04:04:56Z</dcterms:created>
  <dcterms:modified xsi:type="dcterms:W3CDTF">2026-07-11T04:04:56Z</dcterms:modified>
  <dc:subject>Enterprise Google Cloud Data Platform Blueprint Series</dc:subject>
  <dc:description>Fortune 100 enterprise reference architecture baseline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VOLUME 02 - Google Cloud Landing Zone</vt:lpwstr>
  </property>
</Properties>
</file>