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A73E8"/>
          <w:sz w:val="54"/>
        </w:rPr>
        <w:t>Enterprise Google Cloud</w:t>
        <w:br/>
        <w:t>Data Platform Blueprint</w:t>
      </w:r>
    </w:p>
    <w:p>
      <w:pPr>
        <w:jc w:val="center"/>
      </w:pPr>
      <w:r>
        <w:rPr>
          <w:b/>
          <w:color w:val="5F6368"/>
          <w:sz w:val="28"/>
        </w:rPr>
        <w:t>VOLUME 04</w:t>
      </w:r>
    </w:p>
    <w:p>
      <w:pPr>
        <w:jc w:val="center"/>
      </w:pPr>
      <w:r>
        <w:rPr>
          <w:b/>
          <w:color w:val="202124"/>
          <w:sz w:val="48"/>
        </w:rPr>
        <w:t>Data Engineering Pipelines</w:t>
      </w:r>
    </w:p>
    <w:p>
      <w:pPr>
        <w:jc w:val="center"/>
      </w:pPr>
      <w:r>
        <w:drawing>
          <wp:inline xmlns:a="http://schemas.openxmlformats.org/drawingml/2006/main" xmlns:pic="http://schemas.openxmlformats.org/drawingml/2006/picture">
            <wp:extent cx="6217920" cy="1391677"/>
            <wp:docPr id="1" name="Picture 1" descr="Figure 1. Enterprise data engineering pipeline architecture." title="Figure 1. Enterprise data engineering pipeline architecture."/>
            <wp:cNvGraphicFramePr>
              <a:graphicFrameLocks noChangeAspect="1"/>
            </wp:cNvGraphicFramePr>
            <a:graphic>
              <a:graphicData uri="http://schemas.openxmlformats.org/drawingml/2006/picture">
                <pic:pic>
                  <pic:nvPicPr>
                    <pic:cNvPr id="0" name="01_end_to_end_pipeline_architecture.png"/>
                    <pic:cNvPicPr/>
                  </pic:nvPicPr>
                  <pic:blipFill>
                    <a:blip r:embed="rId11"/>
                    <a:stretch>
                      <a:fillRect/>
                    </a:stretch>
                  </pic:blipFill>
                  <pic:spPr>
                    <a:xfrm>
                      <a:off x="0" y="0"/>
                      <a:ext cx="6217920" cy="1391677"/>
                    </a:xfrm>
                    <a:prstGeom prst="rect"/>
                  </pic:spPr>
                </pic:pic>
              </a:graphicData>
            </a:graphic>
          </wp:inline>
        </w:drawing>
      </w:r>
    </w:p>
    <w:p>
      <w:pPr>
        <w:pStyle w:val="Small"/>
        <w:jc w:val="center"/>
      </w:pPr>
      <w:r>
        <w:rPr>
          <w:i/>
        </w:rPr>
        <w:t>Figure 1. Enterprise data engineering pipeline architecture.</w:t>
      </w:r>
    </w:p>
    <w:p>
      <w:pPr>
        <w:jc w:val="center"/>
      </w:pPr>
      <w:r>
        <w:rPr>
          <w:sz w:val="20"/>
        </w:rPr>
        <w:t>Architecture Baseline 1.0 | 12 July 2026</w:t>
        <w:br/>
        <w:t>Confidential - Enterprise Reference Architecture</w:t>
      </w:r>
    </w:p>
    <w:tbl>
      <w:tblPr>
        <w:tblStyle w:val="TableGrid"/>
        <w:tblW w:type="auto" w:w="0"/>
        <w:tblLook w:firstColumn="1" w:firstRow="1" w:lastColumn="0" w:lastRow="0" w:noHBand="0" w:noVBand="1" w:val="04A0"/>
      </w:tblPr>
      <w:tblGrid>
        <w:gridCol w:w="10454"/>
      </w:tblGrid>
      <w:tr>
        <w:tc>
          <w:tcPr>
            <w:tcW w:type="dxa" w:w="10454"/>
            <w:shd w:fill="E8F0FE"/>
            <w:tcMar>
              <w:top w:w="90" w:type="dxa"/>
              <w:start w:w="100" w:type="dxa"/>
              <w:bottom w:w="90" w:type="dxa"/>
              <w:end w:w="100" w:type="dxa"/>
            </w:tcMar>
          </w:tcPr>
          <w:p>
            <w:pPr>
              <w:pStyle w:val="Callout"/>
            </w:pPr>
            <w:r>
              <w:rPr>
                <w:b/>
                <w:color w:val="1A73E8"/>
              </w:rPr>
              <w:t xml:space="preserve">Purpose. </w:t>
            </w:r>
            <w:r>
              <w:t>Implementation-ready standards for batch, micro-batch, streaming, CDC, SQL ELT, Spark, orchestration, replay, quality, security, observability and support across the enterprise data platform.</w:t>
            </w:r>
          </w:p>
        </w:tc>
      </w:tr>
    </w:tbl>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5"/>
              </w:rPr>
              <w:t>Field</w:t>
            </w:r>
          </w:p>
        </w:tc>
        <w:tc>
          <w:tcPr>
            <w:tcW w:type="dxa" w:w="7344"/>
            <w:shd w:fill="1A73E8"/>
            <w:vAlign w:val="center"/>
            <w:tcMar>
              <w:top w:w="60" w:type="dxa"/>
              <w:start w:w="70" w:type="dxa"/>
              <w:bottom w:w="60" w:type="dxa"/>
              <w:end w:w="70" w:type="dxa"/>
            </w:tcMar>
          </w:tcPr>
          <w:p>
            <w:r>
              <w:rPr>
                <w:b/>
                <w:color w:val="FFFFFF"/>
                <w:sz w:val="15"/>
              </w:rPr>
              <w:t>Value</w:t>
            </w:r>
          </w:p>
        </w:tc>
      </w:tr>
      <w:tr>
        <w:trPr>
          <w:cantSplit/>
        </w:trPr>
        <w:tc>
          <w:tcPr>
            <w:tcW w:type="dxa" w:w="2880"/>
            <w:vAlign w:val="top"/>
            <w:tcMar>
              <w:top w:w="60" w:type="dxa"/>
              <w:start w:w="70" w:type="dxa"/>
              <w:bottom w:w="60" w:type="dxa"/>
              <w:end w:w="70" w:type="dxa"/>
            </w:tcMar>
          </w:tcPr>
          <w:p>
            <w:pPr>
              <w:pStyle w:val="TableText"/>
            </w:pPr>
            <w:r>
              <w:rPr>
                <w:sz w:val="15"/>
              </w:rPr>
              <w:t>Document</w:t>
            </w:r>
          </w:p>
        </w:tc>
        <w:tc>
          <w:tcPr>
            <w:tcW w:type="dxa" w:w="7344"/>
            <w:vAlign w:val="top"/>
            <w:tcMar>
              <w:top w:w="60" w:type="dxa"/>
              <w:start w:w="70" w:type="dxa"/>
              <w:bottom w:w="60" w:type="dxa"/>
              <w:end w:w="70" w:type="dxa"/>
            </w:tcMar>
          </w:tcPr>
          <w:p>
            <w:pPr>
              <w:pStyle w:val="TableText"/>
            </w:pPr>
            <w:r>
              <w:rPr>
                <w:sz w:val="15"/>
              </w:rPr>
              <w:t>Volume 04 - Data Engineering Pipelines</w:t>
            </w:r>
          </w:p>
        </w:tc>
      </w:tr>
      <w:tr>
        <w:trPr>
          <w:cantSplit/>
        </w:trPr>
        <w:tc>
          <w:tcPr>
            <w:tcW w:type="dxa" w:w="2880"/>
            <w:vAlign w:val="top"/>
            <w:tcMar>
              <w:top w:w="60" w:type="dxa"/>
              <w:start w:w="70" w:type="dxa"/>
              <w:bottom w:w="60" w:type="dxa"/>
              <w:end w:w="70" w:type="dxa"/>
            </w:tcMar>
            <w:shd w:fill="F8F9FA"/>
          </w:tcPr>
          <w:p>
            <w:pPr>
              <w:pStyle w:val="TableText"/>
            </w:pPr>
            <w:r>
              <w:rPr>
                <w:sz w:val="15"/>
              </w:rPr>
              <w:t>Series</w:t>
            </w:r>
          </w:p>
        </w:tc>
        <w:tc>
          <w:tcPr>
            <w:tcW w:type="dxa" w:w="7344"/>
            <w:vAlign w:val="top"/>
            <w:tcMar>
              <w:top w:w="60" w:type="dxa"/>
              <w:start w:w="70" w:type="dxa"/>
              <w:bottom w:w="60" w:type="dxa"/>
              <w:end w:w="70" w:type="dxa"/>
            </w:tcMar>
            <w:shd w:fill="F8F9FA"/>
          </w:tcPr>
          <w:p>
            <w:pPr>
              <w:pStyle w:val="TableText"/>
            </w:pPr>
            <w:r>
              <w:rPr>
                <w:sz w:val="15"/>
              </w:rPr>
              <w:t>Enterprise Google Cloud Data Platform Blueprint</w:t>
            </w:r>
          </w:p>
        </w:tc>
      </w:tr>
      <w:tr>
        <w:trPr>
          <w:cantSplit/>
        </w:trPr>
        <w:tc>
          <w:tcPr>
            <w:tcW w:type="dxa" w:w="2880"/>
            <w:vAlign w:val="top"/>
            <w:tcMar>
              <w:top w:w="60" w:type="dxa"/>
              <w:start w:w="70" w:type="dxa"/>
              <w:bottom w:w="60" w:type="dxa"/>
              <w:end w:w="70" w:type="dxa"/>
            </w:tcMar>
          </w:tcPr>
          <w:p>
            <w:pPr>
              <w:pStyle w:val="TableText"/>
            </w:pPr>
            <w:r>
              <w:rPr>
                <w:sz w:val="15"/>
              </w:rPr>
              <w:t>Version</w:t>
            </w:r>
          </w:p>
        </w:tc>
        <w:tc>
          <w:tcPr>
            <w:tcW w:type="dxa" w:w="7344"/>
            <w:vAlign w:val="top"/>
            <w:tcMar>
              <w:top w:w="60" w:type="dxa"/>
              <w:start w:w="70" w:type="dxa"/>
              <w:bottom w:w="60" w:type="dxa"/>
              <w:end w:w="70" w:type="dxa"/>
            </w:tcMar>
          </w:tcPr>
          <w:p>
            <w:pPr>
              <w:pStyle w:val="TableText"/>
            </w:pPr>
            <w:r>
              <w:rPr>
                <w:sz w:val="15"/>
              </w:rPr>
              <w:t>1.0</w:t>
            </w:r>
          </w:p>
        </w:tc>
      </w:tr>
      <w:tr>
        <w:trPr>
          <w:cantSplit/>
        </w:trPr>
        <w:tc>
          <w:tcPr>
            <w:tcW w:type="dxa" w:w="2880"/>
            <w:vAlign w:val="top"/>
            <w:tcMar>
              <w:top w:w="60" w:type="dxa"/>
              <w:start w:w="70" w:type="dxa"/>
              <w:bottom w:w="60" w:type="dxa"/>
              <w:end w:w="70" w:type="dxa"/>
            </w:tcMar>
            <w:shd w:fill="F8F9FA"/>
          </w:tcPr>
          <w:p>
            <w:pPr>
              <w:pStyle w:val="TableText"/>
            </w:pPr>
            <w:r>
              <w:rPr>
                <w:sz w:val="15"/>
              </w:rPr>
              <w:t>Status</w:t>
            </w:r>
          </w:p>
        </w:tc>
        <w:tc>
          <w:tcPr>
            <w:tcW w:type="dxa" w:w="7344"/>
            <w:vAlign w:val="top"/>
            <w:tcMar>
              <w:top w:w="60" w:type="dxa"/>
              <w:start w:w="70" w:type="dxa"/>
              <w:bottom w:w="60" w:type="dxa"/>
              <w:end w:w="70" w:type="dxa"/>
            </w:tcMar>
            <w:shd w:fill="F8F9FA"/>
          </w:tcPr>
          <w:p>
            <w:pPr>
              <w:pStyle w:val="TableText"/>
            </w:pPr>
            <w:r>
              <w:rPr>
                <w:sz w:val="15"/>
              </w:rPr>
              <w:t>Detailed reference architecture for adaptation and implementation</w:t>
            </w:r>
          </w:p>
        </w:tc>
      </w:tr>
      <w:tr>
        <w:trPr>
          <w:cantSplit/>
        </w:trPr>
        <w:tc>
          <w:tcPr>
            <w:tcW w:type="dxa" w:w="2880"/>
            <w:vAlign w:val="top"/>
            <w:tcMar>
              <w:top w:w="60" w:type="dxa"/>
              <w:start w:w="70" w:type="dxa"/>
              <w:bottom w:w="60" w:type="dxa"/>
              <w:end w:w="70" w:type="dxa"/>
            </w:tcMar>
          </w:tcPr>
          <w:p>
            <w:pPr>
              <w:pStyle w:val="TableText"/>
            </w:pPr>
            <w:r>
              <w:rPr>
                <w:sz w:val="15"/>
              </w:rPr>
              <w:t>Date</w:t>
            </w:r>
          </w:p>
        </w:tc>
        <w:tc>
          <w:tcPr>
            <w:tcW w:type="dxa" w:w="7344"/>
            <w:vAlign w:val="top"/>
            <w:tcMar>
              <w:top w:w="60" w:type="dxa"/>
              <w:start w:w="70" w:type="dxa"/>
              <w:bottom w:w="60" w:type="dxa"/>
              <w:end w:w="70" w:type="dxa"/>
            </w:tcMar>
          </w:tcPr>
          <w:p>
            <w:pPr>
              <w:pStyle w:val="TableText"/>
            </w:pPr>
            <w:r>
              <w:rPr>
                <w:sz w:val="15"/>
              </w:rPr>
              <w:t>12 July 2026</w:t>
            </w:r>
          </w:p>
        </w:tc>
      </w:tr>
      <w:tr>
        <w:trPr>
          <w:cantSplit/>
        </w:trPr>
        <w:tc>
          <w:tcPr>
            <w:tcW w:type="dxa" w:w="2880"/>
            <w:vAlign w:val="top"/>
            <w:tcMar>
              <w:top w:w="60" w:type="dxa"/>
              <w:start w:w="70" w:type="dxa"/>
              <w:bottom w:w="60" w:type="dxa"/>
              <w:end w:w="70" w:type="dxa"/>
            </w:tcMar>
            <w:shd w:fill="F8F9FA"/>
          </w:tcPr>
          <w:p>
            <w:pPr>
              <w:pStyle w:val="TableText"/>
            </w:pPr>
            <w:r>
              <w:rPr>
                <w:sz w:val="15"/>
              </w:rPr>
              <w:t>Owner</w:t>
            </w:r>
          </w:p>
        </w:tc>
        <w:tc>
          <w:tcPr>
            <w:tcW w:type="dxa" w:w="7344"/>
            <w:vAlign w:val="top"/>
            <w:tcMar>
              <w:top w:w="60" w:type="dxa"/>
              <w:start w:w="70" w:type="dxa"/>
              <w:bottom w:w="60" w:type="dxa"/>
              <w:end w:w="70" w:type="dxa"/>
            </w:tcMar>
            <w:shd w:fill="F8F9FA"/>
          </w:tcPr>
          <w:p>
            <w:pPr>
              <w:pStyle w:val="TableText"/>
            </w:pPr>
            <w:r>
              <w:rPr>
                <w:sz w:val="15"/>
              </w:rPr>
              <w:t>Enterprise Data Platform Architecture</w:t>
            </w:r>
          </w:p>
        </w:tc>
      </w:tr>
      <w:tr>
        <w:trPr>
          <w:cantSplit/>
        </w:trPr>
        <w:tc>
          <w:tcPr>
            <w:tcW w:type="dxa" w:w="2880"/>
            <w:vAlign w:val="top"/>
            <w:tcMar>
              <w:top w:w="60" w:type="dxa"/>
              <w:start w:w="70" w:type="dxa"/>
              <w:bottom w:w="60" w:type="dxa"/>
              <w:end w:w="70" w:type="dxa"/>
            </w:tcMar>
          </w:tcPr>
          <w:p>
            <w:pPr>
              <w:pStyle w:val="TableText"/>
            </w:pPr>
            <w:r>
              <w:rPr>
                <w:sz w:val="15"/>
              </w:rPr>
              <w:t>Approvers</w:t>
            </w:r>
          </w:p>
        </w:tc>
        <w:tc>
          <w:tcPr>
            <w:tcW w:type="dxa" w:w="7344"/>
            <w:vAlign w:val="top"/>
            <w:tcMar>
              <w:top w:w="60" w:type="dxa"/>
              <w:start w:w="70" w:type="dxa"/>
              <w:bottom w:w="60" w:type="dxa"/>
              <w:end w:w="70" w:type="dxa"/>
            </w:tcMar>
          </w:tcPr>
          <w:p>
            <w:pPr>
              <w:pStyle w:val="TableText"/>
            </w:pPr>
            <w:r>
              <w:rPr>
                <w:sz w:val="15"/>
              </w:rPr>
              <w:t>CDO, Enterprise Architecture, Data Governance, Security, Privacy, Platform Engineering, SRE and FinOps</w:t>
            </w:r>
          </w:p>
        </w:tc>
      </w:tr>
      <w:tr>
        <w:trPr>
          <w:cantSplit/>
        </w:trPr>
        <w:tc>
          <w:tcPr>
            <w:tcW w:type="dxa" w:w="2880"/>
            <w:vAlign w:val="top"/>
            <w:tcMar>
              <w:top w:w="60" w:type="dxa"/>
              <w:start w:w="70" w:type="dxa"/>
              <w:bottom w:w="60" w:type="dxa"/>
              <w:end w:w="70" w:type="dxa"/>
            </w:tcMar>
            <w:shd w:fill="F8F9FA"/>
          </w:tcPr>
          <w:p>
            <w:pPr>
              <w:pStyle w:val="TableText"/>
            </w:pPr>
            <w:r>
              <w:rPr>
                <w:sz w:val="15"/>
              </w:rPr>
              <w:t>Audience</w:t>
            </w:r>
          </w:p>
        </w:tc>
        <w:tc>
          <w:tcPr>
            <w:tcW w:type="dxa" w:w="7344"/>
            <w:vAlign w:val="top"/>
            <w:tcMar>
              <w:top w:w="60" w:type="dxa"/>
              <w:start w:w="70" w:type="dxa"/>
              <w:bottom w:w="60" w:type="dxa"/>
              <w:end w:w="70" w:type="dxa"/>
            </w:tcMar>
            <w:shd w:fill="F8F9FA"/>
          </w:tcPr>
          <w:p>
            <w:pPr>
              <w:pStyle w:val="TableText"/>
            </w:pPr>
            <w:r>
              <w:rPr>
                <w:sz w:val="15"/>
              </w:rPr>
              <w:t>Data engineers, platform engineers, architects, product teams, SRE, security, risk, audit and delivery partners</w:t>
            </w:r>
          </w:p>
        </w:tc>
      </w:tr>
      <w:tr>
        <w:trPr>
          <w:cantSplit/>
        </w:trPr>
        <w:tc>
          <w:tcPr>
            <w:tcW w:type="dxa" w:w="2880"/>
            <w:vAlign w:val="top"/>
            <w:tcMar>
              <w:top w:w="60" w:type="dxa"/>
              <w:start w:w="70" w:type="dxa"/>
              <w:bottom w:w="60" w:type="dxa"/>
              <w:end w:w="70" w:type="dxa"/>
            </w:tcMar>
          </w:tcPr>
          <w:p>
            <w:pPr>
              <w:pStyle w:val="TableText"/>
            </w:pPr>
            <w:r>
              <w:rPr>
                <w:sz w:val="15"/>
              </w:rPr>
              <w:t>Review cycle</w:t>
            </w:r>
          </w:p>
        </w:tc>
        <w:tc>
          <w:tcPr>
            <w:tcW w:type="dxa" w:w="7344"/>
            <w:vAlign w:val="top"/>
            <w:tcMar>
              <w:top w:w="60" w:type="dxa"/>
              <w:start w:w="70" w:type="dxa"/>
              <w:bottom w:w="60" w:type="dxa"/>
              <w:end w:w="70" w:type="dxa"/>
            </w:tcMar>
          </w:tcPr>
          <w:p>
            <w:pPr>
              <w:pStyle w:val="TableText"/>
            </w:pPr>
            <w:r>
              <w:rPr>
                <w:sz w:val="15"/>
              </w:rPr>
              <w:t>Quarterly and after material service, regulation, scale, SLO or architecture change</w:t>
            </w:r>
          </w:p>
        </w:tc>
      </w:tr>
      <w:tr>
        <w:trPr>
          <w:cantSplit/>
        </w:trPr>
        <w:tc>
          <w:tcPr>
            <w:tcW w:type="dxa" w:w="2880"/>
            <w:vAlign w:val="top"/>
            <w:tcMar>
              <w:top w:w="60" w:type="dxa"/>
              <w:start w:w="70" w:type="dxa"/>
              <w:bottom w:w="60" w:type="dxa"/>
              <w:end w:w="70" w:type="dxa"/>
            </w:tcMar>
            <w:shd w:fill="F8F9FA"/>
          </w:tcPr>
          <w:p>
            <w:pPr>
              <w:pStyle w:val="TableText"/>
            </w:pPr>
            <w:r>
              <w:rPr>
                <w:sz w:val="15"/>
              </w:rPr>
              <w:t>Primary dependencies</w:t>
            </w:r>
          </w:p>
        </w:tc>
        <w:tc>
          <w:tcPr>
            <w:tcW w:type="dxa" w:w="7344"/>
            <w:vAlign w:val="top"/>
            <w:tcMar>
              <w:top w:w="60" w:type="dxa"/>
              <w:start w:w="70" w:type="dxa"/>
              <w:bottom w:w="60" w:type="dxa"/>
              <w:end w:w="70" w:type="dxa"/>
            </w:tcMar>
            <w:shd w:fill="F8F9FA"/>
          </w:tcPr>
          <w:p>
            <w:pPr>
              <w:pStyle w:val="TableText"/>
            </w:pPr>
            <w:r>
              <w:rPr>
                <w:sz w:val="15"/>
              </w:rPr>
              <w:t>Volumes 01-03; Volume 05 data products; Volume 08 security; Volume 09 DevSecOps; Volume 10 FinOps; Volume 11 SRE; Volume 12 DR; Volume 13 Terraform</w:t>
            </w:r>
          </w:p>
        </w:tc>
      </w:tr>
      <w:tr>
        <w:trPr>
          <w:cantSplit/>
        </w:trPr>
        <w:tc>
          <w:tcPr>
            <w:tcW w:type="dxa" w:w="2880"/>
            <w:vAlign w:val="top"/>
            <w:tcMar>
              <w:top w:w="60" w:type="dxa"/>
              <w:start w:w="70" w:type="dxa"/>
              <w:bottom w:w="60" w:type="dxa"/>
              <w:end w:w="70" w:type="dxa"/>
            </w:tcMar>
          </w:tcPr>
          <w:p>
            <w:pPr>
              <w:pStyle w:val="TableText"/>
            </w:pPr>
            <w:r>
              <w:rPr>
                <w:sz w:val="15"/>
              </w:rPr>
              <w:t>Scope</w:t>
            </w:r>
          </w:p>
        </w:tc>
        <w:tc>
          <w:tcPr>
            <w:tcW w:type="dxa" w:w="7344"/>
            <w:vAlign w:val="top"/>
            <w:tcMar>
              <w:top w:w="60" w:type="dxa"/>
              <w:start w:w="70" w:type="dxa"/>
              <w:bottom w:w="60" w:type="dxa"/>
              <w:end w:w="70" w:type="dxa"/>
            </w:tcMar>
          </w:tcPr>
          <w:p>
            <w:pPr>
              <w:pStyle w:val="TableText"/>
            </w:pPr>
            <w:r>
              <w:rPr>
                <w:sz w:val="15"/>
              </w:rPr>
              <w:t>Pipeline patterns, services, engineering controls, implementation examples, operations and assurance</w:t>
            </w:r>
          </w:p>
        </w:tc>
      </w:tr>
      <w:tr>
        <w:trPr>
          <w:cantSplit/>
        </w:trPr>
        <w:tc>
          <w:tcPr>
            <w:tcW w:type="dxa" w:w="2880"/>
            <w:vAlign w:val="top"/>
            <w:tcMar>
              <w:top w:w="60" w:type="dxa"/>
              <w:start w:w="70" w:type="dxa"/>
              <w:bottom w:w="60" w:type="dxa"/>
              <w:end w:w="70" w:type="dxa"/>
            </w:tcMar>
            <w:shd w:fill="F8F9FA"/>
          </w:tcPr>
          <w:p>
            <w:pPr>
              <w:pStyle w:val="TableText"/>
            </w:pPr>
            <w:r>
              <w:rPr>
                <w:sz w:val="15"/>
              </w:rPr>
              <w:t>Out of scope</w:t>
            </w:r>
          </w:p>
        </w:tc>
        <w:tc>
          <w:tcPr>
            <w:tcW w:type="dxa" w:w="7344"/>
            <w:vAlign w:val="top"/>
            <w:tcMar>
              <w:top w:w="60" w:type="dxa"/>
              <w:start w:w="70" w:type="dxa"/>
              <w:bottom w:w="60" w:type="dxa"/>
              <w:end w:w="70" w:type="dxa"/>
            </w:tcMar>
            <w:shd w:fill="F8F9FA"/>
          </w:tcPr>
          <w:p>
            <w:pPr>
              <w:pStyle w:val="TableText"/>
            </w:pPr>
            <w:r>
              <w:rPr>
                <w:sz w:val="15"/>
              </w:rPr>
              <w:t>Detailed analytics semantics, AI pipelines, full landing-zone implementation and industry-specific designs</w:t>
            </w:r>
          </w:p>
        </w:tc>
      </w:tr>
    </w:tbl>
    <w:tbl>
      <w:tblPr>
        <w:tblStyle w:val="TableGrid"/>
        <w:tblW w:type="auto" w:w="0"/>
        <w:tblLook w:firstColumn="1" w:firstRow="1" w:lastColumn="0" w:lastRow="0" w:noHBand="0" w:noVBand="1" w:val="04A0"/>
      </w:tblPr>
      <w:tblGrid>
        <w:gridCol w:w="10454"/>
      </w:tblGrid>
      <w:tr>
        <w:tc>
          <w:tcPr>
            <w:tcW w:type="dxa" w:w="10454"/>
            <w:shd w:fill="E8F0FE"/>
            <w:tcMar>
              <w:top w:w="90" w:type="dxa"/>
              <w:start w:w="100" w:type="dxa"/>
              <w:bottom w:w="90" w:type="dxa"/>
              <w:end w:w="100" w:type="dxa"/>
            </w:tcMar>
          </w:tcPr>
          <w:p>
            <w:pPr>
              <w:pStyle w:val="Callout"/>
            </w:pPr>
            <w:r>
              <w:rPr>
                <w:b/>
                <w:color w:val="1A73E8"/>
              </w:rPr>
              <w:t xml:space="preserve">Guidance classification. </w:t>
            </w:r>
            <w:r>
              <w:t>Mandatory baseline means required unless an approved exception exists. Recommended pattern is the default for most workloads. Conditional pattern is used only when selection criteria are met. Future-state capability is included for planned evolution but is not required for initial production.</w:t>
            </w:r>
          </w:p>
        </w:tc>
      </w:tr>
    </w:tbl>
    <w:p>
      <w:pPr>
        <w:pStyle w:val="Heading2"/>
      </w:pPr>
      <w:r>
        <w:t>Current product terminology</w:t>
      </w:r>
    </w:p>
    <w:p>
      <w:r>
        <w:t>This volume uses Dataflow and Apache Beam for managed unified batch/stream processing; Managed Service for Apache Spark for serverless and cluster Spark patterns; Dataform for BigQuery SQL workflows; Managed Service for Apache Airflow for the service previously known as Cloud Composer; Pub/Sub for managed messaging; Datastream for supported CDC; and the BigQuery Storage Write API for direct high-scale writes. Implementation teams must validate current names, versions, regions, quotas, IAM roles, VPC Service Controls compatibility, CMEK support, SLAs and provider arguments before deployment.</w:t>
      </w:r>
    </w:p>
    <w:p>
      <w:r>
        <w:br w:type="page"/>
      </w:r>
    </w:p>
    <w:p>
      <w:pPr>
        <w:pStyle w:val="Heading1"/>
        <w:keepNext/>
      </w:pPr>
      <w:r>
        <w:t>Table of Contents</w:t>
      </w:r>
    </w:p>
    <w:p>
      <w:pPr>
        <w:spacing w:after="30"/>
      </w:pPr>
      <w:r>
        <w:t>1. Executive Summary</w:t>
      </w:r>
    </w:p>
    <w:p>
      <w:pPr>
        <w:spacing w:after="30"/>
      </w:pPr>
      <w:r>
        <w:t>2. Inherited Context, Scope and Assumptions</w:t>
      </w:r>
    </w:p>
    <w:p>
      <w:pPr>
        <w:spacing w:after="30"/>
      </w:pPr>
      <w:r>
        <w:t>3. Data Engineering Strategy and Principles</w:t>
      </w:r>
    </w:p>
    <w:p>
      <w:pPr>
        <w:spacing w:after="30"/>
      </w:pPr>
      <w:r>
        <w:t>4. Requirements and Success Measures</w:t>
      </w:r>
    </w:p>
    <w:p>
      <w:pPr>
        <w:spacing w:after="30"/>
      </w:pPr>
      <w:r>
        <w:t>5. Target Pipeline Architecture</w:t>
      </w:r>
    </w:p>
    <w:p>
      <w:pPr>
        <w:spacing w:after="30"/>
      </w:pPr>
      <w:r>
        <w:t>6. Pipeline Taxonomy and Selection</w:t>
      </w:r>
    </w:p>
    <w:p>
      <w:pPr>
        <w:spacing w:after="30"/>
      </w:pPr>
      <w:r>
        <w:t>7. Batch and Micro-Batch Processing</w:t>
      </w:r>
    </w:p>
    <w:p>
      <w:pPr>
        <w:spacing w:after="30"/>
      </w:pPr>
      <w:r>
        <w:t>8. Streaming, Event-Time, Windowing and State</w:t>
      </w:r>
    </w:p>
    <w:p>
      <w:pPr>
        <w:spacing w:after="30"/>
      </w:pPr>
      <w:r>
        <w:t>9. Correctness: Deduplication, Idempotency and Late Data</w:t>
      </w:r>
    </w:p>
    <w:p>
      <w:pPr>
        <w:spacing w:after="30"/>
      </w:pPr>
      <w:r>
        <w:t>10. Replay, Backfill, Reprocessing and Reconciliation</w:t>
      </w:r>
    </w:p>
    <w:p>
      <w:pPr>
        <w:spacing w:after="30"/>
      </w:pPr>
      <w:r>
        <w:t>11. ETL and ELT Architecture</w:t>
      </w:r>
    </w:p>
    <w:p>
      <w:pPr>
        <w:spacing w:after="30"/>
      </w:pPr>
      <w:r>
        <w:t>12. Dataflow and Apache Beam</w:t>
      </w:r>
    </w:p>
    <w:p>
      <w:pPr>
        <w:spacing w:after="30"/>
      </w:pPr>
      <w:r>
        <w:t>13. Managed Service for Apache Spark and PySpark</w:t>
      </w:r>
    </w:p>
    <w:p>
      <w:pPr>
        <w:spacing w:after="30"/>
      </w:pPr>
      <w:r>
        <w:t>14. Dataform and BigQuery SQL</w:t>
      </w:r>
    </w:p>
    <w:p>
      <w:pPr>
        <w:spacing w:after="30"/>
      </w:pPr>
      <w:r>
        <w:t>15. Managed Airflow, Workflows and Cloud Run Jobs</w:t>
      </w:r>
    </w:p>
    <w:p>
      <w:pPr>
        <w:spacing w:after="30"/>
      </w:pPr>
      <w:r>
        <w:t>16. Pub/Sub and Event Backbone</w:t>
      </w:r>
    </w:p>
    <w:p>
      <w:pPr>
        <w:spacing w:after="30"/>
      </w:pPr>
      <w:r>
        <w:t>17. Datastream CDC</w:t>
      </w:r>
    </w:p>
    <w:p>
      <w:pPr>
        <w:spacing w:after="30"/>
      </w:pPr>
      <w:r>
        <w:t>18. BigQuery Storage Write API</w:t>
      </w:r>
    </w:p>
    <w:p>
      <w:pPr>
        <w:spacing w:after="30"/>
      </w:pPr>
      <w:r>
        <w:t>19. Orchestration, Dependencies and Metadata</w:t>
      </w:r>
    </w:p>
    <w:p>
      <w:pPr>
        <w:spacing w:after="30"/>
      </w:pPr>
      <w:r>
        <w:t>20. Templates, Reusable Components and Connectors</w:t>
      </w:r>
    </w:p>
    <w:p>
      <w:pPr>
        <w:spacing w:after="30"/>
      </w:pPr>
      <w:r>
        <w:t>21. Error Handling, Retry, DLQ, Quarantine and Checkpointing</w:t>
      </w:r>
    </w:p>
    <w:p>
      <w:pPr>
        <w:spacing w:after="30"/>
      </w:pPr>
      <w:r>
        <w:t>22. Schema and Data Quality Validation</w:t>
      </w:r>
    </w:p>
    <w:p>
      <w:pPr>
        <w:spacing w:after="30"/>
      </w:pPr>
      <w:r>
        <w:t>23. Observability, SLOs and Support</w:t>
      </w:r>
    </w:p>
    <w:p>
      <w:pPr>
        <w:spacing w:after="30"/>
      </w:pPr>
      <w:r>
        <w:t>24. Performance and Cost Optimization</w:t>
      </w:r>
    </w:p>
    <w:p>
      <w:pPr>
        <w:spacing w:after="30"/>
      </w:pPr>
      <w:r>
        <w:t>25. Security, Privacy and Compliance</w:t>
      </w:r>
    </w:p>
    <w:p>
      <w:pPr>
        <w:spacing w:after="30"/>
      </w:pPr>
      <w:r>
        <w:t>26. Development, Testing and Deployment Standards</w:t>
      </w:r>
    </w:p>
    <w:p>
      <w:pPr>
        <w:spacing w:after="30"/>
      </w:pPr>
      <w:r>
        <w:t>27. Service Assessments</w:t>
      </w:r>
    </w:p>
    <w:p>
      <w:pPr>
        <w:spacing w:after="30"/>
      </w:pPr>
      <w:r>
        <w:t>28. Architecture Decision Records</w:t>
      </w:r>
    </w:p>
    <w:p>
      <w:pPr>
        <w:spacing w:after="30"/>
      </w:pPr>
      <w:r>
        <w:t>29. Risks and Mitigations</w:t>
      </w:r>
    </w:p>
    <w:p>
      <w:pPr>
        <w:spacing w:after="30"/>
      </w:pPr>
      <w:r>
        <w:t>30. Implementation Roadmap</w:t>
      </w:r>
    </w:p>
    <w:p>
      <w:pPr>
        <w:spacing w:after="30"/>
      </w:pPr>
      <w:r>
        <w:t>31. Validation Criteria and Production Readiness</w:t>
      </w:r>
    </w:p>
    <w:p>
      <w:pPr>
        <w:spacing w:after="30"/>
      </w:pPr>
      <w:r>
        <w:t>32. Cross-Volume Dependencies</w:t>
      </w:r>
    </w:p>
    <w:p>
      <w:pPr>
        <w:spacing w:after="30"/>
      </w:pPr>
      <w:r>
        <w:t>33. Decisions and Next Actions</w:t>
      </w:r>
    </w:p>
    <w:p>
      <w:pPr>
        <w:pStyle w:val="Small"/>
        <w:spacing w:after="30"/>
      </w:pPr>
      <w:r>
        <w:t>Appendices: Matrices, Code, Diagrams and References</w:t>
      </w:r>
    </w:p>
    <w:p>
      <w:r>
        <w:br w:type="page"/>
      </w:r>
    </w:p>
    <w:p>
      <w:pPr>
        <w:pStyle w:val="Heading1"/>
        <w:keepNext/>
      </w:pPr>
      <w:r>
        <w:t>1. Executive Summary</w:t>
      </w:r>
    </w:p>
    <w:p>
      <w:r>
        <w:t>Volume 04 defines the engineering system that turns governed source data into reliable, testable and supportable data products. The architecture deliberately separates data-plane execution from control-plane orchestration, metadata, governance and operations. It standardizes a small set of managed services rather than allowing every domain to assemble an unrelated toolchain.</w:t>
      </w:r>
    </w:p>
    <w:p>
      <w:pPr>
        <w:pStyle w:val="Heading2"/>
      </w:pPr>
      <w:r>
        <w:t>Mandatory design controls</w:t>
      </w:r>
    </w:p>
    <w:p>
      <w:pPr>
        <w:pStyle w:val="ListBullet"/>
        <w:spacing w:after="30"/>
      </w:pPr>
      <w:r>
        <w:t>Use batch or micro-batch unless measured freshness requires streaming or CDC.</w:t>
      </w:r>
    </w:p>
    <w:p>
      <w:pPr>
        <w:pStyle w:val="ListBullet"/>
        <w:spacing w:after="30"/>
      </w:pPr>
      <w:r>
        <w:t>Preserve immutable landing, source logs or retained events for recovery.</w:t>
      </w:r>
    </w:p>
    <w:p>
      <w:pPr>
        <w:pStyle w:val="ListBullet"/>
        <w:spacing w:after="30"/>
      </w:pPr>
      <w:r>
        <w:t>Make contracts, event time, idempotency, quality, lineage, SLOs and cost visible in every pipeline.</w:t>
      </w:r>
    </w:p>
    <w:p>
      <w:pPr>
        <w:pStyle w:val="ListBullet"/>
        <w:spacing w:after="30"/>
      </w:pPr>
      <w:r>
        <w:t>Promote immutable artifacts through environments; do not edit production pipelines in consoles.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Outcome</w:t>
            </w:r>
          </w:p>
        </w:tc>
        <w:tc>
          <w:tcPr>
            <w:tcW w:type="dxa" w:w="7344"/>
            <w:vAlign w:val="top"/>
            <w:tcMar>
              <w:top w:w="60" w:type="dxa"/>
              <w:start w:w="70" w:type="dxa"/>
              <w:bottom w:w="60" w:type="dxa"/>
              <w:end w:w="70" w:type="dxa"/>
            </w:tcMar>
          </w:tcPr>
          <w:p>
            <w:pPr>
              <w:pStyle w:val="TableText"/>
            </w:pPr>
            <w:r>
              <w:rPr>
                <w:sz w:val="14"/>
              </w:rPr>
              <w:t>Enterprise default</w:t>
            </w:r>
          </w:p>
        </w:tc>
      </w:tr>
      <w:tr>
        <w:trPr>
          <w:cantSplit/>
        </w:trPr>
        <w:tc>
          <w:tcPr>
            <w:tcW w:type="dxa" w:w="2880"/>
            <w:vAlign w:val="top"/>
            <w:tcMar>
              <w:top w:w="60" w:type="dxa"/>
              <w:start w:w="70" w:type="dxa"/>
              <w:bottom w:w="60" w:type="dxa"/>
              <w:end w:w="70" w:type="dxa"/>
            </w:tcMar>
            <w:shd w:fill="F8F9FA"/>
          </w:tcPr>
          <w:p>
            <w:pPr>
              <w:pStyle w:val="TableText"/>
            </w:pPr>
            <w:r>
              <w:rPr>
                <w:sz w:val="14"/>
              </w:rPr>
              <w:t>Unified processing</w:t>
            </w:r>
          </w:p>
        </w:tc>
        <w:tc>
          <w:tcPr>
            <w:tcW w:type="dxa" w:w="7344"/>
            <w:vAlign w:val="top"/>
            <w:tcMar>
              <w:top w:w="60" w:type="dxa"/>
              <w:start w:w="70" w:type="dxa"/>
              <w:bottom w:w="60" w:type="dxa"/>
              <w:end w:w="70" w:type="dxa"/>
            </w:tcMar>
            <w:shd w:fill="F8F9FA"/>
          </w:tcPr>
          <w:p>
            <w:pPr>
              <w:pStyle w:val="TableText"/>
            </w:pPr>
            <w:r>
              <w:rPr>
                <w:sz w:val="14"/>
              </w:rPr>
              <w:t>Dataflow/Beam for new portable batch and streaming</w:t>
            </w:r>
          </w:p>
        </w:tc>
      </w:tr>
      <w:tr>
        <w:trPr>
          <w:cantSplit/>
        </w:trPr>
        <w:tc>
          <w:tcPr>
            <w:tcW w:type="dxa" w:w="2880"/>
            <w:vAlign w:val="top"/>
            <w:tcMar>
              <w:top w:w="60" w:type="dxa"/>
              <w:start w:w="70" w:type="dxa"/>
              <w:bottom w:w="60" w:type="dxa"/>
              <w:end w:w="70" w:type="dxa"/>
            </w:tcMar>
          </w:tcPr>
          <w:p>
            <w:pPr>
              <w:pStyle w:val="TableText"/>
            </w:pPr>
            <w:r>
              <w:rPr>
                <w:sz w:val="14"/>
              </w:rPr>
              <w:t>Spark compatibility</w:t>
            </w:r>
          </w:p>
        </w:tc>
        <w:tc>
          <w:tcPr>
            <w:tcW w:type="dxa" w:w="7344"/>
            <w:vAlign w:val="top"/>
            <w:tcMar>
              <w:top w:w="60" w:type="dxa"/>
              <w:start w:w="70" w:type="dxa"/>
              <w:bottom w:w="60" w:type="dxa"/>
              <w:end w:w="70" w:type="dxa"/>
            </w:tcMar>
          </w:tcPr>
          <w:p>
            <w:pPr>
              <w:pStyle w:val="TableText"/>
            </w:pPr>
            <w:r>
              <w:rPr>
                <w:sz w:val="14"/>
              </w:rPr>
              <w:t>Managed Service for Apache Spark when Spark-specific fit is demonstrated</w:t>
            </w:r>
          </w:p>
        </w:tc>
      </w:tr>
      <w:tr>
        <w:trPr>
          <w:cantSplit/>
        </w:trPr>
        <w:tc>
          <w:tcPr>
            <w:tcW w:type="dxa" w:w="2880"/>
            <w:vAlign w:val="top"/>
            <w:tcMar>
              <w:top w:w="60" w:type="dxa"/>
              <w:start w:w="70" w:type="dxa"/>
              <w:bottom w:w="60" w:type="dxa"/>
              <w:end w:w="70" w:type="dxa"/>
            </w:tcMar>
            <w:shd w:fill="F8F9FA"/>
          </w:tcPr>
          <w:p>
            <w:pPr>
              <w:pStyle w:val="TableText"/>
            </w:pPr>
            <w:r>
              <w:rPr>
                <w:sz w:val="14"/>
              </w:rPr>
              <w:t>Warehouse transformation</w:t>
            </w:r>
          </w:p>
        </w:tc>
        <w:tc>
          <w:tcPr>
            <w:tcW w:type="dxa" w:w="7344"/>
            <w:vAlign w:val="top"/>
            <w:tcMar>
              <w:top w:w="60" w:type="dxa"/>
              <w:start w:w="70" w:type="dxa"/>
              <w:bottom w:w="60" w:type="dxa"/>
              <w:end w:w="70" w:type="dxa"/>
            </w:tcMar>
            <w:shd w:fill="F8F9FA"/>
          </w:tcPr>
          <w:p>
            <w:pPr>
              <w:pStyle w:val="TableText"/>
            </w:pPr>
            <w:r>
              <w:rPr>
                <w:sz w:val="14"/>
              </w:rPr>
              <w:t>Dataform and BigQuery SQL</w:t>
            </w:r>
          </w:p>
        </w:tc>
      </w:tr>
      <w:tr>
        <w:trPr>
          <w:cantSplit/>
        </w:trPr>
        <w:tc>
          <w:tcPr>
            <w:tcW w:type="dxa" w:w="2880"/>
            <w:vAlign w:val="top"/>
            <w:tcMar>
              <w:top w:w="60" w:type="dxa"/>
              <w:start w:w="70" w:type="dxa"/>
              <w:bottom w:w="60" w:type="dxa"/>
              <w:end w:w="70" w:type="dxa"/>
            </w:tcMar>
          </w:tcPr>
          <w:p>
            <w:pPr>
              <w:pStyle w:val="TableText"/>
            </w:pPr>
            <w:r>
              <w:rPr>
                <w:sz w:val="14"/>
              </w:rPr>
              <w:t>Orchestration</w:t>
            </w:r>
          </w:p>
        </w:tc>
        <w:tc>
          <w:tcPr>
            <w:tcW w:type="dxa" w:w="7344"/>
            <w:vAlign w:val="top"/>
            <w:tcMar>
              <w:top w:w="60" w:type="dxa"/>
              <w:start w:w="70" w:type="dxa"/>
              <w:bottom w:w="60" w:type="dxa"/>
              <w:end w:w="70" w:type="dxa"/>
            </w:tcMar>
          </w:tcPr>
          <w:p>
            <w:pPr>
              <w:pStyle w:val="TableText"/>
            </w:pPr>
            <w:r>
              <w:rPr>
                <w:sz w:val="14"/>
              </w:rPr>
              <w:t>Managed Airflow for complex DAGs; Workflows for bounded API chains</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Replay, backfill and reconciliation are designed before production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 Inherited Context, Scope and Assumptions</w:t>
      </w:r>
    </w:p>
    <w:p>
      <w:r>
        <w:t>The enterprise processes 50-250 TB of new data per day, billions of events, thousands of pipelines and petabytes of retained data. AMER, EMEA and APAC data planes enforce residency and minimize cross-region movement. BigQuery is the primary analytical store; Cloud Storage provides landing, quarantine, replay and archive; Knowledge Catalog provides metadata; and domains own certified products under federated governance.</w:t>
      </w:r>
    </w:p>
    <w:p>
      <w:pPr>
        <w:pStyle w:val="Heading2"/>
      </w:pPr>
      <w:r>
        <w:t>Mandatory design controls</w:t>
      </w:r>
    </w:p>
    <w:p>
      <w:pPr>
        <w:pStyle w:val="ListBullet"/>
        <w:spacing w:after="30"/>
      </w:pPr>
      <w:r>
        <w:t>Group-based IAM and dedicated service accounts.</w:t>
      </w:r>
    </w:p>
    <w:p>
      <w:pPr>
        <w:pStyle w:val="ListBullet"/>
        <w:spacing w:after="30"/>
      </w:pPr>
      <w:r>
        <w:t>Private-by-default connectivity, VPC Service Controls where supported and justified.</w:t>
      </w:r>
    </w:p>
    <w:p>
      <w:pPr>
        <w:pStyle w:val="ListBullet"/>
        <w:spacing w:after="30"/>
      </w:pPr>
      <w:r>
        <w:t>CMEK for Restricted and Regulated classes or explicit regulatory requirements.</w:t>
      </w:r>
    </w:p>
    <w:p>
      <w:pPr>
        <w:pStyle w:val="ListBullet"/>
        <w:spacing w:after="30"/>
      </w:pPr>
      <w:r>
        <w:t>Tier 0 RTO &lt;1 hour/RPO &lt;5 minutes; Tier 1 RTO &lt;4 hours/RPO &lt;15 minutes; Tier 2 RTO/RPO &lt;24 hours.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Dimension</w:t>
            </w:r>
          </w:p>
        </w:tc>
        <w:tc>
          <w:tcPr>
            <w:tcW w:type="dxa" w:w="7344"/>
            <w:vAlign w:val="top"/>
            <w:tcMar>
              <w:top w:w="60" w:type="dxa"/>
              <w:start w:w="70" w:type="dxa"/>
              <w:bottom w:w="60" w:type="dxa"/>
              <w:end w:w="70" w:type="dxa"/>
            </w:tcMar>
          </w:tcPr>
          <w:p>
            <w:pPr>
              <w:pStyle w:val="TableText"/>
            </w:pPr>
            <w:r>
              <w:rPr>
                <w:sz w:val="14"/>
              </w:rPr>
              <w:t>Inherited baseline</w:t>
            </w:r>
          </w:p>
        </w:tc>
      </w:tr>
      <w:tr>
        <w:trPr>
          <w:cantSplit/>
        </w:trPr>
        <w:tc>
          <w:tcPr>
            <w:tcW w:type="dxa" w:w="2880"/>
            <w:vAlign w:val="top"/>
            <w:tcMar>
              <w:top w:w="60" w:type="dxa"/>
              <w:start w:w="70" w:type="dxa"/>
              <w:bottom w:w="60" w:type="dxa"/>
              <w:end w:w="70" w:type="dxa"/>
            </w:tcMar>
            <w:shd w:fill="F8F9FA"/>
          </w:tcPr>
          <w:p>
            <w:pPr>
              <w:pStyle w:val="TableText"/>
            </w:pPr>
            <w:r>
              <w:rPr>
                <w:sz w:val="14"/>
              </w:rPr>
              <w:t>Regions</w:t>
            </w:r>
          </w:p>
        </w:tc>
        <w:tc>
          <w:tcPr>
            <w:tcW w:type="dxa" w:w="7344"/>
            <w:vAlign w:val="top"/>
            <w:tcMar>
              <w:top w:w="60" w:type="dxa"/>
              <w:start w:w="70" w:type="dxa"/>
              <w:bottom w:w="60" w:type="dxa"/>
              <w:end w:w="70" w:type="dxa"/>
            </w:tcMar>
            <w:shd w:fill="F8F9FA"/>
          </w:tcPr>
          <w:p>
            <w:pPr>
              <w:pStyle w:val="TableText"/>
            </w:pPr>
            <w:r>
              <w:rPr>
                <w:sz w:val="14"/>
              </w:rPr>
              <w:t>AMER, EMEA and APAC regional data planes</w:t>
            </w:r>
          </w:p>
        </w:tc>
      </w:tr>
      <w:tr>
        <w:trPr>
          <w:cantSplit/>
        </w:trPr>
        <w:tc>
          <w:tcPr>
            <w:tcW w:type="dxa" w:w="2880"/>
            <w:vAlign w:val="top"/>
            <w:tcMar>
              <w:top w:w="60" w:type="dxa"/>
              <w:start w:w="70" w:type="dxa"/>
              <w:bottom w:w="60" w:type="dxa"/>
              <w:end w:w="70" w:type="dxa"/>
            </w:tcMar>
          </w:tcPr>
          <w:p>
            <w:pPr>
              <w:pStyle w:val="TableText"/>
            </w:pPr>
            <w:r>
              <w:rPr>
                <w:sz w:val="14"/>
              </w:rPr>
              <w:t>Environments</w:t>
            </w:r>
          </w:p>
        </w:tc>
        <w:tc>
          <w:tcPr>
            <w:tcW w:type="dxa" w:w="7344"/>
            <w:vAlign w:val="top"/>
            <w:tcMar>
              <w:top w:w="60" w:type="dxa"/>
              <w:start w:w="70" w:type="dxa"/>
              <w:bottom w:w="60" w:type="dxa"/>
              <w:end w:w="70" w:type="dxa"/>
            </w:tcMar>
          </w:tcPr>
          <w:p>
            <w:pPr>
              <w:pStyle w:val="TableText"/>
            </w:pPr>
            <w:r>
              <w:rPr>
                <w:sz w:val="14"/>
              </w:rPr>
              <w:t>Development, test, staging, production and controlled sandbox</w:t>
            </w:r>
          </w:p>
        </w:tc>
      </w:tr>
      <w:tr>
        <w:trPr>
          <w:cantSplit/>
        </w:trPr>
        <w:tc>
          <w:tcPr>
            <w:tcW w:type="dxa" w:w="2880"/>
            <w:vAlign w:val="top"/>
            <w:tcMar>
              <w:top w:w="60" w:type="dxa"/>
              <w:start w:w="70" w:type="dxa"/>
              <w:bottom w:w="60" w:type="dxa"/>
              <w:end w:w="70" w:type="dxa"/>
            </w:tcMar>
            <w:shd w:fill="F8F9FA"/>
          </w:tcPr>
          <w:p>
            <w:pPr>
              <w:pStyle w:val="TableText"/>
            </w:pPr>
            <w:r>
              <w:rPr>
                <w:sz w:val="14"/>
              </w:rPr>
              <w:t>Classification</w:t>
            </w:r>
          </w:p>
        </w:tc>
        <w:tc>
          <w:tcPr>
            <w:tcW w:type="dxa" w:w="7344"/>
            <w:vAlign w:val="top"/>
            <w:tcMar>
              <w:top w:w="60" w:type="dxa"/>
              <w:start w:w="70" w:type="dxa"/>
              <w:bottom w:w="60" w:type="dxa"/>
              <w:end w:w="70" w:type="dxa"/>
            </w:tcMar>
            <w:shd w:fill="F8F9FA"/>
          </w:tcPr>
          <w:p>
            <w:pPr>
              <w:pStyle w:val="TableText"/>
            </w:pPr>
            <w:r>
              <w:rPr>
                <w:sz w:val="14"/>
              </w:rPr>
              <w:t>Public, Internal, Confidential, Restricted and Regulated</w:t>
            </w:r>
          </w:p>
        </w:tc>
      </w:tr>
      <w:tr>
        <w:trPr>
          <w:cantSplit/>
        </w:trPr>
        <w:tc>
          <w:tcPr>
            <w:tcW w:type="dxa" w:w="2880"/>
            <w:vAlign w:val="top"/>
            <w:tcMar>
              <w:top w:w="60" w:type="dxa"/>
              <w:start w:w="70" w:type="dxa"/>
              <w:bottom w:w="60" w:type="dxa"/>
              <w:end w:w="70" w:type="dxa"/>
            </w:tcMar>
          </w:tcPr>
          <w:p>
            <w:pPr>
              <w:pStyle w:val="TableText"/>
            </w:pPr>
            <w:r>
              <w:rPr>
                <w:sz w:val="14"/>
              </w:rPr>
              <w:t>Ownership</w:t>
            </w:r>
          </w:p>
        </w:tc>
        <w:tc>
          <w:tcPr>
            <w:tcW w:type="dxa" w:w="7344"/>
            <w:vAlign w:val="top"/>
            <w:tcMar>
              <w:top w:w="60" w:type="dxa"/>
              <w:start w:w="70" w:type="dxa"/>
              <w:bottom w:w="60" w:type="dxa"/>
              <w:end w:w="70" w:type="dxa"/>
            </w:tcMar>
          </w:tcPr>
          <w:p>
            <w:pPr>
              <w:pStyle w:val="TableText"/>
            </w:pPr>
            <w:r>
              <w:rPr>
                <w:sz w:val="14"/>
              </w:rPr>
              <w:t>Central platform plus federated domain product teams</w:t>
            </w:r>
          </w:p>
        </w:tc>
      </w:tr>
      <w:tr>
        <w:trPr>
          <w:cantSplit/>
        </w:trPr>
        <w:tc>
          <w:tcPr>
            <w:tcW w:type="dxa" w:w="2880"/>
            <w:vAlign w:val="top"/>
            <w:tcMar>
              <w:top w:w="60" w:type="dxa"/>
              <w:start w:w="70" w:type="dxa"/>
              <w:bottom w:w="60" w:type="dxa"/>
              <w:end w:w="70" w:type="dxa"/>
            </w:tcMar>
            <w:shd w:fill="F8F9FA"/>
          </w:tcPr>
          <w:p>
            <w:pPr>
              <w:pStyle w:val="TableText"/>
            </w:pPr>
            <w:r>
              <w:rPr>
                <w:sz w:val="14"/>
              </w:rPr>
              <w:t>Configuration authority</w:t>
            </w:r>
          </w:p>
        </w:tc>
        <w:tc>
          <w:tcPr>
            <w:tcW w:type="dxa" w:w="7344"/>
            <w:vAlign w:val="top"/>
            <w:tcMar>
              <w:top w:w="60" w:type="dxa"/>
              <w:start w:w="70" w:type="dxa"/>
              <w:bottom w:w="60" w:type="dxa"/>
              <w:end w:w="70" w:type="dxa"/>
            </w:tcMar>
            <w:shd w:fill="F8F9FA"/>
          </w:tcPr>
          <w:p>
            <w:pPr>
              <w:pStyle w:val="TableText"/>
            </w:pPr>
            <w:r>
              <w:rPr>
                <w:sz w:val="14"/>
              </w:rPr>
              <w:t>Terraform, Git and CI/CD</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3. Data Engineering Strategy and Principles</w:t>
      </w:r>
    </w:p>
    <w:p>
      <w:r>
        <w:t>The strategy is serverless-first, contract-first and product-oriented. The platform team owns paved roads, reusable connectors, runtime guardrails and common telemetry. Domain teams own pipeline logic, source understanding, quality rules, product SLOs and on-call participation. Complexity is introduced only when it creates measurable business value.</w:t>
      </w:r>
    </w:p>
    <w:p>
      <w:pPr>
        <w:pStyle w:val="Heading2"/>
      </w:pPr>
      <w:r>
        <w:t>Mandatory design controls</w:t>
      </w:r>
    </w:p>
    <w:p>
      <w:pPr>
        <w:pStyle w:val="ListBullet"/>
        <w:spacing w:after="30"/>
      </w:pPr>
      <w:r>
        <w:t>Bounded workloads are preferred for predictable recovery and cost.</w:t>
      </w:r>
    </w:p>
    <w:p>
      <w:pPr>
        <w:pStyle w:val="ListBullet"/>
        <w:spacing w:after="30"/>
      </w:pPr>
      <w:r>
        <w:t>Streaming is a product commitment, not a technology preference.</w:t>
      </w:r>
    </w:p>
    <w:p>
      <w:pPr>
        <w:pStyle w:val="ListBullet"/>
        <w:spacing w:after="30"/>
      </w:pPr>
      <w:r>
        <w:t>Every write is idempotent or reconciled.</w:t>
      </w:r>
    </w:p>
    <w:p>
      <w:pPr>
        <w:pStyle w:val="ListBullet"/>
        <w:spacing w:after="30"/>
      </w:pPr>
      <w:r>
        <w:t>Lineage and run metadata are generated automatically.</w:t>
      </w:r>
    </w:p>
    <w:p>
      <w:pPr>
        <w:pStyle w:val="ListBullet"/>
        <w:spacing w:after="30"/>
      </w:pPr>
      <w:r>
        <w:t>Security, privacy, SRE and FinOps controls are part of definition of done.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Principle</w:t>
            </w:r>
          </w:p>
        </w:tc>
        <w:tc>
          <w:tcPr>
            <w:tcW w:type="dxa" w:w="7344"/>
            <w:vAlign w:val="top"/>
            <w:tcMar>
              <w:top w:w="60" w:type="dxa"/>
              <w:start w:w="70" w:type="dxa"/>
              <w:bottom w:w="60" w:type="dxa"/>
              <w:end w:w="70" w:type="dxa"/>
            </w:tcMar>
          </w:tcPr>
          <w:p>
            <w:pPr>
              <w:pStyle w:val="TableText"/>
            </w:pPr>
            <w:r>
              <w:rPr>
                <w:sz w:val="14"/>
              </w:rPr>
              <w:t>Concrete implication</w:t>
            </w:r>
          </w:p>
        </w:tc>
      </w:tr>
      <w:tr>
        <w:trPr>
          <w:cantSplit/>
        </w:trPr>
        <w:tc>
          <w:tcPr>
            <w:tcW w:type="dxa" w:w="2880"/>
            <w:vAlign w:val="top"/>
            <w:tcMar>
              <w:top w:w="60" w:type="dxa"/>
              <w:start w:w="70" w:type="dxa"/>
              <w:bottom w:w="60" w:type="dxa"/>
              <w:end w:w="70" w:type="dxa"/>
            </w:tcMar>
            <w:shd w:fill="F8F9FA"/>
          </w:tcPr>
          <w:p>
            <w:pPr>
              <w:pStyle w:val="TableText"/>
            </w:pPr>
            <w:r>
              <w:rPr>
                <w:sz w:val="14"/>
              </w:rPr>
              <w:t>Serverless-first</w:t>
            </w:r>
          </w:p>
        </w:tc>
        <w:tc>
          <w:tcPr>
            <w:tcW w:type="dxa" w:w="7344"/>
            <w:vAlign w:val="top"/>
            <w:tcMar>
              <w:top w:w="60" w:type="dxa"/>
              <w:start w:w="70" w:type="dxa"/>
              <w:bottom w:w="60" w:type="dxa"/>
              <w:end w:w="70" w:type="dxa"/>
            </w:tcMar>
            <w:shd w:fill="F8F9FA"/>
          </w:tcPr>
          <w:p>
            <w:pPr>
              <w:pStyle w:val="TableText"/>
            </w:pPr>
            <w:r>
              <w:rPr>
                <w:sz w:val="14"/>
              </w:rPr>
              <w:t>Use managed execution before persistent clusters</w:t>
            </w:r>
          </w:p>
        </w:tc>
      </w:tr>
      <w:tr>
        <w:trPr>
          <w:cantSplit/>
        </w:trPr>
        <w:tc>
          <w:tcPr>
            <w:tcW w:type="dxa" w:w="2880"/>
            <w:vAlign w:val="top"/>
            <w:tcMar>
              <w:top w:w="60" w:type="dxa"/>
              <w:start w:w="70" w:type="dxa"/>
              <w:bottom w:w="60" w:type="dxa"/>
              <w:end w:w="70" w:type="dxa"/>
            </w:tcMar>
          </w:tcPr>
          <w:p>
            <w:pPr>
              <w:pStyle w:val="TableText"/>
            </w:pPr>
            <w:r>
              <w:rPr>
                <w:sz w:val="14"/>
              </w:rPr>
              <w:t>Contract-first</w:t>
            </w:r>
          </w:p>
        </w:tc>
        <w:tc>
          <w:tcPr>
            <w:tcW w:type="dxa" w:w="7344"/>
            <w:vAlign w:val="top"/>
            <w:tcMar>
              <w:top w:w="60" w:type="dxa"/>
              <w:start w:w="70" w:type="dxa"/>
              <w:bottom w:w="60" w:type="dxa"/>
              <w:end w:w="70" w:type="dxa"/>
            </w:tcMar>
          </w:tcPr>
          <w:p>
            <w:pPr>
              <w:pStyle w:val="TableText"/>
            </w:pPr>
            <w:r>
              <w:rPr>
                <w:sz w:val="14"/>
              </w:rPr>
              <w:t>Reject or quarantine incompatible input before broad propagation</w:t>
            </w:r>
          </w:p>
        </w:tc>
      </w:tr>
      <w:tr>
        <w:trPr>
          <w:cantSplit/>
        </w:trPr>
        <w:tc>
          <w:tcPr>
            <w:tcW w:type="dxa" w:w="2880"/>
            <w:vAlign w:val="top"/>
            <w:tcMar>
              <w:top w:w="60" w:type="dxa"/>
              <w:start w:w="70" w:type="dxa"/>
              <w:bottom w:w="60" w:type="dxa"/>
              <w:end w:w="70" w:type="dxa"/>
            </w:tcMar>
            <w:shd w:fill="F8F9FA"/>
          </w:tcPr>
          <w:p>
            <w:pPr>
              <w:pStyle w:val="TableText"/>
            </w:pPr>
            <w:r>
              <w:rPr>
                <w:sz w:val="14"/>
              </w:rPr>
              <w:t>Replayable</w:t>
            </w:r>
          </w:p>
        </w:tc>
        <w:tc>
          <w:tcPr>
            <w:tcW w:type="dxa" w:w="7344"/>
            <w:vAlign w:val="top"/>
            <w:tcMar>
              <w:top w:w="60" w:type="dxa"/>
              <w:start w:w="70" w:type="dxa"/>
              <w:bottom w:w="60" w:type="dxa"/>
              <w:end w:w="70" w:type="dxa"/>
            </w:tcMar>
            <w:shd w:fill="F8F9FA"/>
          </w:tcPr>
          <w:p>
            <w:pPr>
              <w:pStyle w:val="TableText"/>
            </w:pPr>
            <w:r>
              <w:rPr>
                <w:sz w:val="14"/>
              </w:rPr>
              <w:t>Retain immutable source and deterministic code/configuration</w:t>
            </w:r>
          </w:p>
        </w:tc>
      </w:tr>
      <w:tr>
        <w:trPr>
          <w:cantSplit/>
        </w:trPr>
        <w:tc>
          <w:tcPr>
            <w:tcW w:type="dxa" w:w="2880"/>
            <w:vAlign w:val="top"/>
            <w:tcMar>
              <w:top w:w="60" w:type="dxa"/>
              <w:start w:w="70" w:type="dxa"/>
              <w:bottom w:w="60" w:type="dxa"/>
              <w:end w:w="70" w:type="dxa"/>
            </w:tcMar>
          </w:tcPr>
          <w:p>
            <w:pPr>
              <w:pStyle w:val="TableText"/>
            </w:pPr>
            <w:r>
              <w:rPr>
                <w:sz w:val="14"/>
              </w:rPr>
              <w:t>Observable</w:t>
            </w:r>
          </w:p>
        </w:tc>
        <w:tc>
          <w:tcPr>
            <w:tcW w:type="dxa" w:w="7344"/>
            <w:vAlign w:val="top"/>
            <w:tcMar>
              <w:top w:w="60" w:type="dxa"/>
              <w:start w:w="70" w:type="dxa"/>
              <w:bottom w:w="60" w:type="dxa"/>
              <w:end w:w="70" w:type="dxa"/>
            </w:tcMar>
          </w:tcPr>
          <w:p>
            <w:pPr>
              <w:pStyle w:val="TableText"/>
            </w:pPr>
            <w:r>
              <w:rPr>
                <w:sz w:val="14"/>
              </w:rPr>
              <w:t>Expose freshness, completeness, quality, latency, errors and cost</w:t>
            </w:r>
          </w:p>
        </w:tc>
      </w:tr>
      <w:tr>
        <w:trPr>
          <w:cantSplit/>
        </w:trPr>
        <w:tc>
          <w:tcPr>
            <w:tcW w:type="dxa" w:w="2880"/>
            <w:vAlign w:val="top"/>
            <w:tcMar>
              <w:top w:w="60" w:type="dxa"/>
              <w:start w:w="70" w:type="dxa"/>
              <w:bottom w:w="60" w:type="dxa"/>
              <w:end w:w="70" w:type="dxa"/>
            </w:tcMar>
            <w:shd w:fill="F8F9FA"/>
          </w:tcPr>
          <w:p>
            <w:pPr>
              <w:pStyle w:val="TableText"/>
            </w:pPr>
            <w:r>
              <w:rPr>
                <w:sz w:val="14"/>
              </w:rPr>
              <w:t>Domain accountable</w:t>
            </w:r>
          </w:p>
        </w:tc>
        <w:tc>
          <w:tcPr>
            <w:tcW w:type="dxa" w:w="7344"/>
            <w:vAlign w:val="top"/>
            <w:tcMar>
              <w:top w:w="60" w:type="dxa"/>
              <w:start w:w="70" w:type="dxa"/>
              <w:bottom w:w="60" w:type="dxa"/>
              <w:end w:w="70" w:type="dxa"/>
            </w:tcMar>
            <w:shd w:fill="F8F9FA"/>
          </w:tcPr>
          <w:p>
            <w:pPr>
              <w:pStyle w:val="TableText"/>
            </w:pPr>
            <w:r>
              <w:rPr>
                <w:sz w:val="14"/>
              </w:rPr>
              <w:t>Product owner accepts SLO and business correctness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4. Requirements and Success Measures</w:t>
      </w:r>
    </w:p>
    <w:p>
      <w:r>
        <w:t>Pipeline requirements are expressed as measurable product outcomes rather than generic platform goals. Each production pipeline has a contract, owner, support tier, freshness and completeness SLO, quality gates, recovery source, capacity envelope, security classification and unit-cost measure.</w:t>
      </w:r>
    </w:p>
    <w:p>
      <w:pPr>
        <w:pStyle w:val="Heading2"/>
      </w:pPr>
      <w:r>
        <w:t>Mandatory design controls</w:t>
      </w:r>
    </w:p>
    <w:p>
      <w:pPr>
        <w:pStyle w:val="ListBullet"/>
        <w:spacing w:after="30"/>
      </w:pPr>
      <w:r>
        <w:t>At least 95% of new pipelines use approved templates.</w:t>
      </w:r>
    </w:p>
    <w:p>
      <w:pPr>
        <w:pStyle w:val="ListBullet"/>
        <w:spacing w:after="30"/>
      </w:pPr>
      <w:r>
        <w:t>100% of Tier 0/1 pipelines have tested replay and reconciliation.</w:t>
      </w:r>
    </w:p>
    <w:p>
      <w:pPr>
        <w:pStyle w:val="ListBullet"/>
        <w:spacing w:after="30"/>
      </w:pPr>
      <w:r>
        <w:t>No production artifact is deployed outside CI/CD.</w:t>
      </w:r>
    </w:p>
    <w:p>
      <w:pPr>
        <w:pStyle w:val="ListBullet"/>
        <w:spacing w:after="30"/>
      </w:pPr>
      <w:r>
        <w:t>Critical quality violations block certification and consumer publication.</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Measure</w:t>
            </w:r>
          </w:p>
        </w:tc>
        <w:tc>
          <w:tcPr>
            <w:tcW w:type="dxa" w:w="7344"/>
            <w:vAlign w:val="top"/>
            <w:tcMar>
              <w:top w:w="60" w:type="dxa"/>
              <w:start w:w="70" w:type="dxa"/>
              <w:bottom w:w="60" w:type="dxa"/>
              <w:end w:w="70" w:type="dxa"/>
            </w:tcMar>
          </w:tcPr>
          <w:p>
            <w:pPr>
              <w:pStyle w:val="TableText"/>
            </w:pPr>
            <w:r>
              <w:rPr>
                <w:sz w:val="14"/>
              </w:rPr>
              <w:t>Acceptance target</w:t>
            </w:r>
          </w:p>
        </w:tc>
      </w:tr>
      <w:tr>
        <w:trPr>
          <w:cantSplit/>
        </w:trPr>
        <w:tc>
          <w:tcPr>
            <w:tcW w:type="dxa" w:w="2880"/>
            <w:vAlign w:val="top"/>
            <w:tcMar>
              <w:top w:w="60" w:type="dxa"/>
              <w:start w:w="70" w:type="dxa"/>
              <w:bottom w:w="60" w:type="dxa"/>
              <w:end w:w="70" w:type="dxa"/>
            </w:tcMar>
            <w:shd w:fill="F8F9FA"/>
          </w:tcPr>
          <w:p>
            <w:pPr>
              <w:pStyle w:val="TableText"/>
            </w:pPr>
            <w:r>
              <w:rPr>
                <w:sz w:val="14"/>
              </w:rPr>
              <w:t>Template adoption</w:t>
            </w:r>
          </w:p>
        </w:tc>
        <w:tc>
          <w:tcPr>
            <w:tcW w:type="dxa" w:w="7344"/>
            <w:vAlign w:val="top"/>
            <w:tcMar>
              <w:top w:w="60" w:type="dxa"/>
              <w:start w:w="70" w:type="dxa"/>
              <w:bottom w:w="60" w:type="dxa"/>
              <w:end w:w="70" w:type="dxa"/>
            </w:tcMar>
            <w:shd w:fill="F8F9FA"/>
          </w:tcPr>
          <w:p>
            <w:pPr>
              <w:pStyle w:val="TableText"/>
            </w:pPr>
            <w:r>
              <w:rPr>
                <w:sz w:val="14"/>
              </w:rPr>
              <w:t>&gt;=95% of eligible new pipelines</w:t>
            </w:r>
          </w:p>
        </w:tc>
      </w:tr>
      <w:tr>
        <w:trPr>
          <w:cantSplit/>
        </w:trPr>
        <w:tc>
          <w:tcPr>
            <w:tcW w:type="dxa" w:w="2880"/>
            <w:vAlign w:val="top"/>
            <w:tcMar>
              <w:top w:w="60" w:type="dxa"/>
              <w:start w:w="70" w:type="dxa"/>
              <w:bottom w:w="60" w:type="dxa"/>
              <w:end w:w="70" w:type="dxa"/>
            </w:tcMar>
          </w:tcPr>
          <w:p>
            <w:pPr>
              <w:pStyle w:val="TableText"/>
            </w:pPr>
            <w:r>
              <w:rPr>
                <w:sz w:val="14"/>
              </w:rPr>
              <w:t>Contract coverage</w:t>
            </w:r>
          </w:p>
        </w:tc>
        <w:tc>
          <w:tcPr>
            <w:tcW w:type="dxa" w:w="7344"/>
            <w:vAlign w:val="top"/>
            <w:tcMar>
              <w:top w:w="60" w:type="dxa"/>
              <w:start w:w="70" w:type="dxa"/>
              <w:bottom w:w="60" w:type="dxa"/>
              <w:end w:w="70" w:type="dxa"/>
            </w:tcMar>
          </w:tcPr>
          <w:p>
            <w:pPr>
              <w:pStyle w:val="TableText"/>
            </w:pPr>
            <w:r>
              <w:rPr>
                <w:sz w:val="14"/>
              </w:rPr>
              <w:t>100% production pipelines</w:t>
            </w:r>
          </w:p>
        </w:tc>
      </w:tr>
      <w:tr>
        <w:trPr>
          <w:cantSplit/>
        </w:trPr>
        <w:tc>
          <w:tcPr>
            <w:tcW w:type="dxa" w:w="2880"/>
            <w:vAlign w:val="top"/>
            <w:tcMar>
              <w:top w:w="60" w:type="dxa"/>
              <w:start w:w="70" w:type="dxa"/>
              <w:bottom w:w="60" w:type="dxa"/>
              <w:end w:w="70" w:type="dxa"/>
            </w:tcMar>
            <w:shd w:fill="F8F9FA"/>
          </w:tcPr>
          <w:p>
            <w:pPr>
              <w:pStyle w:val="TableText"/>
            </w:pPr>
            <w:r>
              <w:rPr>
                <w:sz w:val="14"/>
              </w:rPr>
              <w:t>Reconciliation</w:t>
            </w:r>
          </w:p>
        </w:tc>
        <w:tc>
          <w:tcPr>
            <w:tcW w:type="dxa" w:w="7344"/>
            <w:vAlign w:val="top"/>
            <w:tcMar>
              <w:top w:w="60" w:type="dxa"/>
              <w:start w:w="70" w:type="dxa"/>
              <w:bottom w:w="60" w:type="dxa"/>
              <w:end w:w="70" w:type="dxa"/>
            </w:tcMar>
            <w:shd w:fill="F8F9FA"/>
          </w:tcPr>
          <w:p>
            <w:pPr>
              <w:pStyle w:val="TableText"/>
            </w:pPr>
            <w:r>
              <w:rPr>
                <w:sz w:val="14"/>
              </w:rPr>
              <w:t>100% Tier 0/1 runs or continuous windows</w:t>
            </w:r>
          </w:p>
        </w:tc>
      </w:tr>
      <w:tr>
        <w:trPr>
          <w:cantSplit/>
        </w:trPr>
        <w:tc>
          <w:tcPr>
            <w:tcW w:type="dxa" w:w="2880"/>
            <w:vAlign w:val="top"/>
            <w:tcMar>
              <w:top w:w="60" w:type="dxa"/>
              <w:start w:w="70" w:type="dxa"/>
              <w:bottom w:w="60" w:type="dxa"/>
              <w:end w:w="70" w:type="dxa"/>
            </w:tcMar>
          </w:tcPr>
          <w:p>
            <w:pPr>
              <w:pStyle w:val="TableText"/>
            </w:pPr>
            <w:r>
              <w:rPr>
                <w:sz w:val="14"/>
              </w:rPr>
              <w:t>Deployment evidence</w:t>
            </w:r>
          </w:p>
        </w:tc>
        <w:tc>
          <w:tcPr>
            <w:tcW w:type="dxa" w:w="7344"/>
            <w:vAlign w:val="top"/>
            <w:tcMar>
              <w:top w:w="60" w:type="dxa"/>
              <w:start w:w="70" w:type="dxa"/>
              <w:bottom w:w="60" w:type="dxa"/>
              <w:end w:w="70" w:type="dxa"/>
            </w:tcMar>
          </w:tcPr>
          <w:p>
            <w:pPr>
              <w:pStyle w:val="TableText"/>
            </w:pPr>
            <w:r>
              <w:rPr>
                <w:sz w:val="14"/>
              </w:rPr>
              <w:t>Commit, tests, approvals and artifact digest</w:t>
            </w:r>
          </w:p>
        </w:tc>
      </w:tr>
      <w:tr>
        <w:trPr>
          <w:cantSplit/>
        </w:trPr>
        <w:tc>
          <w:tcPr>
            <w:tcW w:type="dxa" w:w="2880"/>
            <w:vAlign w:val="top"/>
            <w:tcMar>
              <w:top w:w="60" w:type="dxa"/>
              <w:start w:w="70" w:type="dxa"/>
              <w:bottom w:w="60" w:type="dxa"/>
              <w:end w:w="70" w:type="dxa"/>
            </w:tcMar>
            <w:shd w:fill="F8F9FA"/>
          </w:tcPr>
          <w:p>
            <w:pPr>
              <w:pStyle w:val="TableText"/>
            </w:pPr>
            <w:r>
              <w:rPr>
                <w:sz w:val="14"/>
              </w:rPr>
              <w:t>Owner routing</w:t>
            </w:r>
          </w:p>
        </w:tc>
        <w:tc>
          <w:tcPr>
            <w:tcW w:type="dxa" w:w="7344"/>
            <w:vAlign w:val="top"/>
            <w:tcMar>
              <w:top w:w="60" w:type="dxa"/>
              <w:start w:w="70" w:type="dxa"/>
              <w:bottom w:w="60" w:type="dxa"/>
              <w:end w:w="70" w:type="dxa"/>
            </w:tcMar>
            <w:shd w:fill="F8F9FA"/>
          </w:tcPr>
          <w:p>
            <w:pPr>
              <w:pStyle w:val="TableText"/>
            </w:pPr>
            <w:r>
              <w:rPr>
                <w:sz w:val="14"/>
              </w:rPr>
              <w:t>All alerts resolve to named product/on-call owner</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5. Target Pipeline Architecture</w:t>
      </w:r>
    </w:p>
    <w:p>
      <w:r>
        <w:t>The target architecture has four planes. The data plane moves and transforms data. The control plane schedules work and records dependencies. The governance plane holds contracts, classification, lineage and quality. The operations plane measures SLOs, incidents, capacity and cost. Separating these concerns prevents orchestration engines from becoming transformation engines and avoids embedding governance in unsearchable code.</w:t>
      </w:r>
    </w:p>
    <w:p>
      <w:pPr>
        <w:pStyle w:val="Heading2"/>
      </w:pPr>
      <w:r>
        <w:t>Mandatory design controls</w:t>
      </w:r>
    </w:p>
    <w:p>
      <w:pPr>
        <w:pStyle w:val="ListBullet"/>
        <w:spacing w:after="30"/>
      </w:pPr>
      <w:r>
        <w:t>Service projects are domain-aligned; shared networking, security, logging and build services remain centrally governed.</w:t>
      </w:r>
    </w:p>
    <w:p>
      <w:pPr>
        <w:pStyle w:val="ListBullet"/>
        <w:spacing w:after="30"/>
      </w:pPr>
      <w:r>
        <w:t>Runtime identities are pipeline-specific or bounded to a product, not shared across unrelated domains.</w:t>
      </w:r>
    </w:p>
    <w:p>
      <w:pPr>
        <w:pStyle w:val="ListBullet"/>
        <w:spacing w:after="30"/>
      </w:pPr>
      <w:r>
        <w:t>Inputs land before complex processing when recovery or legal evidence requires it.</w:t>
      </w:r>
    </w:p>
    <w:p>
      <w:pPr>
        <w:pStyle w:val="ListBullet"/>
        <w:spacing w:after="30"/>
      </w:pPr>
      <w:r>
        <w:t>Curated publication is atomic and gated.</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Plane</w:t>
            </w:r>
          </w:p>
        </w:tc>
        <w:tc>
          <w:tcPr>
            <w:tcW w:type="dxa" w:w="7344"/>
            <w:vAlign w:val="top"/>
            <w:tcMar>
              <w:top w:w="60" w:type="dxa"/>
              <w:start w:w="70" w:type="dxa"/>
              <w:bottom w:w="60" w:type="dxa"/>
              <w:end w:w="70" w:type="dxa"/>
            </w:tcMar>
          </w:tcPr>
          <w:p>
            <w:pPr>
              <w:pStyle w:val="TableText"/>
            </w:pPr>
            <w:r>
              <w:rPr>
                <w:sz w:val="14"/>
              </w:rPr>
              <w:t>Components</w:t>
            </w:r>
          </w:p>
        </w:tc>
      </w:tr>
      <w:tr>
        <w:trPr>
          <w:cantSplit/>
        </w:trPr>
        <w:tc>
          <w:tcPr>
            <w:tcW w:type="dxa" w:w="2880"/>
            <w:vAlign w:val="top"/>
            <w:tcMar>
              <w:top w:w="60" w:type="dxa"/>
              <w:start w:w="70" w:type="dxa"/>
              <w:bottom w:w="60" w:type="dxa"/>
              <w:end w:w="70" w:type="dxa"/>
            </w:tcMar>
            <w:shd w:fill="F8F9FA"/>
          </w:tcPr>
          <w:p>
            <w:pPr>
              <w:pStyle w:val="TableText"/>
            </w:pPr>
            <w:r>
              <w:rPr>
                <w:sz w:val="14"/>
              </w:rPr>
              <w:t>Data</w:t>
            </w:r>
          </w:p>
        </w:tc>
        <w:tc>
          <w:tcPr>
            <w:tcW w:type="dxa" w:w="7344"/>
            <w:vAlign w:val="top"/>
            <w:tcMar>
              <w:top w:w="60" w:type="dxa"/>
              <w:start w:w="70" w:type="dxa"/>
              <w:bottom w:w="60" w:type="dxa"/>
              <w:end w:w="70" w:type="dxa"/>
            </w:tcMar>
            <w:shd w:fill="F8F9FA"/>
          </w:tcPr>
          <w:p>
            <w:pPr>
              <w:pStyle w:val="TableText"/>
            </w:pPr>
            <w:r>
              <w:rPr>
                <w:sz w:val="14"/>
              </w:rPr>
              <w:t>Pub/Sub, Datastream, Cloud Storage, Dataflow, Spark, BigQuery/Dataform</w:t>
            </w:r>
          </w:p>
        </w:tc>
      </w:tr>
      <w:tr>
        <w:trPr>
          <w:cantSplit/>
        </w:trPr>
        <w:tc>
          <w:tcPr>
            <w:tcW w:type="dxa" w:w="2880"/>
            <w:vAlign w:val="top"/>
            <w:tcMar>
              <w:top w:w="60" w:type="dxa"/>
              <w:start w:w="70" w:type="dxa"/>
              <w:bottom w:w="60" w:type="dxa"/>
              <w:end w:w="70" w:type="dxa"/>
            </w:tcMar>
          </w:tcPr>
          <w:p>
            <w:pPr>
              <w:pStyle w:val="TableText"/>
            </w:pPr>
            <w:r>
              <w:rPr>
                <w:sz w:val="14"/>
              </w:rPr>
              <w:t>Control</w:t>
            </w:r>
          </w:p>
        </w:tc>
        <w:tc>
          <w:tcPr>
            <w:tcW w:type="dxa" w:w="7344"/>
            <w:vAlign w:val="top"/>
            <w:tcMar>
              <w:top w:w="60" w:type="dxa"/>
              <w:start w:w="70" w:type="dxa"/>
              <w:bottom w:w="60" w:type="dxa"/>
              <w:end w:w="70" w:type="dxa"/>
            </w:tcMar>
          </w:tcPr>
          <w:p>
            <w:pPr>
              <w:pStyle w:val="TableText"/>
            </w:pPr>
            <w:r>
              <w:rPr>
                <w:sz w:val="14"/>
              </w:rPr>
              <w:t>Managed Airflow, Workflows, Cloud Run Jobs, run ledger</w:t>
            </w:r>
          </w:p>
        </w:tc>
      </w:tr>
      <w:tr>
        <w:trPr>
          <w:cantSplit/>
        </w:trPr>
        <w:tc>
          <w:tcPr>
            <w:tcW w:type="dxa" w:w="2880"/>
            <w:vAlign w:val="top"/>
            <w:tcMar>
              <w:top w:w="60" w:type="dxa"/>
              <w:start w:w="70" w:type="dxa"/>
              <w:bottom w:w="60" w:type="dxa"/>
              <w:end w:w="70" w:type="dxa"/>
            </w:tcMar>
            <w:shd w:fill="F8F9FA"/>
          </w:tcPr>
          <w:p>
            <w:pPr>
              <w:pStyle w:val="TableText"/>
            </w:pPr>
            <w:r>
              <w:rPr>
                <w:sz w:val="14"/>
              </w:rPr>
              <w:t>Governance</w:t>
            </w:r>
          </w:p>
        </w:tc>
        <w:tc>
          <w:tcPr>
            <w:tcW w:type="dxa" w:w="7344"/>
            <w:vAlign w:val="top"/>
            <w:tcMar>
              <w:top w:w="60" w:type="dxa"/>
              <w:start w:w="70" w:type="dxa"/>
              <w:bottom w:w="60" w:type="dxa"/>
              <w:end w:w="70" w:type="dxa"/>
            </w:tcMar>
            <w:shd w:fill="F8F9FA"/>
          </w:tcPr>
          <w:p>
            <w:pPr>
              <w:pStyle w:val="TableText"/>
            </w:pPr>
            <w:r>
              <w:rPr>
                <w:sz w:val="14"/>
              </w:rPr>
              <w:t>Knowledge Catalog, contracts, lineage, quality and stewardship</w:t>
            </w:r>
          </w:p>
        </w:tc>
      </w:tr>
      <w:tr>
        <w:trPr>
          <w:cantSplit/>
        </w:trPr>
        <w:tc>
          <w:tcPr>
            <w:tcW w:type="dxa" w:w="2880"/>
            <w:vAlign w:val="top"/>
            <w:tcMar>
              <w:top w:w="60" w:type="dxa"/>
              <w:start w:w="70" w:type="dxa"/>
              <w:bottom w:w="60" w:type="dxa"/>
              <w:end w:w="70" w:type="dxa"/>
            </w:tcMar>
          </w:tcPr>
          <w:p>
            <w:pPr>
              <w:pStyle w:val="TableText"/>
            </w:pPr>
            <w:r>
              <w:rPr>
                <w:sz w:val="14"/>
              </w:rPr>
              <w:t>Operations</w:t>
            </w:r>
          </w:p>
        </w:tc>
        <w:tc>
          <w:tcPr>
            <w:tcW w:type="dxa" w:w="7344"/>
            <w:vAlign w:val="top"/>
            <w:tcMar>
              <w:top w:w="60" w:type="dxa"/>
              <w:start w:w="70" w:type="dxa"/>
              <w:bottom w:w="60" w:type="dxa"/>
              <w:end w:w="70" w:type="dxa"/>
            </w:tcMar>
          </w:tcPr>
          <w:p>
            <w:pPr>
              <w:pStyle w:val="TableText"/>
            </w:pPr>
            <w:r>
              <w:rPr>
                <w:sz w:val="14"/>
              </w:rPr>
              <w:t>Monitoring, Logging, alerting, error budgets, FinOps and DR</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6. Pipeline Taxonomy and Selection</w:t>
      </w:r>
    </w:p>
    <w:p>
      <w:r>
        <w:t>A workload is classified by boundedness, freshness, change semantics, ordering, scale, recovery source and consumer contract. Batch remains the default for periodic bounded data. Micro-batch reduces latency while retaining bounded operation. Streaming is used for continuous events. CDC is used for database change replication. SQL ELT is used when data already resides in BigQuery.</w:t>
      </w:r>
    </w:p>
    <w:p>
      <w:pPr>
        <w:pStyle w:val="Heading2"/>
      </w:pPr>
      <w:r>
        <w:t>Mandatory design controls</w:t>
      </w:r>
    </w:p>
    <w:p>
      <w:pPr>
        <w:pStyle w:val="ListBullet"/>
        <w:spacing w:after="30"/>
      </w:pPr>
      <w:r>
        <w:t>Document the rejected alternatives and economics.</w:t>
      </w:r>
    </w:p>
    <w:p>
      <w:pPr>
        <w:pStyle w:val="ListBullet"/>
        <w:spacing w:after="30"/>
      </w:pPr>
      <w:r>
        <w:t>Do not label a scheduled poll as CDC.</w:t>
      </w:r>
    </w:p>
    <w:p>
      <w:pPr>
        <w:pStyle w:val="ListBullet"/>
        <w:spacing w:after="30"/>
      </w:pPr>
      <w:r>
        <w:t>Do not use streaming to compensate for unclear business requirements.</w:t>
      </w:r>
    </w:p>
    <w:p>
      <w:pPr>
        <w:pStyle w:val="ListBullet"/>
        <w:spacing w:after="30"/>
      </w:pPr>
      <w:r>
        <w:t>Revisit pattern when sustained throughput, latency or operational evidence changes.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Pattern</w:t>
            </w:r>
          </w:p>
        </w:tc>
        <w:tc>
          <w:tcPr>
            <w:tcW w:type="dxa" w:w="7344"/>
            <w:vAlign w:val="top"/>
            <w:tcMar>
              <w:top w:w="60" w:type="dxa"/>
              <w:start w:w="70" w:type="dxa"/>
              <w:bottom w:w="60" w:type="dxa"/>
              <w:end w:w="70" w:type="dxa"/>
            </w:tcMar>
          </w:tcPr>
          <w:p>
            <w:pPr>
              <w:pStyle w:val="TableText"/>
            </w:pPr>
            <w:r>
              <w:rPr>
                <w:sz w:val="14"/>
              </w:rPr>
              <w:t>Selection trigger</w:t>
            </w:r>
          </w:p>
        </w:tc>
      </w:tr>
      <w:tr>
        <w:trPr>
          <w:cantSplit/>
        </w:trPr>
        <w:tc>
          <w:tcPr>
            <w:tcW w:type="dxa" w:w="2880"/>
            <w:vAlign w:val="top"/>
            <w:tcMar>
              <w:top w:w="60" w:type="dxa"/>
              <w:start w:w="70" w:type="dxa"/>
              <w:bottom w:w="60" w:type="dxa"/>
              <w:end w:w="70" w:type="dxa"/>
            </w:tcMar>
            <w:shd w:fill="F8F9FA"/>
          </w:tcPr>
          <w:p>
            <w:pPr>
              <w:pStyle w:val="TableText"/>
            </w:pPr>
            <w:r>
              <w:rPr>
                <w:sz w:val="14"/>
              </w:rPr>
              <w:t>Batch</w:t>
            </w:r>
          </w:p>
        </w:tc>
        <w:tc>
          <w:tcPr>
            <w:tcW w:type="dxa" w:w="7344"/>
            <w:vAlign w:val="top"/>
            <w:tcMar>
              <w:top w:w="60" w:type="dxa"/>
              <w:start w:w="70" w:type="dxa"/>
              <w:bottom w:w="60" w:type="dxa"/>
              <w:end w:w="70" w:type="dxa"/>
            </w:tcMar>
            <w:shd w:fill="F8F9FA"/>
          </w:tcPr>
          <w:p>
            <w:pPr>
              <w:pStyle w:val="TableText"/>
            </w:pPr>
            <w:r>
              <w:rPr>
                <w:sz w:val="14"/>
              </w:rPr>
              <w:t>Freshness &gt;=1 hour or bounded source delivery</w:t>
            </w:r>
          </w:p>
        </w:tc>
      </w:tr>
      <w:tr>
        <w:trPr>
          <w:cantSplit/>
        </w:trPr>
        <w:tc>
          <w:tcPr>
            <w:tcW w:type="dxa" w:w="2880"/>
            <w:vAlign w:val="top"/>
            <w:tcMar>
              <w:top w:w="60" w:type="dxa"/>
              <w:start w:w="70" w:type="dxa"/>
              <w:bottom w:w="60" w:type="dxa"/>
              <w:end w:w="70" w:type="dxa"/>
            </w:tcMar>
          </w:tcPr>
          <w:p>
            <w:pPr>
              <w:pStyle w:val="TableText"/>
            </w:pPr>
            <w:r>
              <w:rPr>
                <w:sz w:val="14"/>
              </w:rPr>
              <w:t>Micro-batch</w:t>
            </w:r>
          </w:p>
        </w:tc>
        <w:tc>
          <w:tcPr>
            <w:tcW w:type="dxa" w:w="7344"/>
            <w:vAlign w:val="top"/>
            <w:tcMar>
              <w:top w:w="60" w:type="dxa"/>
              <w:start w:w="70" w:type="dxa"/>
              <w:bottom w:w="60" w:type="dxa"/>
              <w:end w:w="70" w:type="dxa"/>
            </w:tcMar>
          </w:tcPr>
          <w:p>
            <w:pPr>
              <w:pStyle w:val="TableText"/>
            </w:pPr>
            <w:r>
              <w:rPr>
                <w:sz w:val="14"/>
              </w:rPr>
              <w:t>5-60 minute freshness with bounded partitions</w:t>
            </w:r>
          </w:p>
        </w:tc>
      </w:tr>
      <w:tr>
        <w:trPr>
          <w:cantSplit/>
        </w:trPr>
        <w:tc>
          <w:tcPr>
            <w:tcW w:type="dxa" w:w="2880"/>
            <w:vAlign w:val="top"/>
            <w:tcMar>
              <w:top w:w="60" w:type="dxa"/>
              <w:start w:w="70" w:type="dxa"/>
              <w:bottom w:w="60" w:type="dxa"/>
              <w:end w:w="70" w:type="dxa"/>
            </w:tcMar>
            <w:shd w:fill="F8F9FA"/>
          </w:tcPr>
          <w:p>
            <w:pPr>
              <w:pStyle w:val="TableText"/>
            </w:pPr>
            <w:r>
              <w:rPr>
                <w:sz w:val="14"/>
              </w:rPr>
              <w:t>Streaming</w:t>
            </w:r>
          </w:p>
        </w:tc>
        <w:tc>
          <w:tcPr>
            <w:tcW w:type="dxa" w:w="7344"/>
            <w:vAlign w:val="top"/>
            <w:tcMar>
              <w:top w:w="60" w:type="dxa"/>
              <w:start w:w="70" w:type="dxa"/>
              <w:bottom w:w="60" w:type="dxa"/>
              <w:end w:w="70" w:type="dxa"/>
            </w:tcMar>
            <w:shd w:fill="F8F9FA"/>
          </w:tcPr>
          <w:p>
            <w:pPr>
              <w:pStyle w:val="TableText"/>
            </w:pPr>
            <w:r>
              <w:rPr>
                <w:sz w:val="14"/>
              </w:rPr>
              <w:t>Seconds/minutes and event-driven consumers</w:t>
            </w:r>
          </w:p>
        </w:tc>
      </w:tr>
      <w:tr>
        <w:trPr>
          <w:cantSplit/>
        </w:trPr>
        <w:tc>
          <w:tcPr>
            <w:tcW w:type="dxa" w:w="2880"/>
            <w:vAlign w:val="top"/>
            <w:tcMar>
              <w:top w:w="60" w:type="dxa"/>
              <w:start w:w="70" w:type="dxa"/>
              <w:bottom w:w="60" w:type="dxa"/>
              <w:end w:w="70" w:type="dxa"/>
            </w:tcMar>
          </w:tcPr>
          <w:p>
            <w:pPr>
              <w:pStyle w:val="TableText"/>
            </w:pPr>
            <w:r>
              <w:rPr>
                <w:sz w:val="14"/>
              </w:rPr>
              <w:t>CDC</w:t>
            </w:r>
          </w:p>
        </w:tc>
        <w:tc>
          <w:tcPr>
            <w:tcW w:type="dxa" w:w="7344"/>
            <w:vAlign w:val="top"/>
            <w:tcMar>
              <w:top w:w="60" w:type="dxa"/>
              <w:start w:w="70" w:type="dxa"/>
              <w:bottom w:w="60" w:type="dxa"/>
              <w:end w:w="70" w:type="dxa"/>
            </w:tcMar>
          </w:tcPr>
          <w:p>
            <w:pPr>
              <w:pStyle w:val="TableText"/>
            </w:pPr>
            <w:r>
              <w:rPr>
                <w:sz w:val="14"/>
              </w:rPr>
              <w:t>Database log-based change replication</w:t>
            </w:r>
          </w:p>
        </w:tc>
      </w:tr>
      <w:tr>
        <w:trPr>
          <w:cantSplit/>
        </w:trPr>
        <w:tc>
          <w:tcPr>
            <w:tcW w:type="dxa" w:w="2880"/>
            <w:vAlign w:val="top"/>
            <w:tcMar>
              <w:top w:w="60" w:type="dxa"/>
              <w:start w:w="70" w:type="dxa"/>
              <w:bottom w:w="60" w:type="dxa"/>
              <w:end w:w="70" w:type="dxa"/>
            </w:tcMar>
            <w:shd w:fill="F8F9FA"/>
          </w:tcPr>
          <w:p>
            <w:pPr>
              <w:pStyle w:val="TableText"/>
            </w:pPr>
            <w:r>
              <w:rPr>
                <w:sz w:val="14"/>
              </w:rPr>
              <w:t>ELT</w:t>
            </w:r>
          </w:p>
        </w:tc>
        <w:tc>
          <w:tcPr>
            <w:tcW w:type="dxa" w:w="7344"/>
            <w:vAlign w:val="top"/>
            <w:tcMar>
              <w:top w:w="60" w:type="dxa"/>
              <w:start w:w="70" w:type="dxa"/>
              <w:bottom w:w="60" w:type="dxa"/>
              <w:end w:w="70" w:type="dxa"/>
            </w:tcMar>
            <w:shd w:fill="F8F9FA"/>
          </w:tcPr>
          <w:p>
            <w:pPr>
              <w:pStyle w:val="TableText"/>
            </w:pPr>
            <w:r>
              <w:rPr>
                <w:sz w:val="14"/>
              </w:rPr>
              <w:t>BigQuery-resident transformations and dimensional logic</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7. Batch Processing</w:t>
      </w:r>
    </w:p>
    <w:p>
      <w:r>
        <w:t>Batch pipelines ingest immutable manifests or bounded table snapshots, validate checksums and schemas, process into isolated staging, reconcile, then publish through partition replacement or idempotent MERGE. A run ID connects source manifest, code version, configuration, outputs, quality evidence and operational logs.</w:t>
      </w:r>
    </w:p>
    <w:p>
      <w:pPr>
        <w:pStyle w:val="Heading2"/>
      </w:pPr>
      <w:r>
        <w:t>Mandatory design controls</w:t>
      </w:r>
    </w:p>
    <w:p>
      <w:pPr>
        <w:pStyle w:val="ListBullet"/>
        <w:spacing w:after="30"/>
      </w:pPr>
      <w:r>
        <w:t>A rerun must not duplicate business records.</w:t>
      </w:r>
    </w:p>
    <w:p>
      <w:pPr>
        <w:pStyle w:val="ListBullet"/>
        <w:spacing w:after="30"/>
      </w:pPr>
      <w:r>
        <w:t>Use explicit schemas and deterministic partition boundaries.</w:t>
      </w:r>
    </w:p>
    <w:p>
      <w:pPr>
        <w:pStyle w:val="ListBullet"/>
        <w:spacing w:after="30"/>
      </w:pPr>
      <w:r>
        <w:t>Write to staging before mutating certified targets.</w:t>
      </w:r>
    </w:p>
    <w:p>
      <w:pPr>
        <w:pStyle w:val="ListBullet"/>
        <w:spacing w:after="30"/>
      </w:pPr>
      <w:r>
        <w:t>Retain manifests and rejected-record evidence according to classification.</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Stage</w:t>
            </w:r>
          </w:p>
        </w:tc>
        <w:tc>
          <w:tcPr>
            <w:tcW w:type="dxa" w:w="7344"/>
            <w:vAlign w:val="top"/>
            <w:tcMar>
              <w:top w:w="60" w:type="dxa"/>
              <w:start w:w="70" w:type="dxa"/>
              <w:bottom w:w="60" w:type="dxa"/>
              <w:end w:w="70" w:type="dxa"/>
            </w:tcMar>
          </w:tcPr>
          <w:p>
            <w:pPr>
              <w:pStyle w:val="TableText"/>
            </w:pPr>
            <w:r>
              <w:rPr>
                <w:sz w:val="14"/>
              </w:rPr>
              <w:t>Mandatory action</w:t>
            </w:r>
          </w:p>
        </w:tc>
      </w:tr>
      <w:tr>
        <w:trPr>
          <w:cantSplit/>
        </w:trPr>
        <w:tc>
          <w:tcPr>
            <w:tcW w:type="dxa" w:w="2880"/>
            <w:vAlign w:val="top"/>
            <w:tcMar>
              <w:top w:w="60" w:type="dxa"/>
              <w:start w:w="70" w:type="dxa"/>
              <w:bottom w:w="60" w:type="dxa"/>
              <w:end w:w="70" w:type="dxa"/>
            </w:tcMar>
            <w:shd w:fill="F8F9FA"/>
          </w:tcPr>
          <w:p>
            <w:pPr>
              <w:pStyle w:val="TableText"/>
            </w:pPr>
            <w:r>
              <w:rPr>
                <w:sz w:val="14"/>
              </w:rPr>
              <w:t>Discover</w:t>
            </w:r>
          </w:p>
        </w:tc>
        <w:tc>
          <w:tcPr>
            <w:tcW w:type="dxa" w:w="7344"/>
            <w:vAlign w:val="top"/>
            <w:tcMar>
              <w:top w:w="60" w:type="dxa"/>
              <w:start w:w="70" w:type="dxa"/>
              <w:bottom w:w="60" w:type="dxa"/>
              <w:end w:w="70" w:type="dxa"/>
            </w:tcMar>
            <w:shd w:fill="F8F9FA"/>
          </w:tcPr>
          <w:p>
            <w:pPr>
              <w:pStyle w:val="TableText"/>
            </w:pPr>
            <w:r>
              <w:rPr>
                <w:sz w:val="14"/>
              </w:rPr>
              <w:t>Validate manifest, object list, checksum and expected arrival</w:t>
            </w:r>
          </w:p>
        </w:tc>
      </w:tr>
      <w:tr>
        <w:trPr>
          <w:cantSplit/>
        </w:trPr>
        <w:tc>
          <w:tcPr>
            <w:tcW w:type="dxa" w:w="2880"/>
            <w:vAlign w:val="top"/>
            <w:tcMar>
              <w:top w:w="60" w:type="dxa"/>
              <w:start w:w="70" w:type="dxa"/>
              <w:bottom w:w="60" w:type="dxa"/>
              <w:end w:w="70" w:type="dxa"/>
            </w:tcMar>
          </w:tcPr>
          <w:p>
            <w:pPr>
              <w:pStyle w:val="TableText"/>
            </w:pPr>
            <w:r>
              <w:rPr>
                <w:sz w:val="14"/>
              </w:rPr>
              <w:t>Validate</w:t>
            </w:r>
          </w:p>
        </w:tc>
        <w:tc>
          <w:tcPr>
            <w:tcW w:type="dxa" w:w="7344"/>
            <w:vAlign w:val="top"/>
            <w:tcMar>
              <w:top w:w="60" w:type="dxa"/>
              <w:start w:w="70" w:type="dxa"/>
              <w:bottom w:w="60" w:type="dxa"/>
              <w:end w:w="70" w:type="dxa"/>
            </w:tcMar>
          </w:tcPr>
          <w:p>
            <w:pPr>
              <w:pStyle w:val="TableText"/>
            </w:pPr>
            <w:r>
              <w:rPr>
                <w:sz w:val="14"/>
              </w:rPr>
              <w:t>Contract, malware where relevant, schema and basic quality</w:t>
            </w:r>
          </w:p>
        </w:tc>
      </w:tr>
      <w:tr>
        <w:trPr>
          <w:cantSplit/>
        </w:trPr>
        <w:tc>
          <w:tcPr>
            <w:tcW w:type="dxa" w:w="2880"/>
            <w:vAlign w:val="top"/>
            <w:tcMar>
              <w:top w:w="60" w:type="dxa"/>
              <w:start w:w="70" w:type="dxa"/>
              <w:bottom w:w="60" w:type="dxa"/>
              <w:end w:w="70" w:type="dxa"/>
            </w:tcMar>
            <w:shd w:fill="F8F9FA"/>
          </w:tcPr>
          <w:p>
            <w:pPr>
              <w:pStyle w:val="TableText"/>
            </w:pPr>
            <w:r>
              <w:rPr>
                <w:sz w:val="14"/>
              </w:rPr>
              <w:t>Process</w:t>
            </w:r>
          </w:p>
        </w:tc>
        <w:tc>
          <w:tcPr>
            <w:tcW w:type="dxa" w:w="7344"/>
            <w:vAlign w:val="top"/>
            <w:tcMar>
              <w:top w:w="60" w:type="dxa"/>
              <w:start w:w="70" w:type="dxa"/>
              <w:bottom w:w="60" w:type="dxa"/>
              <w:end w:w="70" w:type="dxa"/>
            </w:tcMar>
            <w:shd w:fill="F8F9FA"/>
          </w:tcPr>
          <w:p>
            <w:pPr>
              <w:pStyle w:val="TableText"/>
            </w:pPr>
            <w:r>
              <w:rPr>
                <w:sz w:val="14"/>
              </w:rPr>
              <w:t>Versioned Beam/Spark/SQL with run ID</w:t>
            </w:r>
          </w:p>
        </w:tc>
      </w:tr>
      <w:tr>
        <w:trPr>
          <w:cantSplit/>
        </w:trPr>
        <w:tc>
          <w:tcPr>
            <w:tcW w:type="dxa" w:w="2880"/>
            <w:vAlign w:val="top"/>
            <w:tcMar>
              <w:top w:w="60" w:type="dxa"/>
              <w:start w:w="70" w:type="dxa"/>
              <w:bottom w:w="60" w:type="dxa"/>
              <w:end w:w="70" w:type="dxa"/>
            </w:tcMar>
          </w:tcPr>
          <w:p>
            <w:pPr>
              <w:pStyle w:val="TableText"/>
            </w:pPr>
            <w:r>
              <w:rPr>
                <w:sz w:val="14"/>
              </w:rPr>
              <w:t>Publish</w:t>
            </w:r>
          </w:p>
        </w:tc>
        <w:tc>
          <w:tcPr>
            <w:tcW w:type="dxa" w:w="7344"/>
            <w:vAlign w:val="top"/>
            <w:tcMar>
              <w:top w:w="60" w:type="dxa"/>
              <w:start w:w="70" w:type="dxa"/>
              <w:bottom w:w="60" w:type="dxa"/>
              <w:end w:w="70" w:type="dxa"/>
            </w:tcMar>
          </w:tcPr>
          <w:p>
            <w:pPr>
              <w:pStyle w:val="TableText"/>
            </w:pPr>
            <w:r>
              <w:rPr>
                <w:sz w:val="14"/>
              </w:rPr>
              <w:t>Atomic partition replace or idempotent MERGE</w:t>
            </w:r>
          </w:p>
        </w:tc>
      </w:tr>
      <w:tr>
        <w:trPr>
          <w:cantSplit/>
        </w:trPr>
        <w:tc>
          <w:tcPr>
            <w:tcW w:type="dxa" w:w="2880"/>
            <w:vAlign w:val="top"/>
            <w:tcMar>
              <w:top w:w="60" w:type="dxa"/>
              <w:start w:w="70" w:type="dxa"/>
              <w:bottom w:w="60" w:type="dxa"/>
              <w:end w:w="70" w:type="dxa"/>
            </w:tcMar>
            <w:shd w:fill="F8F9FA"/>
          </w:tcPr>
          <w:p>
            <w:pPr>
              <w:pStyle w:val="TableText"/>
            </w:pPr>
            <w:r>
              <w:rPr>
                <w:sz w:val="14"/>
              </w:rPr>
              <w:t>Close</w:t>
            </w:r>
          </w:p>
        </w:tc>
        <w:tc>
          <w:tcPr>
            <w:tcW w:type="dxa" w:w="7344"/>
            <w:vAlign w:val="top"/>
            <w:tcMar>
              <w:top w:w="60" w:type="dxa"/>
              <w:start w:w="70" w:type="dxa"/>
              <w:bottom w:w="60" w:type="dxa"/>
              <w:end w:w="70" w:type="dxa"/>
            </w:tcMar>
            <w:shd w:fill="F8F9FA"/>
          </w:tcPr>
          <w:p>
            <w:pPr>
              <w:pStyle w:val="TableText"/>
            </w:pPr>
            <w:r>
              <w:rPr>
                <w:sz w:val="14"/>
              </w:rPr>
              <w:t>Reconciliation, lineage, certification and metrics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8. Micro-Batch Processing</w:t>
      </w:r>
    </w:p>
    <w:p>
      <w:r>
        <w:t>Micro-batch is appropriate when near-real-time freshness is needed but continuous stateful processing is unnecessary. The pipeline processes event-time or ingestion-time intervals with a closed boundary, overlap margin and high-water mark. It preserves the operational advantages of bounded jobs while reducing delay.</w:t>
      </w:r>
    </w:p>
    <w:p>
      <w:pPr>
        <w:pStyle w:val="Heading2"/>
      </w:pPr>
      <w:r>
        <w:t>Mandatory design controls</w:t>
      </w:r>
    </w:p>
    <w:p>
      <w:pPr>
        <w:pStyle w:val="ListBullet"/>
        <w:spacing w:after="30"/>
      </w:pPr>
      <w:r>
        <w:t>Persist the high-water mark transactionally with successful publication.</w:t>
      </w:r>
    </w:p>
    <w:p>
      <w:pPr>
        <w:pStyle w:val="ListBullet"/>
        <w:spacing w:after="30"/>
      </w:pPr>
      <w:r>
        <w:t>Include an overlap window and deduplicate by stable business/event key.</w:t>
      </w:r>
    </w:p>
    <w:p>
      <w:pPr>
        <w:pStyle w:val="ListBullet"/>
        <w:spacing w:after="30"/>
      </w:pPr>
      <w:r>
        <w:t>Prevent concurrent runs for the same partition or define deterministic conflict handling.</w:t>
      </w:r>
    </w:p>
    <w:p>
      <w:pPr>
        <w:pStyle w:val="ListBullet"/>
        <w:spacing w:after="30"/>
      </w:pPr>
      <w:r>
        <w:t>Alert on schedule drift and unprocessed intervals.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Design item</w:t>
            </w:r>
          </w:p>
        </w:tc>
        <w:tc>
          <w:tcPr>
            <w:tcW w:type="dxa" w:w="7344"/>
            <w:vAlign w:val="top"/>
            <w:tcMar>
              <w:top w:w="60" w:type="dxa"/>
              <w:start w:w="70" w:type="dxa"/>
              <w:bottom w:w="60" w:type="dxa"/>
              <w:end w:w="70" w:type="dxa"/>
            </w:tcMar>
          </w:tcPr>
          <w:p>
            <w:pPr>
              <w:pStyle w:val="TableText"/>
            </w:pPr>
            <w:r>
              <w:rPr>
                <w:sz w:val="14"/>
              </w:rPr>
              <w:t>Standard</w:t>
            </w:r>
          </w:p>
        </w:tc>
      </w:tr>
      <w:tr>
        <w:trPr>
          <w:cantSplit/>
        </w:trPr>
        <w:tc>
          <w:tcPr>
            <w:tcW w:type="dxa" w:w="2880"/>
            <w:vAlign w:val="top"/>
            <w:tcMar>
              <w:top w:w="60" w:type="dxa"/>
              <w:start w:w="70" w:type="dxa"/>
              <w:bottom w:w="60" w:type="dxa"/>
              <w:end w:w="70" w:type="dxa"/>
            </w:tcMar>
            <w:shd w:fill="F8F9FA"/>
          </w:tcPr>
          <w:p>
            <w:pPr>
              <w:pStyle w:val="TableText"/>
            </w:pPr>
            <w:r>
              <w:rPr>
                <w:sz w:val="14"/>
              </w:rPr>
              <w:t>Interval</w:t>
            </w:r>
          </w:p>
        </w:tc>
        <w:tc>
          <w:tcPr>
            <w:tcW w:type="dxa" w:w="7344"/>
            <w:vAlign w:val="top"/>
            <w:tcMar>
              <w:top w:w="60" w:type="dxa"/>
              <w:start w:w="70" w:type="dxa"/>
              <w:bottom w:w="60" w:type="dxa"/>
              <w:end w:w="70" w:type="dxa"/>
            </w:tcMar>
            <w:shd w:fill="F8F9FA"/>
          </w:tcPr>
          <w:p>
            <w:pPr>
              <w:pStyle w:val="TableText"/>
            </w:pPr>
            <w:r>
              <w:rPr>
                <w:sz w:val="14"/>
              </w:rPr>
              <w:t>Driven by SLO and source behavior</w:t>
            </w:r>
          </w:p>
        </w:tc>
      </w:tr>
      <w:tr>
        <w:trPr>
          <w:cantSplit/>
        </w:trPr>
        <w:tc>
          <w:tcPr>
            <w:tcW w:type="dxa" w:w="2880"/>
            <w:vAlign w:val="top"/>
            <w:tcMar>
              <w:top w:w="60" w:type="dxa"/>
              <w:start w:w="70" w:type="dxa"/>
              <w:bottom w:w="60" w:type="dxa"/>
              <w:end w:w="70" w:type="dxa"/>
            </w:tcMar>
          </w:tcPr>
          <w:p>
            <w:pPr>
              <w:pStyle w:val="TableText"/>
            </w:pPr>
            <w:r>
              <w:rPr>
                <w:sz w:val="14"/>
              </w:rPr>
              <w:t>Overlap</w:t>
            </w:r>
          </w:p>
        </w:tc>
        <w:tc>
          <w:tcPr>
            <w:tcW w:type="dxa" w:w="7344"/>
            <w:vAlign w:val="top"/>
            <w:tcMar>
              <w:top w:w="60" w:type="dxa"/>
              <w:start w:w="70" w:type="dxa"/>
              <w:bottom w:w="60" w:type="dxa"/>
              <w:end w:w="70" w:type="dxa"/>
            </w:tcMar>
          </w:tcPr>
          <w:p>
            <w:pPr>
              <w:pStyle w:val="TableText"/>
            </w:pPr>
            <w:r>
              <w:rPr>
                <w:sz w:val="14"/>
              </w:rPr>
              <w:t>At least maximum observed source delay plus margin</w:t>
            </w:r>
          </w:p>
        </w:tc>
      </w:tr>
      <w:tr>
        <w:trPr>
          <w:cantSplit/>
        </w:trPr>
        <w:tc>
          <w:tcPr>
            <w:tcW w:type="dxa" w:w="2880"/>
            <w:vAlign w:val="top"/>
            <w:tcMar>
              <w:top w:w="60" w:type="dxa"/>
              <w:start w:w="70" w:type="dxa"/>
              <w:bottom w:w="60" w:type="dxa"/>
              <w:end w:w="70" w:type="dxa"/>
            </w:tcMar>
            <w:shd w:fill="F8F9FA"/>
          </w:tcPr>
          <w:p>
            <w:pPr>
              <w:pStyle w:val="TableText"/>
            </w:pPr>
            <w:r>
              <w:rPr>
                <w:sz w:val="14"/>
              </w:rPr>
              <w:t>State</w:t>
            </w:r>
          </w:p>
        </w:tc>
        <w:tc>
          <w:tcPr>
            <w:tcW w:type="dxa" w:w="7344"/>
            <w:vAlign w:val="top"/>
            <w:tcMar>
              <w:top w:w="60" w:type="dxa"/>
              <w:start w:w="70" w:type="dxa"/>
              <w:bottom w:w="60" w:type="dxa"/>
              <w:end w:w="70" w:type="dxa"/>
            </w:tcMar>
            <w:shd w:fill="F8F9FA"/>
          </w:tcPr>
          <w:p>
            <w:pPr>
              <w:pStyle w:val="TableText"/>
            </w:pPr>
            <w:r>
              <w:rPr>
                <w:sz w:val="14"/>
              </w:rPr>
              <w:t>Control table with last committed watermark</w:t>
            </w:r>
          </w:p>
        </w:tc>
      </w:tr>
      <w:tr>
        <w:trPr>
          <w:cantSplit/>
        </w:trPr>
        <w:tc>
          <w:tcPr>
            <w:tcW w:type="dxa" w:w="2880"/>
            <w:vAlign w:val="top"/>
            <w:tcMar>
              <w:top w:w="60" w:type="dxa"/>
              <w:start w:w="70" w:type="dxa"/>
              <w:bottom w:w="60" w:type="dxa"/>
              <w:end w:w="70" w:type="dxa"/>
            </w:tcMar>
          </w:tcPr>
          <w:p>
            <w:pPr>
              <w:pStyle w:val="TableText"/>
            </w:pPr>
            <w:r>
              <w:rPr>
                <w:sz w:val="14"/>
              </w:rPr>
              <w:t>Write</w:t>
            </w:r>
          </w:p>
        </w:tc>
        <w:tc>
          <w:tcPr>
            <w:tcW w:type="dxa" w:w="7344"/>
            <w:vAlign w:val="top"/>
            <w:tcMar>
              <w:top w:w="60" w:type="dxa"/>
              <w:start w:w="70" w:type="dxa"/>
              <w:bottom w:w="60" w:type="dxa"/>
              <w:end w:w="70" w:type="dxa"/>
            </w:tcMar>
          </w:tcPr>
          <w:p>
            <w:pPr>
              <w:pStyle w:val="TableText"/>
            </w:pPr>
            <w:r>
              <w:rPr>
                <w:sz w:val="14"/>
              </w:rPr>
              <w:t>Partition MERGE/replace</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Rerun scoped intervals using immutable source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9. Streaming Processing</w:t>
      </w:r>
    </w:p>
    <w:p>
      <w:r>
        <w:t>Streaming pipelines consume continuous events through Pub/Sub, validate contract versions, assign event timestamps, apply watermarks/windows/state, deduplicate where required and write through Beam BigQueryIO or the Storage Write API. The design distinguishes processing semantics from source and sink semantics; exactly-once claims apply only to the full end-to-end path when verified.</w:t>
      </w:r>
    </w:p>
    <w:p>
      <w:pPr>
        <w:pStyle w:val="Heading2"/>
      </w:pPr>
      <w:r>
        <w:t>Mandatory design controls</w:t>
      </w:r>
    </w:p>
    <w:p>
      <w:pPr>
        <w:pStyle w:val="ListBullet"/>
        <w:spacing w:after="30"/>
      </w:pPr>
      <w:r>
        <w:t>Every event has immutable event_id, event_time, producer, schema_version and trace context.</w:t>
      </w:r>
    </w:p>
    <w:p>
      <w:pPr>
        <w:pStyle w:val="ListBullet"/>
        <w:spacing w:after="30"/>
      </w:pPr>
      <w:r>
        <w:t>Use at-least-once when duplicates are harmless or cheaply removed; use exactly-once processing only where business value justifies it.</w:t>
      </w:r>
    </w:p>
    <w:p>
      <w:pPr>
        <w:pStyle w:val="ListBullet"/>
        <w:spacing w:after="30"/>
      </w:pPr>
      <w:r>
        <w:t>Bound state with TTL and monitor watermark delay/backlog.</w:t>
      </w:r>
    </w:p>
    <w:p>
      <w:pPr>
        <w:pStyle w:val="ListBullet"/>
        <w:spacing w:after="30"/>
      </w:pPr>
      <w:r>
        <w:t>Separate poison records from transient failures.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Concern</w:t>
            </w:r>
          </w:p>
        </w:tc>
        <w:tc>
          <w:tcPr>
            <w:tcW w:type="dxa" w:w="7344"/>
            <w:vAlign w:val="top"/>
            <w:tcMar>
              <w:top w:w="60" w:type="dxa"/>
              <w:start w:w="70" w:type="dxa"/>
              <w:bottom w:w="60" w:type="dxa"/>
              <w:end w:w="70" w:type="dxa"/>
            </w:tcMar>
          </w:tcPr>
          <w:p>
            <w:pPr>
              <w:pStyle w:val="TableText"/>
            </w:pPr>
            <w:r>
              <w:rPr>
                <w:sz w:val="14"/>
              </w:rPr>
              <w:t>Decision</w:t>
            </w:r>
          </w:p>
        </w:tc>
      </w:tr>
      <w:tr>
        <w:trPr>
          <w:cantSplit/>
        </w:trPr>
        <w:tc>
          <w:tcPr>
            <w:tcW w:type="dxa" w:w="2880"/>
            <w:vAlign w:val="top"/>
            <w:tcMar>
              <w:top w:w="60" w:type="dxa"/>
              <w:start w:w="70" w:type="dxa"/>
              <w:bottom w:w="60" w:type="dxa"/>
              <w:end w:w="70" w:type="dxa"/>
            </w:tcMar>
            <w:shd w:fill="F8F9FA"/>
          </w:tcPr>
          <w:p>
            <w:pPr>
              <w:pStyle w:val="TableText"/>
            </w:pPr>
            <w:r>
              <w:rPr>
                <w:sz w:val="14"/>
              </w:rPr>
              <w:t>Semantics</w:t>
            </w:r>
          </w:p>
        </w:tc>
        <w:tc>
          <w:tcPr>
            <w:tcW w:type="dxa" w:w="7344"/>
            <w:vAlign w:val="top"/>
            <w:tcMar>
              <w:top w:w="60" w:type="dxa"/>
              <w:start w:w="70" w:type="dxa"/>
              <w:bottom w:w="60" w:type="dxa"/>
              <w:end w:w="70" w:type="dxa"/>
            </w:tcMar>
            <w:shd w:fill="F8F9FA"/>
          </w:tcPr>
          <w:p>
            <w:pPr>
              <w:pStyle w:val="TableText"/>
            </w:pPr>
            <w:r>
              <w:rPr>
                <w:sz w:val="14"/>
              </w:rPr>
              <w:t>At-least-once or exactly-once selected explicitly</w:t>
            </w:r>
          </w:p>
        </w:tc>
      </w:tr>
      <w:tr>
        <w:trPr>
          <w:cantSplit/>
        </w:trPr>
        <w:tc>
          <w:tcPr>
            <w:tcW w:type="dxa" w:w="2880"/>
            <w:vAlign w:val="top"/>
            <w:tcMar>
              <w:top w:w="60" w:type="dxa"/>
              <w:start w:w="70" w:type="dxa"/>
              <w:bottom w:w="60" w:type="dxa"/>
              <w:end w:w="70" w:type="dxa"/>
            </w:tcMar>
          </w:tcPr>
          <w:p>
            <w:pPr>
              <w:pStyle w:val="TableText"/>
            </w:pPr>
            <w:r>
              <w:rPr>
                <w:sz w:val="14"/>
              </w:rPr>
              <w:t>Ordering</w:t>
            </w:r>
          </w:p>
        </w:tc>
        <w:tc>
          <w:tcPr>
            <w:tcW w:type="dxa" w:w="7344"/>
            <w:vAlign w:val="top"/>
            <w:tcMar>
              <w:top w:w="60" w:type="dxa"/>
              <w:start w:w="70" w:type="dxa"/>
              <w:bottom w:w="60" w:type="dxa"/>
              <w:end w:w="70" w:type="dxa"/>
            </w:tcMar>
          </w:tcPr>
          <w:p>
            <w:pPr>
              <w:pStyle w:val="TableText"/>
            </w:pPr>
            <w:r>
              <w:rPr>
                <w:sz w:val="14"/>
              </w:rPr>
              <w:t>Ordering key only where business requirement exists</w:t>
            </w:r>
          </w:p>
        </w:tc>
      </w:tr>
      <w:tr>
        <w:trPr>
          <w:cantSplit/>
        </w:trPr>
        <w:tc>
          <w:tcPr>
            <w:tcW w:type="dxa" w:w="2880"/>
            <w:vAlign w:val="top"/>
            <w:tcMar>
              <w:top w:w="60" w:type="dxa"/>
              <w:start w:w="70" w:type="dxa"/>
              <w:bottom w:w="60" w:type="dxa"/>
              <w:end w:w="70" w:type="dxa"/>
            </w:tcMar>
            <w:shd w:fill="F8F9FA"/>
          </w:tcPr>
          <w:p>
            <w:pPr>
              <w:pStyle w:val="TableText"/>
            </w:pPr>
            <w:r>
              <w:rPr>
                <w:sz w:val="14"/>
              </w:rPr>
              <w:t>Backpressure</w:t>
            </w:r>
          </w:p>
        </w:tc>
        <w:tc>
          <w:tcPr>
            <w:tcW w:type="dxa" w:w="7344"/>
            <w:vAlign w:val="top"/>
            <w:tcMar>
              <w:top w:w="60" w:type="dxa"/>
              <w:start w:w="70" w:type="dxa"/>
              <w:bottom w:w="60" w:type="dxa"/>
              <w:end w:w="70" w:type="dxa"/>
            </w:tcMar>
            <w:shd w:fill="F8F9FA"/>
          </w:tcPr>
          <w:p>
            <w:pPr>
              <w:pStyle w:val="TableText"/>
            </w:pPr>
            <w:r>
              <w:rPr>
                <w:sz w:val="14"/>
              </w:rPr>
              <w:t>Autoscaling plus backlog/oldest-age alerts</w:t>
            </w:r>
          </w:p>
        </w:tc>
      </w:tr>
      <w:tr>
        <w:trPr>
          <w:cantSplit/>
        </w:trPr>
        <w:tc>
          <w:tcPr>
            <w:tcW w:type="dxa" w:w="2880"/>
            <w:vAlign w:val="top"/>
            <w:tcMar>
              <w:top w:w="60" w:type="dxa"/>
              <w:start w:w="70" w:type="dxa"/>
              <w:bottom w:w="60" w:type="dxa"/>
              <w:end w:w="70" w:type="dxa"/>
            </w:tcMar>
          </w:tcPr>
          <w:p>
            <w:pPr>
              <w:pStyle w:val="TableText"/>
            </w:pPr>
            <w:r>
              <w:rPr>
                <w:sz w:val="14"/>
              </w:rPr>
              <w:t>Sink</w:t>
            </w:r>
          </w:p>
        </w:tc>
        <w:tc>
          <w:tcPr>
            <w:tcW w:type="dxa" w:w="7344"/>
            <w:vAlign w:val="top"/>
            <w:tcMar>
              <w:top w:w="60" w:type="dxa"/>
              <w:start w:w="70" w:type="dxa"/>
              <w:bottom w:w="60" w:type="dxa"/>
              <w:end w:w="70" w:type="dxa"/>
            </w:tcMar>
          </w:tcPr>
          <w:p>
            <w:pPr>
              <w:pStyle w:val="TableText"/>
            </w:pPr>
            <w:r>
              <w:rPr>
                <w:sz w:val="14"/>
              </w:rPr>
              <w:t>Idempotent append/merge or offsets for committed streams</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Pub/Sub retention/snapshot or upstream event log</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10. Event-Time Processing, Windowing and Watermarks</w:t>
      </w:r>
    </w:p>
    <w:p>
      <w:r>
        <w:t>Event time is the business time when an event occurred. Processing time is when the platform observed it. Event-time windows prevent delayed network delivery from corrupting time-based measures. Watermarks estimate event-time completeness; allowed lateness controls how long state remains open for corrections.</w:t>
      </w:r>
    </w:p>
    <w:p>
      <w:pPr>
        <w:pStyle w:val="Heading2"/>
      </w:pPr>
      <w:r>
        <w:t>Mandatory design controls</w:t>
      </w:r>
    </w:p>
    <w:p>
      <w:pPr>
        <w:pStyle w:val="ListBullet"/>
        <w:spacing w:after="30"/>
      </w:pPr>
      <w:r>
        <w:t>Specify timestamp field, timezone, clock quality and fallback behavior in the contract.</w:t>
      </w:r>
    </w:p>
    <w:p>
      <w:pPr>
        <w:pStyle w:val="ListBullet"/>
        <w:spacing w:after="30"/>
      </w:pPr>
      <w:r>
        <w:t>Choose fixed, sliding, session or global windows from business semantics.</w:t>
      </w:r>
    </w:p>
    <w:p>
      <w:pPr>
        <w:pStyle w:val="ListBullet"/>
        <w:spacing w:after="30"/>
      </w:pPr>
      <w:r>
        <w:t>Late data is corrected, quarantined or published as an adjustment; it is never silently ignored for regulated measures.</w:t>
      </w:r>
    </w:p>
    <w:p>
      <w:pPr>
        <w:pStyle w:val="ListBullet"/>
        <w:spacing w:after="30"/>
      </w:pPr>
      <w:r>
        <w:t>Measure watermark delay as a freshness SLI.</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Window</w:t>
            </w:r>
          </w:p>
        </w:tc>
        <w:tc>
          <w:tcPr>
            <w:tcW w:type="dxa" w:w="7344"/>
            <w:vAlign w:val="top"/>
            <w:tcMar>
              <w:top w:w="60" w:type="dxa"/>
              <w:start w:w="70" w:type="dxa"/>
              <w:bottom w:w="60" w:type="dxa"/>
              <w:end w:w="70" w:type="dxa"/>
            </w:tcMar>
          </w:tcPr>
          <w:p>
            <w:pPr>
              <w:pStyle w:val="TableText"/>
            </w:pPr>
            <w:r>
              <w:rPr>
                <w:sz w:val="14"/>
              </w:rPr>
              <w:t>Typical use</w:t>
            </w:r>
          </w:p>
        </w:tc>
      </w:tr>
      <w:tr>
        <w:trPr>
          <w:cantSplit/>
        </w:trPr>
        <w:tc>
          <w:tcPr>
            <w:tcW w:type="dxa" w:w="2880"/>
            <w:vAlign w:val="top"/>
            <w:tcMar>
              <w:top w:w="60" w:type="dxa"/>
              <w:start w:w="70" w:type="dxa"/>
              <w:bottom w:w="60" w:type="dxa"/>
              <w:end w:w="70" w:type="dxa"/>
            </w:tcMar>
            <w:shd w:fill="F8F9FA"/>
          </w:tcPr>
          <w:p>
            <w:pPr>
              <w:pStyle w:val="TableText"/>
            </w:pPr>
            <w:r>
              <w:rPr>
                <w:sz w:val="14"/>
              </w:rPr>
              <w:t>Fixed</w:t>
            </w:r>
          </w:p>
        </w:tc>
        <w:tc>
          <w:tcPr>
            <w:tcW w:type="dxa" w:w="7344"/>
            <w:vAlign w:val="top"/>
            <w:tcMar>
              <w:top w:w="60" w:type="dxa"/>
              <w:start w:w="70" w:type="dxa"/>
              <w:bottom w:w="60" w:type="dxa"/>
              <w:end w:w="70" w:type="dxa"/>
            </w:tcMar>
            <w:shd w:fill="F8F9FA"/>
          </w:tcPr>
          <w:p>
            <w:pPr>
              <w:pStyle w:val="TableText"/>
            </w:pPr>
            <w:r>
              <w:rPr>
                <w:sz w:val="14"/>
              </w:rPr>
              <w:t>Five-minute operational metrics and tumbling aggregates</w:t>
            </w:r>
          </w:p>
        </w:tc>
      </w:tr>
      <w:tr>
        <w:trPr>
          <w:cantSplit/>
        </w:trPr>
        <w:tc>
          <w:tcPr>
            <w:tcW w:type="dxa" w:w="2880"/>
            <w:vAlign w:val="top"/>
            <w:tcMar>
              <w:top w:w="60" w:type="dxa"/>
              <w:start w:w="70" w:type="dxa"/>
              <w:bottom w:w="60" w:type="dxa"/>
              <w:end w:w="70" w:type="dxa"/>
            </w:tcMar>
          </w:tcPr>
          <w:p>
            <w:pPr>
              <w:pStyle w:val="TableText"/>
            </w:pPr>
            <w:r>
              <w:rPr>
                <w:sz w:val="14"/>
              </w:rPr>
              <w:t>Sliding</w:t>
            </w:r>
          </w:p>
        </w:tc>
        <w:tc>
          <w:tcPr>
            <w:tcW w:type="dxa" w:w="7344"/>
            <w:vAlign w:val="top"/>
            <w:tcMar>
              <w:top w:w="60" w:type="dxa"/>
              <w:start w:w="70" w:type="dxa"/>
              <w:bottom w:w="60" w:type="dxa"/>
              <w:end w:w="70" w:type="dxa"/>
            </w:tcMar>
          </w:tcPr>
          <w:p>
            <w:pPr>
              <w:pStyle w:val="TableText"/>
            </w:pPr>
            <w:r>
              <w:rPr>
                <w:sz w:val="14"/>
              </w:rPr>
              <w:t>Rolling fraud/risk or activity measures</w:t>
            </w:r>
          </w:p>
        </w:tc>
      </w:tr>
      <w:tr>
        <w:trPr>
          <w:cantSplit/>
        </w:trPr>
        <w:tc>
          <w:tcPr>
            <w:tcW w:type="dxa" w:w="2880"/>
            <w:vAlign w:val="top"/>
            <w:tcMar>
              <w:top w:w="60" w:type="dxa"/>
              <w:start w:w="70" w:type="dxa"/>
              <w:bottom w:w="60" w:type="dxa"/>
              <w:end w:w="70" w:type="dxa"/>
            </w:tcMar>
            <w:shd w:fill="F8F9FA"/>
          </w:tcPr>
          <w:p>
            <w:pPr>
              <w:pStyle w:val="TableText"/>
            </w:pPr>
            <w:r>
              <w:rPr>
                <w:sz w:val="14"/>
              </w:rPr>
              <w:t>Session</w:t>
            </w:r>
          </w:p>
        </w:tc>
        <w:tc>
          <w:tcPr>
            <w:tcW w:type="dxa" w:w="7344"/>
            <w:vAlign w:val="top"/>
            <w:tcMar>
              <w:top w:w="60" w:type="dxa"/>
              <w:start w:w="70" w:type="dxa"/>
              <w:bottom w:w="60" w:type="dxa"/>
              <w:end w:w="70" w:type="dxa"/>
            </w:tcMar>
            <w:shd w:fill="F8F9FA"/>
          </w:tcPr>
          <w:p>
            <w:pPr>
              <w:pStyle w:val="TableText"/>
            </w:pPr>
            <w:r>
              <w:rPr>
                <w:sz w:val="14"/>
              </w:rPr>
              <w:t>User/device activity separated by inactivity gap</w:t>
            </w:r>
          </w:p>
        </w:tc>
      </w:tr>
      <w:tr>
        <w:trPr>
          <w:cantSplit/>
        </w:trPr>
        <w:tc>
          <w:tcPr>
            <w:tcW w:type="dxa" w:w="2880"/>
            <w:vAlign w:val="top"/>
            <w:tcMar>
              <w:top w:w="60" w:type="dxa"/>
              <w:start w:w="70" w:type="dxa"/>
              <w:bottom w:w="60" w:type="dxa"/>
              <w:end w:w="70" w:type="dxa"/>
            </w:tcMar>
          </w:tcPr>
          <w:p>
            <w:pPr>
              <w:pStyle w:val="TableText"/>
            </w:pPr>
            <w:r>
              <w:rPr>
                <w:sz w:val="14"/>
              </w:rPr>
              <w:t>Global</w:t>
            </w:r>
          </w:p>
        </w:tc>
        <w:tc>
          <w:tcPr>
            <w:tcW w:type="dxa" w:w="7344"/>
            <w:vAlign w:val="top"/>
            <w:tcMar>
              <w:top w:w="60" w:type="dxa"/>
              <w:start w:w="70" w:type="dxa"/>
              <w:bottom w:w="60" w:type="dxa"/>
              <w:end w:w="70" w:type="dxa"/>
            </w:tcMar>
          </w:tcPr>
          <w:p>
            <w:pPr>
              <w:pStyle w:val="TableText"/>
            </w:pPr>
            <w:r>
              <w:rPr>
                <w:sz w:val="14"/>
              </w:rPr>
              <w:t>Keyed state with explicit triggers; use cautiously</w:t>
            </w:r>
          </w:p>
        </w:tc>
      </w:tr>
      <w:tr>
        <w:trPr>
          <w:cantSplit/>
        </w:trPr>
        <w:tc>
          <w:tcPr>
            <w:tcW w:type="dxa" w:w="2880"/>
            <w:vAlign w:val="top"/>
            <w:tcMar>
              <w:top w:w="60" w:type="dxa"/>
              <w:start w:w="70" w:type="dxa"/>
              <w:bottom w:w="60" w:type="dxa"/>
              <w:end w:w="70" w:type="dxa"/>
            </w:tcMar>
            <w:shd w:fill="F8F9FA"/>
          </w:tcPr>
          <w:p>
            <w:pPr>
              <w:pStyle w:val="TableText"/>
            </w:pPr>
            <w:r>
              <w:rPr>
                <w:sz w:val="14"/>
              </w:rPr>
              <w:t>Late correction</w:t>
            </w:r>
          </w:p>
        </w:tc>
        <w:tc>
          <w:tcPr>
            <w:tcW w:type="dxa" w:w="7344"/>
            <w:vAlign w:val="top"/>
            <w:tcMar>
              <w:top w:w="60" w:type="dxa"/>
              <w:start w:w="70" w:type="dxa"/>
              <w:bottom w:w="60" w:type="dxa"/>
              <w:end w:w="70" w:type="dxa"/>
            </w:tcMar>
            <w:shd w:fill="F8F9FA"/>
          </w:tcPr>
          <w:p>
            <w:pPr>
              <w:pStyle w:val="TableText"/>
            </w:pPr>
            <w:r>
              <w:rPr>
                <w:sz w:val="14"/>
              </w:rPr>
              <w:t>Upsert/adjustment product with lineage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11. Stateful Processing and Checkpointing</w:t>
      </w:r>
    </w:p>
    <w:p>
      <w:r>
        <w:t>Stateful processing tracks per-key context such as deduplication, sessions, joins or anomaly thresholds. State must be bounded, partitionable and recoverable. Dataflow-managed state and checkpointing are preferred over external mutable stores unless cross-pipeline sharing or specialized access requires one.</w:t>
      </w:r>
    </w:p>
    <w:p>
      <w:pPr>
        <w:pStyle w:val="Heading2"/>
      </w:pPr>
      <w:r>
        <w:t>Mandatory design controls</w:t>
      </w:r>
    </w:p>
    <w:p>
      <w:pPr>
        <w:pStyle w:val="ListBullet"/>
        <w:spacing w:after="30"/>
      </w:pPr>
      <w:r>
        <w:t>Define state key, TTL, growth model and deletion behavior.</w:t>
      </w:r>
    </w:p>
    <w:p>
      <w:pPr>
        <w:pStyle w:val="ListBullet"/>
        <w:spacing w:after="30"/>
      </w:pPr>
      <w:r>
        <w:t>Avoid hot keys through key design or fan-out.</w:t>
      </w:r>
    </w:p>
    <w:p>
      <w:pPr>
        <w:pStyle w:val="ListBullet"/>
        <w:spacing w:after="30"/>
      </w:pPr>
      <w:r>
        <w:t>Test worker restart, drain, update and regional recovery.</w:t>
      </w:r>
    </w:p>
    <w:p>
      <w:pPr>
        <w:pStyle w:val="ListBullet"/>
        <w:spacing w:after="30"/>
      </w:pPr>
      <w:r>
        <w:t>Do not use unbounded global state.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Control</w:t>
            </w:r>
          </w:p>
        </w:tc>
        <w:tc>
          <w:tcPr>
            <w:tcW w:type="dxa" w:w="7344"/>
            <w:vAlign w:val="top"/>
            <w:tcMar>
              <w:top w:w="60" w:type="dxa"/>
              <w:start w:w="70" w:type="dxa"/>
              <w:bottom w:w="60" w:type="dxa"/>
              <w:end w:w="70" w:type="dxa"/>
            </w:tcMar>
          </w:tcPr>
          <w:p>
            <w:pPr>
              <w:pStyle w:val="TableText"/>
            </w:pPr>
            <w:r>
              <w:rPr>
                <w:sz w:val="14"/>
              </w:rPr>
              <w:t>Implementation</w:t>
            </w:r>
          </w:p>
        </w:tc>
      </w:tr>
      <w:tr>
        <w:trPr>
          <w:cantSplit/>
        </w:trPr>
        <w:tc>
          <w:tcPr>
            <w:tcW w:type="dxa" w:w="2880"/>
            <w:vAlign w:val="top"/>
            <w:tcMar>
              <w:top w:w="60" w:type="dxa"/>
              <w:start w:w="70" w:type="dxa"/>
              <w:bottom w:w="60" w:type="dxa"/>
              <w:end w:w="70" w:type="dxa"/>
            </w:tcMar>
            <w:shd w:fill="F8F9FA"/>
          </w:tcPr>
          <w:p>
            <w:pPr>
              <w:pStyle w:val="TableText"/>
            </w:pPr>
            <w:r>
              <w:rPr>
                <w:sz w:val="14"/>
              </w:rPr>
              <w:t>State key</w:t>
            </w:r>
          </w:p>
        </w:tc>
        <w:tc>
          <w:tcPr>
            <w:tcW w:type="dxa" w:w="7344"/>
            <w:vAlign w:val="top"/>
            <w:tcMar>
              <w:top w:w="60" w:type="dxa"/>
              <w:start w:w="70" w:type="dxa"/>
              <w:bottom w:w="60" w:type="dxa"/>
              <w:end w:w="70" w:type="dxa"/>
            </w:tcMar>
            <w:shd w:fill="F8F9FA"/>
          </w:tcPr>
          <w:p>
            <w:pPr>
              <w:pStyle w:val="TableText"/>
            </w:pPr>
            <w:r>
              <w:rPr>
                <w:sz w:val="14"/>
              </w:rPr>
              <w:t>Stable, evenly distributed business key</w:t>
            </w:r>
          </w:p>
        </w:tc>
      </w:tr>
      <w:tr>
        <w:trPr>
          <w:cantSplit/>
        </w:trPr>
        <w:tc>
          <w:tcPr>
            <w:tcW w:type="dxa" w:w="2880"/>
            <w:vAlign w:val="top"/>
            <w:tcMar>
              <w:top w:w="60" w:type="dxa"/>
              <w:start w:w="70" w:type="dxa"/>
              <w:bottom w:w="60" w:type="dxa"/>
              <w:end w:w="70" w:type="dxa"/>
            </w:tcMar>
          </w:tcPr>
          <w:p>
            <w:pPr>
              <w:pStyle w:val="TableText"/>
            </w:pPr>
            <w:r>
              <w:rPr>
                <w:sz w:val="14"/>
              </w:rPr>
              <w:t>TTL</w:t>
            </w:r>
          </w:p>
        </w:tc>
        <w:tc>
          <w:tcPr>
            <w:tcW w:type="dxa" w:w="7344"/>
            <w:vAlign w:val="top"/>
            <w:tcMar>
              <w:top w:w="60" w:type="dxa"/>
              <w:start w:w="70" w:type="dxa"/>
              <w:bottom w:w="60" w:type="dxa"/>
              <w:end w:w="70" w:type="dxa"/>
            </w:tcMar>
          </w:tcPr>
          <w:p>
            <w:pPr>
              <w:pStyle w:val="TableText"/>
            </w:pPr>
            <w:r>
              <w:rPr>
                <w:sz w:val="14"/>
              </w:rPr>
              <w:t>Business lateness/replay window plus margin</w:t>
            </w:r>
          </w:p>
        </w:tc>
      </w:tr>
      <w:tr>
        <w:trPr>
          <w:cantSplit/>
        </w:trPr>
        <w:tc>
          <w:tcPr>
            <w:tcW w:type="dxa" w:w="2880"/>
            <w:vAlign w:val="top"/>
            <w:tcMar>
              <w:top w:w="60" w:type="dxa"/>
              <w:start w:w="70" w:type="dxa"/>
              <w:bottom w:w="60" w:type="dxa"/>
              <w:end w:w="70" w:type="dxa"/>
            </w:tcMar>
            <w:shd w:fill="F8F9FA"/>
          </w:tcPr>
          <w:p>
            <w:pPr>
              <w:pStyle w:val="TableText"/>
            </w:pPr>
            <w:r>
              <w:rPr>
                <w:sz w:val="14"/>
              </w:rPr>
              <w:t>Checkpoint</w:t>
            </w:r>
          </w:p>
        </w:tc>
        <w:tc>
          <w:tcPr>
            <w:tcW w:type="dxa" w:w="7344"/>
            <w:vAlign w:val="top"/>
            <w:tcMar>
              <w:top w:w="60" w:type="dxa"/>
              <w:start w:w="70" w:type="dxa"/>
              <w:bottom w:w="60" w:type="dxa"/>
              <w:end w:w="70" w:type="dxa"/>
            </w:tcMar>
            <w:shd w:fill="F8F9FA"/>
          </w:tcPr>
          <w:p>
            <w:pPr>
              <w:pStyle w:val="TableText"/>
            </w:pPr>
            <w:r>
              <w:rPr>
                <w:sz w:val="14"/>
              </w:rPr>
              <w:t>Managed by execution engine; validate recovery</w:t>
            </w:r>
          </w:p>
        </w:tc>
      </w:tr>
      <w:tr>
        <w:trPr>
          <w:cantSplit/>
        </w:trPr>
        <w:tc>
          <w:tcPr>
            <w:tcW w:type="dxa" w:w="2880"/>
            <w:vAlign w:val="top"/>
            <w:tcMar>
              <w:top w:w="60" w:type="dxa"/>
              <w:start w:w="70" w:type="dxa"/>
              <w:bottom w:w="60" w:type="dxa"/>
              <w:end w:w="70" w:type="dxa"/>
            </w:tcMar>
          </w:tcPr>
          <w:p>
            <w:pPr>
              <w:pStyle w:val="TableText"/>
            </w:pPr>
            <w:r>
              <w:rPr>
                <w:sz w:val="14"/>
              </w:rPr>
              <w:t>Snapshot/update</w:t>
            </w:r>
          </w:p>
        </w:tc>
        <w:tc>
          <w:tcPr>
            <w:tcW w:type="dxa" w:w="7344"/>
            <w:vAlign w:val="top"/>
            <w:tcMar>
              <w:top w:w="60" w:type="dxa"/>
              <w:start w:w="70" w:type="dxa"/>
              <w:bottom w:w="60" w:type="dxa"/>
              <w:end w:w="70" w:type="dxa"/>
            </w:tcMar>
          </w:tcPr>
          <w:p>
            <w:pPr>
              <w:pStyle w:val="TableText"/>
            </w:pPr>
            <w:r>
              <w:rPr>
                <w:sz w:val="14"/>
              </w:rPr>
              <w:t>Use supported Dataflow update/snapshot patterns</w:t>
            </w:r>
          </w:p>
        </w:tc>
      </w:tr>
      <w:tr>
        <w:trPr>
          <w:cantSplit/>
        </w:trPr>
        <w:tc>
          <w:tcPr>
            <w:tcW w:type="dxa" w:w="2880"/>
            <w:vAlign w:val="top"/>
            <w:tcMar>
              <w:top w:w="60" w:type="dxa"/>
              <w:start w:w="70" w:type="dxa"/>
              <w:bottom w:w="60" w:type="dxa"/>
              <w:end w:w="70" w:type="dxa"/>
            </w:tcMar>
            <w:shd w:fill="F8F9FA"/>
          </w:tcPr>
          <w:p>
            <w:pPr>
              <w:pStyle w:val="TableText"/>
            </w:pPr>
            <w:r>
              <w:rPr>
                <w:sz w:val="14"/>
              </w:rPr>
              <w:t>External state</w:t>
            </w:r>
          </w:p>
        </w:tc>
        <w:tc>
          <w:tcPr>
            <w:tcW w:type="dxa" w:w="7344"/>
            <w:vAlign w:val="top"/>
            <w:tcMar>
              <w:top w:w="60" w:type="dxa"/>
              <w:start w:w="70" w:type="dxa"/>
              <w:bottom w:w="60" w:type="dxa"/>
              <w:end w:w="70" w:type="dxa"/>
            </w:tcMar>
            <w:shd w:fill="F8F9FA"/>
          </w:tcPr>
          <w:p>
            <w:pPr>
              <w:pStyle w:val="TableText"/>
            </w:pPr>
            <w:r>
              <w:rPr>
                <w:sz w:val="14"/>
              </w:rPr>
              <w:t>Requires separate consistency, security and DR design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12. Deduplication and Idempotency</w:t>
      </w:r>
    </w:p>
    <w:p>
      <w:r>
        <w:t>Deduplication removes repeated representations of the same event; idempotency ensures repeated processing has the same business effect. Both require stable keys and explicit retention. Infrastructure-level delivery guarantees do not protect external side effects, multi-sink transactions or producer duplicates.</w:t>
      </w:r>
    </w:p>
    <w:p>
      <w:pPr>
        <w:pStyle w:val="Heading2"/>
      </w:pPr>
      <w:r>
        <w:t>Mandatory design controls</w:t>
      </w:r>
    </w:p>
    <w:p>
      <w:pPr>
        <w:pStyle w:val="ListBullet"/>
        <w:spacing w:after="30"/>
      </w:pPr>
      <w:r>
        <w:t>Prefer producer-assigned immutable event IDs.</w:t>
      </w:r>
    </w:p>
    <w:p>
      <w:pPr>
        <w:pStyle w:val="ListBullet"/>
        <w:spacing w:after="30"/>
      </w:pPr>
      <w:r>
        <w:t>Persist sink idempotency key before acknowledging external side effects.</w:t>
      </w:r>
    </w:p>
    <w:p>
      <w:pPr>
        <w:pStyle w:val="ListBullet"/>
        <w:spacing w:after="30"/>
      </w:pPr>
      <w:r>
        <w:t>Define deduplication horizon from replay and business correction windows.</w:t>
      </w:r>
    </w:p>
    <w:p>
      <w:pPr>
        <w:pStyle w:val="ListBullet"/>
        <w:spacing w:after="30"/>
      </w:pPr>
      <w:r>
        <w:t>Reconciliation remains mandatory for high-value products.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Pattern</w:t>
            </w:r>
          </w:p>
        </w:tc>
        <w:tc>
          <w:tcPr>
            <w:tcW w:type="dxa" w:w="7344"/>
            <w:vAlign w:val="top"/>
            <w:tcMar>
              <w:top w:w="60" w:type="dxa"/>
              <w:start w:w="70" w:type="dxa"/>
              <w:bottom w:w="60" w:type="dxa"/>
              <w:end w:w="70" w:type="dxa"/>
            </w:tcMar>
          </w:tcPr>
          <w:p>
            <w:pPr>
              <w:pStyle w:val="TableText"/>
            </w:pPr>
            <w:r>
              <w:rPr>
                <w:sz w:val="14"/>
              </w:rPr>
              <w:t>Use</w:t>
            </w:r>
          </w:p>
        </w:tc>
      </w:tr>
      <w:tr>
        <w:trPr>
          <w:cantSplit/>
        </w:trPr>
        <w:tc>
          <w:tcPr>
            <w:tcW w:type="dxa" w:w="2880"/>
            <w:vAlign w:val="top"/>
            <w:tcMar>
              <w:top w:w="60" w:type="dxa"/>
              <w:start w:w="70" w:type="dxa"/>
              <w:bottom w:w="60" w:type="dxa"/>
              <w:end w:w="70" w:type="dxa"/>
            </w:tcMar>
            <w:shd w:fill="F8F9FA"/>
          </w:tcPr>
          <w:p>
            <w:pPr>
              <w:pStyle w:val="TableText"/>
            </w:pPr>
            <w:r>
              <w:rPr>
                <w:sz w:val="14"/>
              </w:rPr>
              <w:t>Beam state dedup</w:t>
            </w:r>
          </w:p>
        </w:tc>
        <w:tc>
          <w:tcPr>
            <w:tcW w:type="dxa" w:w="7344"/>
            <w:vAlign w:val="top"/>
            <w:tcMar>
              <w:top w:w="60" w:type="dxa"/>
              <w:start w:w="70" w:type="dxa"/>
              <w:bottom w:w="60" w:type="dxa"/>
              <w:end w:w="70" w:type="dxa"/>
            </w:tcMar>
            <w:shd w:fill="F8F9FA"/>
          </w:tcPr>
          <w:p>
            <w:pPr>
              <w:pStyle w:val="TableText"/>
            </w:pPr>
            <w:r>
              <w:rPr>
                <w:sz w:val="14"/>
              </w:rPr>
              <w:t>Bounded event horizon in streaming pipeline</w:t>
            </w:r>
          </w:p>
        </w:tc>
      </w:tr>
      <w:tr>
        <w:trPr>
          <w:cantSplit/>
        </w:trPr>
        <w:tc>
          <w:tcPr>
            <w:tcW w:type="dxa" w:w="2880"/>
            <w:vAlign w:val="top"/>
            <w:tcMar>
              <w:top w:w="60" w:type="dxa"/>
              <w:start w:w="70" w:type="dxa"/>
              <w:bottom w:w="60" w:type="dxa"/>
              <w:end w:w="70" w:type="dxa"/>
            </w:tcMar>
          </w:tcPr>
          <w:p>
            <w:pPr>
              <w:pStyle w:val="TableText"/>
            </w:pPr>
            <w:r>
              <w:rPr>
                <w:sz w:val="14"/>
              </w:rPr>
              <w:t>BigQuery MERGE</w:t>
            </w:r>
          </w:p>
        </w:tc>
        <w:tc>
          <w:tcPr>
            <w:tcW w:type="dxa" w:w="7344"/>
            <w:vAlign w:val="top"/>
            <w:tcMar>
              <w:top w:w="60" w:type="dxa"/>
              <w:start w:w="70" w:type="dxa"/>
              <w:bottom w:w="60" w:type="dxa"/>
              <w:end w:w="70" w:type="dxa"/>
            </w:tcMar>
          </w:tcPr>
          <w:p>
            <w:pPr>
              <w:pStyle w:val="TableText"/>
            </w:pPr>
            <w:r>
              <w:rPr>
                <w:sz w:val="14"/>
              </w:rPr>
              <w:t>Batch/micro-batch business-key upsert</w:t>
            </w:r>
          </w:p>
        </w:tc>
      </w:tr>
      <w:tr>
        <w:trPr>
          <w:cantSplit/>
        </w:trPr>
        <w:tc>
          <w:tcPr>
            <w:tcW w:type="dxa" w:w="2880"/>
            <w:vAlign w:val="top"/>
            <w:tcMar>
              <w:top w:w="60" w:type="dxa"/>
              <w:start w:w="70" w:type="dxa"/>
              <w:bottom w:w="60" w:type="dxa"/>
              <w:end w:w="70" w:type="dxa"/>
            </w:tcMar>
            <w:shd w:fill="F8F9FA"/>
          </w:tcPr>
          <w:p>
            <w:pPr>
              <w:pStyle w:val="TableText"/>
            </w:pPr>
            <w:r>
              <w:rPr>
                <w:sz w:val="14"/>
              </w:rPr>
              <w:t>Storage Write offsets</w:t>
            </w:r>
          </w:p>
        </w:tc>
        <w:tc>
          <w:tcPr>
            <w:tcW w:type="dxa" w:w="7344"/>
            <w:vAlign w:val="top"/>
            <w:tcMar>
              <w:top w:w="60" w:type="dxa"/>
              <w:start w:w="70" w:type="dxa"/>
              <w:bottom w:w="60" w:type="dxa"/>
              <w:end w:w="70" w:type="dxa"/>
            </w:tcMar>
            <w:shd w:fill="F8F9FA"/>
          </w:tcPr>
          <w:p>
            <w:pPr>
              <w:pStyle w:val="TableText"/>
            </w:pPr>
            <w:r>
              <w:rPr>
                <w:sz w:val="14"/>
              </w:rPr>
              <w:t>Committed streams needing exactly-once write</w:t>
            </w:r>
          </w:p>
        </w:tc>
      </w:tr>
      <w:tr>
        <w:trPr>
          <w:cantSplit/>
        </w:trPr>
        <w:tc>
          <w:tcPr>
            <w:tcW w:type="dxa" w:w="2880"/>
            <w:vAlign w:val="top"/>
            <w:tcMar>
              <w:top w:w="60" w:type="dxa"/>
              <w:start w:w="70" w:type="dxa"/>
              <w:bottom w:w="60" w:type="dxa"/>
              <w:end w:w="70" w:type="dxa"/>
            </w:tcMar>
          </w:tcPr>
          <w:p>
            <w:pPr>
              <w:pStyle w:val="TableText"/>
            </w:pPr>
            <w:r>
              <w:rPr>
                <w:sz w:val="14"/>
              </w:rPr>
              <w:t>Outbox/inbox</w:t>
            </w:r>
          </w:p>
        </w:tc>
        <w:tc>
          <w:tcPr>
            <w:tcW w:type="dxa" w:w="7344"/>
            <w:vAlign w:val="top"/>
            <w:tcMar>
              <w:top w:w="60" w:type="dxa"/>
              <w:start w:w="70" w:type="dxa"/>
              <w:bottom w:w="60" w:type="dxa"/>
              <w:end w:w="70" w:type="dxa"/>
            </w:tcMar>
          </w:tcPr>
          <w:p>
            <w:pPr>
              <w:pStyle w:val="TableText"/>
            </w:pPr>
            <w:r>
              <w:rPr>
                <w:sz w:val="14"/>
              </w:rPr>
              <w:t>Operational side effects and distributed integration</w:t>
            </w:r>
          </w:p>
        </w:tc>
      </w:tr>
      <w:tr>
        <w:trPr>
          <w:cantSplit/>
        </w:trPr>
        <w:tc>
          <w:tcPr>
            <w:tcW w:type="dxa" w:w="2880"/>
            <w:vAlign w:val="top"/>
            <w:tcMar>
              <w:top w:w="60" w:type="dxa"/>
              <w:start w:w="70" w:type="dxa"/>
              <w:bottom w:w="60" w:type="dxa"/>
              <w:end w:w="70" w:type="dxa"/>
            </w:tcMar>
            <w:shd w:fill="F8F9FA"/>
          </w:tcPr>
          <w:p>
            <w:pPr>
              <w:pStyle w:val="TableText"/>
            </w:pPr>
            <w:r>
              <w:rPr>
                <w:sz w:val="14"/>
              </w:rPr>
              <w:t>Partition replacement</w:t>
            </w:r>
          </w:p>
        </w:tc>
        <w:tc>
          <w:tcPr>
            <w:tcW w:type="dxa" w:w="7344"/>
            <w:vAlign w:val="top"/>
            <w:tcMar>
              <w:top w:w="60" w:type="dxa"/>
              <w:start w:w="70" w:type="dxa"/>
              <w:bottom w:w="60" w:type="dxa"/>
              <w:end w:w="70" w:type="dxa"/>
            </w:tcMar>
            <w:shd w:fill="F8F9FA"/>
          </w:tcPr>
          <w:p>
            <w:pPr>
              <w:pStyle w:val="TableText"/>
            </w:pPr>
            <w:r>
              <w:rPr>
                <w:sz w:val="14"/>
              </w:rPr>
              <w:t>Deterministic bounded rebuild</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13. Late-Arriving Data</w:t>
      </w:r>
    </w:p>
    <w:p>
      <w:r>
        <w:t>Late data is expected in global, mobile, IoT and partner ecosystems. Each product defines allowed lateness, correction semantics, consumer notification and whether regulatory reports are restated. The platform records both event time and processing/publication time so consumers can understand revisions.</w:t>
      </w:r>
    </w:p>
    <w:p>
      <w:pPr>
        <w:pStyle w:val="Heading2"/>
      </w:pPr>
      <w:r>
        <w:t>Mandatory design controls</w:t>
      </w:r>
    </w:p>
    <w:p>
      <w:pPr>
        <w:pStyle w:val="ListBullet"/>
        <w:spacing w:after="30"/>
      </w:pPr>
      <w:r>
        <w:t>Create a separate late-data metric and reason distribution.</w:t>
      </w:r>
    </w:p>
    <w:p>
      <w:pPr>
        <w:pStyle w:val="ListBullet"/>
        <w:spacing w:after="30"/>
      </w:pPr>
      <w:r>
        <w:t>Do not mutate closed regulated periods without approval and audit evidence.</w:t>
      </w:r>
    </w:p>
    <w:p>
      <w:pPr>
        <w:pStyle w:val="ListBullet"/>
        <w:spacing w:after="30"/>
      </w:pPr>
      <w:r>
        <w:t>Provide correction events or versioned partitions for downstream products.</w:t>
      </w:r>
    </w:p>
    <w:p>
      <w:pPr>
        <w:pStyle w:val="ListBullet"/>
        <w:spacing w:after="30"/>
      </w:pPr>
      <w:r>
        <w:t>Test extreme lateness and clock-skew scenarios.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Class</w:t>
            </w:r>
          </w:p>
        </w:tc>
        <w:tc>
          <w:tcPr>
            <w:tcW w:type="dxa" w:w="7344"/>
            <w:vAlign w:val="top"/>
            <w:tcMar>
              <w:top w:w="60" w:type="dxa"/>
              <w:start w:w="70" w:type="dxa"/>
              <w:bottom w:w="60" w:type="dxa"/>
              <w:end w:w="70" w:type="dxa"/>
            </w:tcMar>
          </w:tcPr>
          <w:p>
            <w:pPr>
              <w:pStyle w:val="TableText"/>
            </w:pPr>
            <w:r>
              <w:rPr>
                <w:sz w:val="14"/>
              </w:rPr>
              <w:t>Action</w:t>
            </w:r>
          </w:p>
        </w:tc>
      </w:tr>
      <w:tr>
        <w:trPr>
          <w:cantSplit/>
        </w:trPr>
        <w:tc>
          <w:tcPr>
            <w:tcW w:type="dxa" w:w="2880"/>
            <w:vAlign w:val="top"/>
            <w:tcMar>
              <w:top w:w="60" w:type="dxa"/>
              <w:start w:w="70" w:type="dxa"/>
              <w:bottom w:w="60" w:type="dxa"/>
              <w:end w:w="70" w:type="dxa"/>
            </w:tcMar>
            <w:shd w:fill="F8F9FA"/>
          </w:tcPr>
          <w:p>
            <w:pPr>
              <w:pStyle w:val="TableText"/>
            </w:pPr>
            <w:r>
              <w:rPr>
                <w:sz w:val="14"/>
              </w:rPr>
              <w:t>Within allowed lateness</w:t>
            </w:r>
          </w:p>
        </w:tc>
        <w:tc>
          <w:tcPr>
            <w:tcW w:type="dxa" w:w="7344"/>
            <w:vAlign w:val="top"/>
            <w:tcMar>
              <w:top w:w="60" w:type="dxa"/>
              <w:start w:w="70" w:type="dxa"/>
              <w:bottom w:w="60" w:type="dxa"/>
              <w:end w:w="70" w:type="dxa"/>
            </w:tcMar>
            <w:shd w:fill="F8F9FA"/>
          </w:tcPr>
          <w:p>
            <w:pPr>
              <w:pStyle w:val="TableText"/>
            </w:pPr>
            <w:r>
              <w:rPr>
                <w:sz w:val="14"/>
              </w:rPr>
              <w:t>Update active window/result</w:t>
            </w:r>
          </w:p>
        </w:tc>
      </w:tr>
      <w:tr>
        <w:trPr>
          <w:cantSplit/>
        </w:trPr>
        <w:tc>
          <w:tcPr>
            <w:tcW w:type="dxa" w:w="2880"/>
            <w:vAlign w:val="top"/>
            <w:tcMar>
              <w:top w:w="60" w:type="dxa"/>
              <w:start w:w="70" w:type="dxa"/>
              <w:bottom w:w="60" w:type="dxa"/>
              <w:end w:w="70" w:type="dxa"/>
            </w:tcMar>
          </w:tcPr>
          <w:p>
            <w:pPr>
              <w:pStyle w:val="TableText"/>
            </w:pPr>
            <w:r>
              <w:rPr>
                <w:sz w:val="14"/>
              </w:rPr>
              <w:t>After window but before close</w:t>
            </w:r>
          </w:p>
        </w:tc>
        <w:tc>
          <w:tcPr>
            <w:tcW w:type="dxa" w:w="7344"/>
            <w:vAlign w:val="top"/>
            <w:tcMar>
              <w:top w:w="60" w:type="dxa"/>
              <w:start w:w="70" w:type="dxa"/>
              <w:bottom w:w="60" w:type="dxa"/>
              <w:end w:w="70" w:type="dxa"/>
            </w:tcMar>
          </w:tcPr>
          <w:p>
            <w:pPr>
              <w:pStyle w:val="TableText"/>
            </w:pPr>
            <w:r>
              <w:rPr>
                <w:sz w:val="14"/>
              </w:rPr>
              <w:t>Publish correction/upsert</w:t>
            </w:r>
          </w:p>
        </w:tc>
      </w:tr>
      <w:tr>
        <w:trPr>
          <w:cantSplit/>
        </w:trPr>
        <w:tc>
          <w:tcPr>
            <w:tcW w:type="dxa" w:w="2880"/>
            <w:vAlign w:val="top"/>
            <w:tcMar>
              <w:top w:w="60" w:type="dxa"/>
              <w:start w:w="70" w:type="dxa"/>
              <w:bottom w:w="60" w:type="dxa"/>
              <w:end w:w="70" w:type="dxa"/>
            </w:tcMar>
            <w:shd w:fill="F8F9FA"/>
          </w:tcPr>
          <w:p>
            <w:pPr>
              <w:pStyle w:val="TableText"/>
            </w:pPr>
            <w:r>
              <w:rPr>
                <w:sz w:val="14"/>
              </w:rPr>
              <w:t>After financial/regulatory close</w:t>
            </w:r>
          </w:p>
        </w:tc>
        <w:tc>
          <w:tcPr>
            <w:tcW w:type="dxa" w:w="7344"/>
            <w:vAlign w:val="top"/>
            <w:tcMar>
              <w:top w:w="60" w:type="dxa"/>
              <w:start w:w="70" w:type="dxa"/>
              <w:bottom w:w="60" w:type="dxa"/>
              <w:end w:w="70" w:type="dxa"/>
            </w:tcMar>
            <w:shd w:fill="F8F9FA"/>
          </w:tcPr>
          <w:p>
            <w:pPr>
              <w:pStyle w:val="TableText"/>
            </w:pPr>
            <w:r>
              <w:rPr>
                <w:sz w:val="14"/>
              </w:rPr>
              <w:t>Exception workflow and restatement approval</w:t>
            </w:r>
          </w:p>
        </w:tc>
      </w:tr>
      <w:tr>
        <w:trPr>
          <w:cantSplit/>
        </w:trPr>
        <w:tc>
          <w:tcPr>
            <w:tcW w:type="dxa" w:w="2880"/>
            <w:vAlign w:val="top"/>
            <w:tcMar>
              <w:top w:w="60" w:type="dxa"/>
              <w:start w:w="70" w:type="dxa"/>
              <w:bottom w:w="60" w:type="dxa"/>
              <w:end w:w="70" w:type="dxa"/>
            </w:tcMar>
          </w:tcPr>
          <w:p>
            <w:pPr>
              <w:pStyle w:val="TableText"/>
            </w:pPr>
            <w:r>
              <w:rPr>
                <w:sz w:val="14"/>
              </w:rPr>
              <w:t>Invalid timestamp</w:t>
            </w:r>
          </w:p>
        </w:tc>
        <w:tc>
          <w:tcPr>
            <w:tcW w:type="dxa" w:w="7344"/>
            <w:vAlign w:val="top"/>
            <w:tcMar>
              <w:top w:w="60" w:type="dxa"/>
              <w:start w:w="70" w:type="dxa"/>
              <w:bottom w:w="60" w:type="dxa"/>
              <w:end w:w="70" w:type="dxa"/>
            </w:tcMar>
          </w:tcPr>
          <w:p>
            <w:pPr>
              <w:pStyle w:val="TableText"/>
            </w:pPr>
            <w:r>
              <w:rPr>
                <w:sz w:val="14"/>
              </w:rPr>
              <w:t>Quarantine with producer feedback</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14. Replay, Backfill and Reprocessing</w:t>
      </w:r>
    </w:p>
    <w:p>
      <w:r>
        <w:t>Replay reconsumes retained events; backfill processes historical data not previously loaded; reprocessing rebuilds data using corrected logic. All three use a unique replay ID, approved scope, immutable code/configuration, capacity plan, isolated staging and reconciliation before consumer publication.</w:t>
      </w:r>
    </w:p>
    <w:p>
      <w:pPr>
        <w:pStyle w:val="Heading2"/>
      </w:pPr>
      <w:r>
        <w:t>Mandatory design controls</w:t>
      </w:r>
    </w:p>
    <w:p>
      <w:pPr>
        <w:pStyle w:val="ListBullet"/>
        <w:spacing w:after="30"/>
      </w:pPr>
      <w:r>
        <w:t>Two-person approval for Tier 0/1 replay.</w:t>
      </w:r>
    </w:p>
    <w:p>
      <w:pPr>
        <w:pStyle w:val="ListBullet"/>
        <w:spacing w:after="30"/>
      </w:pPr>
      <w:r>
        <w:t>Throttle or reserve capacity to protect live workloads.</w:t>
      </w:r>
    </w:p>
    <w:p>
      <w:pPr>
        <w:pStyle w:val="ListBullet"/>
        <w:spacing w:after="30"/>
      </w:pPr>
      <w:r>
        <w:t>Prevent replay traffic from retriggering irreversible external actions.</w:t>
      </w:r>
    </w:p>
    <w:p>
      <w:pPr>
        <w:pStyle w:val="ListBullet"/>
        <w:spacing w:after="30"/>
      </w:pPr>
      <w:r>
        <w:t>Retain before/after evidence and lineage.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Step</w:t>
            </w:r>
          </w:p>
        </w:tc>
        <w:tc>
          <w:tcPr>
            <w:tcW w:type="dxa" w:w="7344"/>
            <w:vAlign w:val="top"/>
            <w:tcMar>
              <w:top w:w="60" w:type="dxa"/>
              <w:start w:w="70" w:type="dxa"/>
              <w:bottom w:w="60" w:type="dxa"/>
              <w:end w:w="70" w:type="dxa"/>
            </w:tcMar>
          </w:tcPr>
          <w:p>
            <w:pPr>
              <w:pStyle w:val="TableText"/>
            </w:pPr>
            <w:r>
              <w:rPr>
                <w:sz w:val="14"/>
              </w:rPr>
              <w:t>Evidence</w:t>
            </w:r>
          </w:p>
        </w:tc>
      </w:tr>
      <w:tr>
        <w:trPr>
          <w:cantSplit/>
        </w:trPr>
        <w:tc>
          <w:tcPr>
            <w:tcW w:type="dxa" w:w="2880"/>
            <w:vAlign w:val="top"/>
            <w:tcMar>
              <w:top w:w="60" w:type="dxa"/>
              <w:start w:w="70" w:type="dxa"/>
              <w:bottom w:w="60" w:type="dxa"/>
              <w:end w:w="70" w:type="dxa"/>
            </w:tcMar>
            <w:shd w:fill="F8F9FA"/>
          </w:tcPr>
          <w:p>
            <w:pPr>
              <w:pStyle w:val="TableText"/>
            </w:pPr>
            <w:r>
              <w:rPr>
                <w:sz w:val="14"/>
              </w:rPr>
              <w:t>Scope</w:t>
            </w:r>
          </w:p>
        </w:tc>
        <w:tc>
          <w:tcPr>
            <w:tcW w:type="dxa" w:w="7344"/>
            <w:vAlign w:val="top"/>
            <w:tcMar>
              <w:top w:w="60" w:type="dxa"/>
              <w:start w:w="70" w:type="dxa"/>
              <w:bottom w:w="60" w:type="dxa"/>
              <w:end w:w="70" w:type="dxa"/>
            </w:tcMar>
            <w:shd w:fill="F8F9FA"/>
          </w:tcPr>
          <w:p>
            <w:pPr>
              <w:pStyle w:val="TableText"/>
            </w:pPr>
            <w:r>
              <w:rPr>
                <w:sz w:val="14"/>
              </w:rPr>
              <w:t>Source range, partitions, keys and consumers</w:t>
            </w:r>
          </w:p>
        </w:tc>
      </w:tr>
      <w:tr>
        <w:trPr>
          <w:cantSplit/>
        </w:trPr>
        <w:tc>
          <w:tcPr>
            <w:tcW w:type="dxa" w:w="2880"/>
            <w:vAlign w:val="top"/>
            <w:tcMar>
              <w:top w:w="60" w:type="dxa"/>
              <w:start w:w="70" w:type="dxa"/>
              <w:bottom w:w="60" w:type="dxa"/>
              <w:end w:w="70" w:type="dxa"/>
            </w:tcMar>
          </w:tcPr>
          <w:p>
            <w:pPr>
              <w:pStyle w:val="TableText"/>
            </w:pPr>
            <w:r>
              <w:rPr>
                <w:sz w:val="14"/>
              </w:rPr>
              <w:t>Prepare</w:t>
            </w:r>
          </w:p>
        </w:tc>
        <w:tc>
          <w:tcPr>
            <w:tcW w:type="dxa" w:w="7344"/>
            <w:vAlign w:val="top"/>
            <w:tcMar>
              <w:top w:w="60" w:type="dxa"/>
              <w:start w:w="70" w:type="dxa"/>
              <w:bottom w:w="60" w:type="dxa"/>
              <w:end w:w="70" w:type="dxa"/>
            </w:tcMar>
          </w:tcPr>
          <w:p>
            <w:pPr>
              <w:pStyle w:val="TableText"/>
            </w:pPr>
            <w:r>
              <w:rPr>
                <w:sz w:val="14"/>
              </w:rPr>
              <w:t>Snapshot target and select artifact/config versions</w:t>
            </w:r>
          </w:p>
        </w:tc>
      </w:tr>
      <w:tr>
        <w:trPr>
          <w:cantSplit/>
        </w:trPr>
        <w:tc>
          <w:tcPr>
            <w:tcW w:type="dxa" w:w="2880"/>
            <w:vAlign w:val="top"/>
            <w:tcMar>
              <w:top w:w="60" w:type="dxa"/>
              <w:start w:w="70" w:type="dxa"/>
              <w:bottom w:w="60" w:type="dxa"/>
              <w:end w:w="70" w:type="dxa"/>
            </w:tcMar>
            <w:shd w:fill="F8F9FA"/>
          </w:tcPr>
          <w:p>
            <w:pPr>
              <w:pStyle w:val="TableText"/>
            </w:pPr>
            <w:r>
              <w:rPr>
                <w:sz w:val="14"/>
              </w:rPr>
              <w:t>Execute</w:t>
            </w:r>
          </w:p>
        </w:tc>
        <w:tc>
          <w:tcPr>
            <w:tcW w:type="dxa" w:w="7344"/>
            <w:vAlign w:val="top"/>
            <w:tcMar>
              <w:top w:w="60" w:type="dxa"/>
              <w:start w:w="70" w:type="dxa"/>
              <w:bottom w:w="60" w:type="dxa"/>
              <w:end w:w="70" w:type="dxa"/>
            </w:tcMar>
            <w:shd w:fill="F8F9FA"/>
          </w:tcPr>
          <w:p>
            <w:pPr>
              <w:pStyle w:val="TableText"/>
            </w:pPr>
            <w:r>
              <w:rPr>
                <w:sz w:val="14"/>
              </w:rPr>
              <w:t>Dedicated replay ID, labels and constrained capacity</w:t>
            </w:r>
          </w:p>
        </w:tc>
      </w:tr>
      <w:tr>
        <w:trPr>
          <w:cantSplit/>
        </w:trPr>
        <w:tc>
          <w:tcPr>
            <w:tcW w:type="dxa" w:w="2880"/>
            <w:vAlign w:val="top"/>
            <w:tcMar>
              <w:top w:w="60" w:type="dxa"/>
              <w:start w:w="70" w:type="dxa"/>
              <w:bottom w:w="60" w:type="dxa"/>
              <w:end w:w="70" w:type="dxa"/>
            </w:tcMar>
          </w:tcPr>
          <w:p>
            <w:pPr>
              <w:pStyle w:val="TableText"/>
            </w:pPr>
            <w:r>
              <w:rPr>
                <w:sz w:val="14"/>
              </w:rPr>
              <w:t>Validate</w:t>
            </w:r>
          </w:p>
        </w:tc>
        <w:tc>
          <w:tcPr>
            <w:tcW w:type="dxa" w:w="7344"/>
            <w:vAlign w:val="top"/>
            <w:tcMar>
              <w:top w:w="60" w:type="dxa"/>
              <w:start w:w="70" w:type="dxa"/>
              <w:bottom w:w="60" w:type="dxa"/>
              <w:end w:w="70" w:type="dxa"/>
            </w:tcMar>
          </w:tcPr>
          <w:p>
            <w:pPr>
              <w:pStyle w:val="TableText"/>
            </w:pPr>
            <w:r>
              <w:rPr>
                <w:sz w:val="14"/>
              </w:rPr>
              <w:t>Counts, sums, quality, duplicates and consumer checks</w:t>
            </w:r>
          </w:p>
        </w:tc>
      </w:tr>
      <w:tr>
        <w:trPr>
          <w:cantSplit/>
        </w:trPr>
        <w:tc>
          <w:tcPr>
            <w:tcW w:type="dxa" w:w="2880"/>
            <w:vAlign w:val="top"/>
            <w:tcMar>
              <w:top w:w="60" w:type="dxa"/>
              <w:start w:w="70" w:type="dxa"/>
              <w:bottom w:w="60" w:type="dxa"/>
              <w:end w:w="70" w:type="dxa"/>
            </w:tcMar>
            <w:shd w:fill="F8F9FA"/>
          </w:tcPr>
          <w:p>
            <w:pPr>
              <w:pStyle w:val="TableText"/>
            </w:pPr>
            <w:r>
              <w:rPr>
                <w:sz w:val="14"/>
              </w:rPr>
              <w:t>Publish/close</w:t>
            </w:r>
          </w:p>
        </w:tc>
        <w:tc>
          <w:tcPr>
            <w:tcW w:type="dxa" w:w="7344"/>
            <w:vAlign w:val="top"/>
            <w:tcMar>
              <w:top w:w="60" w:type="dxa"/>
              <w:start w:w="70" w:type="dxa"/>
              <w:bottom w:w="60" w:type="dxa"/>
              <w:end w:w="70" w:type="dxa"/>
            </w:tcMar>
            <w:shd w:fill="F8F9FA"/>
          </w:tcPr>
          <w:p>
            <w:pPr>
              <w:pStyle w:val="TableText"/>
            </w:pPr>
            <w:r>
              <w:rPr>
                <w:sz w:val="14"/>
              </w:rPr>
              <w:t>Atomic cutover, approval and retained report</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15. Data Reconciliation</w:t>
      </w:r>
    </w:p>
    <w:p>
      <w:r>
        <w:t>Reconciliation proves business completeness beyond technical job success. It compares source and target counts, control totals, key coverage, amounts, minimum/maximum timestamps and exception populations. Tolerances are approved by the data owner and steward, not chosen by the pipeline developer alone.</w:t>
      </w:r>
    </w:p>
    <w:p>
      <w:pPr>
        <w:pStyle w:val="Heading2"/>
      </w:pPr>
      <w:r>
        <w:t>Mandatory design controls</w:t>
      </w:r>
    </w:p>
    <w:p>
      <w:pPr>
        <w:pStyle w:val="ListBullet"/>
        <w:spacing w:after="30"/>
      </w:pPr>
      <w:r>
        <w:t>Tier 0/1 publication blocks on critical mismatches.</w:t>
      </w:r>
    </w:p>
    <w:p>
      <w:pPr>
        <w:pStyle w:val="ListBullet"/>
        <w:spacing w:after="30"/>
      </w:pPr>
      <w:r>
        <w:t>Reconciliation logic is versioned independently from transformation logic.</w:t>
      </w:r>
    </w:p>
    <w:p>
      <w:pPr>
        <w:pStyle w:val="ListBullet"/>
        <w:spacing w:after="30"/>
      </w:pPr>
      <w:r>
        <w:t>Store evidence in a restricted control dataset with retention.</w:t>
      </w:r>
    </w:p>
    <w:p>
      <w:pPr>
        <w:pStyle w:val="ListBullet"/>
        <w:spacing w:after="30"/>
      </w:pPr>
      <w:r>
        <w:t>Aggregate checks do not replace record-level sampling or key coverage.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Check</w:t>
            </w:r>
          </w:p>
        </w:tc>
        <w:tc>
          <w:tcPr>
            <w:tcW w:type="dxa" w:w="7344"/>
            <w:vAlign w:val="top"/>
            <w:tcMar>
              <w:top w:w="60" w:type="dxa"/>
              <w:start w:w="70" w:type="dxa"/>
              <w:bottom w:w="60" w:type="dxa"/>
              <w:end w:w="70" w:type="dxa"/>
            </w:tcMar>
          </w:tcPr>
          <w:p>
            <w:pPr>
              <w:pStyle w:val="TableText"/>
            </w:pPr>
            <w:r>
              <w:rPr>
                <w:sz w:val="14"/>
              </w:rPr>
              <w:t>Example</w:t>
            </w:r>
          </w:p>
        </w:tc>
      </w:tr>
      <w:tr>
        <w:trPr>
          <w:cantSplit/>
        </w:trPr>
        <w:tc>
          <w:tcPr>
            <w:tcW w:type="dxa" w:w="2880"/>
            <w:vAlign w:val="top"/>
            <w:tcMar>
              <w:top w:w="60" w:type="dxa"/>
              <w:start w:w="70" w:type="dxa"/>
              <w:bottom w:w="60" w:type="dxa"/>
              <w:end w:w="70" w:type="dxa"/>
            </w:tcMar>
            <w:shd w:fill="F8F9FA"/>
          </w:tcPr>
          <w:p>
            <w:pPr>
              <w:pStyle w:val="TableText"/>
            </w:pPr>
            <w:r>
              <w:rPr>
                <w:sz w:val="14"/>
              </w:rPr>
              <w:t>Volume</w:t>
            </w:r>
          </w:p>
        </w:tc>
        <w:tc>
          <w:tcPr>
            <w:tcW w:type="dxa" w:w="7344"/>
            <w:vAlign w:val="top"/>
            <w:tcMar>
              <w:top w:w="60" w:type="dxa"/>
              <w:start w:w="70" w:type="dxa"/>
              <w:bottom w:w="60" w:type="dxa"/>
              <w:end w:w="70" w:type="dxa"/>
            </w:tcMar>
            <w:shd w:fill="F8F9FA"/>
          </w:tcPr>
          <w:p>
            <w:pPr>
              <w:pStyle w:val="TableText"/>
            </w:pPr>
            <w:r>
              <w:rPr>
                <w:sz w:val="14"/>
              </w:rPr>
              <w:t>Source and target row/object/event counts</w:t>
            </w:r>
          </w:p>
        </w:tc>
      </w:tr>
      <w:tr>
        <w:trPr>
          <w:cantSplit/>
        </w:trPr>
        <w:tc>
          <w:tcPr>
            <w:tcW w:type="dxa" w:w="2880"/>
            <w:vAlign w:val="top"/>
            <w:tcMar>
              <w:top w:w="60" w:type="dxa"/>
              <w:start w:w="70" w:type="dxa"/>
              <w:bottom w:w="60" w:type="dxa"/>
              <w:end w:w="70" w:type="dxa"/>
            </w:tcMar>
          </w:tcPr>
          <w:p>
            <w:pPr>
              <w:pStyle w:val="TableText"/>
            </w:pPr>
            <w:r>
              <w:rPr>
                <w:sz w:val="14"/>
              </w:rPr>
              <w:t>Value</w:t>
            </w:r>
          </w:p>
        </w:tc>
        <w:tc>
          <w:tcPr>
            <w:tcW w:type="dxa" w:w="7344"/>
            <w:vAlign w:val="top"/>
            <w:tcMar>
              <w:top w:w="60" w:type="dxa"/>
              <w:start w:w="70" w:type="dxa"/>
              <w:bottom w:w="60" w:type="dxa"/>
              <w:end w:w="70" w:type="dxa"/>
            </w:tcMar>
          </w:tcPr>
          <w:p>
            <w:pPr>
              <w:pStyle w:val="TableText"/>
            </w:pPr>
            <w:r>
              <w:rPr>
                <w:sz w:val="14"/>
              </w:rPr>
              <w:t>Currency/quantity sums by business partition</w:t>
            </w:r>
          </w:p>
        </w:tc>
      </w:tr>
      <w:tr>
        <w:trPr>
          <w:cantSplit/>
        </w:trPr>
        <w:tc>
          <w:tcPr>
            <w:tcW w:type="dxa" w:w="2880"/>
            <w:vAlign w:val="top"/>
            <w:tcMar>
              <w:top w:w="60" w:type="dxa"/>
              <w:start w:w="70" w:type="dxa"/>
              <w:bottom w:w="60" w:type="dxa"/>
              <w:end w:w="70" w:type="dxa"/>
            </w:tcMar>
            <w:shd w:fill="F8F9FA"/>
          </w:tcPr>
          <w:p>
            <w:pPr>
              <w:pStyle w:val="TableText"/>
            </w:pPr>
            <w:r>
              <w:rPr>
                <w:sz w:val="14"/>
              </w:rPr>
              <w:t>Key</w:t>
            </w:r>
          </w:p>
        </w:tc>
        <w:tc>
          <w:tcPr>
            <w:tcW w:type="dxa" w:w="7344"/>
            <w:vAlign w:val="top"/>
            <w:tcMar>
              <w:top w:w="60" w:type="dxa"/>
              <w:start w:w="70" w:type="dxa"/>
              <w:bottom w:w="60" w:type="dxa"/>
              <w:end w:w="70" w:type="dxa"/>
            </w:tcMar>
            <w:shd w:fill="F8F9FA"/>
          </w:tcPr>
          <w:p>
            <w:pPr>
              <w:pStyle w:val="TableText"/>
            </w:pPr>
            <w:r>
              <w:rPr>
                <w:sz w:val="14"/>
              </w:rPr>
              <w:t>Missing, duplicate and orphan keys</w:t>
            </w:r>
          </w:p>
        </w:tc>
      </w:tr>
      <w:tr>
        <w:trPr>
          <w:cantSplit/>
        </w:trPr>
        <w:tc>
          <w:tcPr>
            <w:tcW w:type="dxa" w:w="2880"/>
            <w:vAlign w:val="top"/>
            <w:tcMar>
              <w:top w:w="60" w:type="dxa"/>
              <w:start w:w="70" w:type="dxa"/>
              <w:bottom w:w="60" w:type="dxa"/>
              <w:end w:w="70" w:type="dxa"/>
            </w:tcMar>
          </w:tcPr>
          <w:p>
            <w:pPr>
              <w:pStyle w:val="TableText"/>
            </w:pPr>
            <w:r>
              <w:rPr>
                <w:sz w:val="14"/>
              </w:rPr>
              <w:t>Time</w:t>
            </w:r>
          </w:p>
        </w:tc>
        <w:tc>
          <w:tcPr>
            <w:tcW w:type="dxa" w:w="7344"/>
            <w:vAlign w:val="top"/>
            <w:tcMar>
              <w:top w:w="60" w:type="dxa"/>
              <w:start w:w="70" w:type="dxa"/>
              <w:bottom w:w="60" w:type="dxa"/>
              <w:end w:w="70" w:type="dxa"/>
            </w:tcMar>
          </w:tcPr>
          <w:p>
            <w:pPr>
              <w:pStyle w:val="TableText"/>
            </w:pPr>
            <w:r>
              <w:rPr>
                <w:sz w:val="14"/>
              </w:rPr>
              <w:t>Source max change time versus target max applied time</w:t>
            </w:r>
          </w:p>
        </w:tc>
      </w:tr>
      <w:tr>
        <w:trPr>
          <w:cantSplit/>
        </w:trPr>
        <w:tc>
          <w:tcPr>
            <w:tcW w:type="dxa" w:w="2880"/>
            <w:vAlign w:val="top"/>
            <w:tcMar>
              <w:top w:w="60" w:type="dxa"/>
              <w:start w:w="70" w:type="dxa"/>
              <w:bottom w:w="60" w:type="dxa"/>
              <w:end w:w="70" w:type="dxa"/>
            </w:tcMar>
            <w:shd w:fill="F8F9FA"/>
          </w:tcPr>
          <w:p>
            <w:pPr>
              <w:pStyle w:val="TableText"/>
            </w:pPr>
            <w:r>
              <w:rPr>
                <w:sz w:val="14"/>
              </w:rPr>
              <w:t>Exception</w:t>
            </w:r>
          </w:p>
        </w:tc>
        <w:tc>
          <w:tcPr>
            <w:tcW w:type="dxa" w:w="7344"/>
            <w:vAlign w:val="top"/>
            <w:tcMar>
              <w:top w:w="60" w:type="dxa"/>
              <w:start w:w="70" w:type="dxa"/>
              <w:bottom w:w="60" w:type="dxa"/>
              <w:end w:w="70" w:type="dxa"/>
            </w:tcMar>
            <w:shd w:fill="F8F9FA"/>
          </w:tcPr>
          <w:p>
            <w:pPr>
              <w:pStyle w:val="TableText"/>
            </w:pPr>
            <w:r>
              <w:rPr>
                <w:sz w:val="14"/>
              </w:rPr>
              <w:t>Quarantine and unresolved correction totals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16. ETL and ELT Architecture</w:t>
      </w:r>
    </w:p>
    <w:p>
      <w:r>
        <w:t>ETL is preferred when data must be transformed or protected before loading, when complex non-SQL processing is required, or when the target cannot safely receive raw data. ELT is preferred when governed data is already in BigQuery and transformations benefit from warehouse scale, SQL review and Dataform dependencies. Most enterprise products use both.</w:t>
      </w:r>
    </w:p>
    <w:p>
      <w:pPr>
        <w:pStyle w:val="Heading2"/>
      </w:pPr>
      <w:r>
        <w:t>Mandatory design controls</w:t>
      </w:r>
    </w:p>
    <w:p>
      <w:pPr>
        <w:pStyle w:val="ListBullet"/>
        <w:spacing w:after="30"/>
      </w:pPr>
      <w:r>
        <w:t>Apply tokenization/redaction before broad analytical landing when classification requires it.</w:t>
      </w:r>
    </w:p>
    <w:p>
      <w:pPr>
        <w:pStyle w:val="ListBullet"/>
        <w:spacing w:after="30"/>
      </w:pPr>
      <w:r>
        <w:t>Use Dataform for SQL dependency graphs and assertions.</w:t>
      </w:r>
    </w:p>
    <w:p>
      <w:pPr>
        <w:pStyle w:val="ListBullet"/>
        <w:spacing w:after="30"/>
      </w:pPr>
      <w:r>
        <w:t>Avoid moving BigQuery-resident data to Spark solely for familiar tooling.</w:t>
      </w:r>
    </w:p>
    <w:p>
      <w:pPr>
        <w:pStyle w:val="ListBullet"/>
        <w:spacing w:after="30"/>
      </w:pPr>
      <w:r>
        <w:t>Avoid embedding complex business SQL in Airflow operators.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Need</w:t>
            </w:r>
          </w:p>
        </w:tc>
        <w:tc>
          <w:tcPr>
            <w:tcW w:type="dxa" w:w="7344"/>
            <w:vAlign w:val="top"/>
            <w:tcMar>
              <w:top w:w="60" w:type="dxa"/>
              <w:start w:w="70" w:type="dxa"/>
              <w:bottom w:w="60" w:type="dxa"/>
              <w:end w:w="70" w:type="dxa"/>
            </w:tcMar>
          </w:tcPr>
          <w:p>
            <w:pPr>
              <w:pStyle w:val="TableText"/>
            </w:pPr>
            <w:r>
              <w:rPr>
                <w:sz w:val="14"/>
              </w:rPr>
              <w:t>Default</w:t>
            </w:r>
          </w:p>
        </w:tc>
      </w:tr>
      <w:tr>
        <w:trPr>
          <w:cantSplit/>
        </w:trPr>
        <w:tc>
          <w:tcPr>
            <w:tcW w:type="dxa" w:w="2880"/>
            <w:vAlign w:val="top"/>
            <w:tcMar>
              <w:top w:w="60" w:type="dxa"/>
              <w:start w:w="70" w:type="dxa"/>
              <w:bottom w:w="60" w:type="dxa"/>
              <w:end w:w="70" w:type="dxa"/>
            </w:tcMar>
            <w:shd w:fill="F8F9FA"/>
          </w:tcPr>
          <w:p>
            <w:pPr>
              <w:pStyle w:val="TableText"/>
            </w:pPr>
            <w:r>
              <w:rPr>
                <w:sz w:val="14"/>
              </w:rPr>
              <w:t>Streaming enrichment</w:t>
            </w:r>
          </w:p>
        </w:tc>
        <w:tc>
          <w:tcPr>
            <w:tcW w:type="dxa" w:w="7344"/>
            <w:vAlign w:val="top"/>
            <w:tcMar>
              <w:top w:w="60" w:type="dxa"/>
              <w:start w:w="70" w:type="dxa"/>
              <w:bottom w:w="60" w:type="dxa"/>
              <w:end w:w="70" w:type="dxa"/>
            </w:tcMar>
            <w:shd w:fill="F8F9FA"/>
          </w:tcPr>
          <w:p>
            <w:pPr>
              <w:pStyle w:val="TableText"/>
            </w:pPr>
            <w:r>
              <w:rPr>
                <w:sz w:val="14"/>
              </w:rPr>
              <w:t>Dataflow ETL</w:t>
            </w:r>
          </w:p>
        </w:tc>
      </w:tr>
      <w:tr>
        <w:trPr>
          <w:cantSplit/>
        </w:trPr>
        <w:tc>
          <w:tcPr>
            <w:tcW w:type="dxa" w:w="2880"/>
            <w:vAlign w:val="top"/>
            <w:tcMar>
              <w:top w:w="60" w:type="dxa"/>
              <w:start w:w="70" w:type="dxa"/>
              <w:bottom w:w="60" w:type="dxa"/>
              <w:end w:w="70" w:type="dxa"/>
            </w:tcMar>
          </w:tcPr>
          <w:p>
            <w:pPr>
              <w:pStyle w:val="TableText"/>
            </w:pPr>
            <w:r>
              <w:rPr>
                <w:sz w:val="14"/>
              </w:rPr>
              <w:t>Complex file parsing</w:t>
            </w:r>
          </w:p>
        </w:tc>
        <w:tc>
          <w:tcPr>
            <w:tcW w:type="dxa" w:w="7344"/>
            <w:vAlign w:val="top"/>
            <w:tcMar>
              <w:top w:w="60" w:type="dxa"/>
              <w:start w:w="70" w:type="dxa"/>
              <w:bottom w:w="60" w:type="dxa"/>
              <w:end w:w="70" w:type="dxa"/>
            </w:tcMar>
          </w:tcPr>
          <w:p>
            <w:pPr>
              <w:pStyle w:val="TableText"/>
            </w:pPr>
            <w:r>
              <w:rPr>
                <w:sz w:val="14"/>
              </w:rPr>
              <w:t>Dataflow or Managed Spark ETL</w:t>
            </w:r>
          </w:p>
        </w:tc>
      </w:tr>
      <w:tr>
        <w:trPr>
          <w:cantSplit/>
        </w:trPr>
        <w:tc>
          <w:tcPr>
            <w:tcW w:type="dxa" w:w="2880"/>
            <w:vAlign w:val="top"/>
            <w:tcMar>
              <w:top w:w="60" w:type="dxa"/>
              <w:start w:w="70" w:type="dxa"/>
              <w:bottom w:w="60" w:type="dxa"/>
              <w:end w:w="70" w:type="dxa"/>
            </w:tcMar>
            <w:shd w:fill="F8F9FA"/>
          </w:tcPr>
          <w:p>
            <w:pPr>
              <w:pStyle w:val="TableText"/>
            </w:pPr>
            <w:r>
              <w:rPr>
                <w:sz w:val="14"/>
              </w:rPr>
              <w:t>BigQuery dimensional model</w:t>
            </w:r>
          </w:p>
        </w:tc>
        <w:tc>
          <w:tcPr>
            <w:tcW w:type="dxa" w:w="7344"/>
            <w:vAlign w:val="top"/>
            <w:tcMar>
              <w:top w:w="60" w:type="dxa"/>
              <w:start w:w="70" w:type="dxa"/>
              <w:bottom w:w="60" w:type="dxa"/>
              <w:end w:w="70" w:type="dxa"/>
            </w:tcMar>
            <w:shd w:fill="F8F9FA"/>
          </w:tcPr>
          <w:p>
            <w:pPr>
              <w:pStyle w:val="TableText"/>
            </w:pPr>
            <w:r>
              <w:rPr>
                <w:sz w:val="14"/>
              </w:rPr>
              <w:t>Dataform ELT</w:t>
            </w:r>
          </w:p>
        </w:tc>
      </w:tr>
      <w:tr>
        <w:trPr>
          <w:cantSplit/>
        </w:trPr>
        <w:tc>
          <w:tcPr>
            <w:tcW w:type="dxa" w:w="2880"/>
            <w:vAlign w:val="top"/>
            <w:tcMar>
              <w:top w:w="60" w:type="dxa"/>
              <w:start w:w="70" w:type="dxa"/>
              <w:bottom w:w="60" w:type="dxa"/>
              <w:end w:w="70" w:type="dxa"/>
            </w:tcMar>
          </w:tcPr>
          <w:p>
            <w:pPr>
              <w:pStyle w:val="TableText"/>
            </w:pPr>
            <w:r>
              <w:rPr>
                <w:sz w:val="14"/>
              </w:rPr>
              <w:t>Large joins already in BigQuery</w:t>
            </w:r>
          </w:p>
        </w:tc>
        <w:tc>
          <w:tcPr>
            <w:tcW w:type="dxa" w:w="7344"/>
            <w:vAlign w:val="top"/>
            <w:tcMar>
              <w:top w:w="60" w:type="dxa"/>
              <w:start w:w="70" w:type="dxa"/>
              <w:bottom w:w="60" w:type="dxa"/>
              <w:end w:w="70" w:type="dxa"/>
            </w:tcMar>
          </w:tcPr>
          <w:p>
            <w:pPr>
              <w:pStyle w:val="TableText"/>
            </w:pPr>
            <w:r>
              <w:rPr>
                <w:sz w:val="14"/>
              </w:rPr>
              <w:t>BigQuery SQL</w:t>
            </w:r>
          </w:p>
        </w:tc>
      </w:tr>
      <w:tr>
        <w:trPr>
          <w:cantSplit/>
        </w:trPr>
        <w:tc>
          <w:tcPr>
            <w:tcW w:type="dxa" w:w="2880"/>
            <w:vAlign w:val="top"/>
            <w:tcMar>
              <w:top w:w="60" w:type="dxa"/>
              <w:start w:w="70" w:type="dxa"/>
              <w:bottom w:w="60" w:type="dxa"/>
              <w:end w:w="70" w:type="dxa"/>
            </w:tcMar>
            <w:shd w:fill="F8F9FA"/>
          </w:tcPr>
          <w:p>
            <w:pPr>
              <w:pStyle w:val="TableText"/>
            </w:pPr>
            <w:r>
              <w:rPr>
                <w:sz w:val="14"/>
              </w:rPr>
              <w:t>Specialized Spark library</w:t>
            </w:r>
          </w:p>
        </w:tc>
        <w:tc>
          <w:tcPr>
            <w:tcW w:type="dxa" w:w="7344"/>
            <w:vAlign w:val="top"/>
            <w:tcMar>
              <w:top w:w="60" w:type="dxa"/>
              <w:start w:w="70" w:type="dxa"/>
              <w:bottom w:w="60" w:type="dxa"/>
              <w:end w:w="70" w:type="dxa"/>
            </w:tcMar>
            <w:shd w:fill="F8F9FA"/>
          </w:tcPr>
          <w:p>
            <w:pPr>
              <w:pStyle w:val="TableText"/>
            </w:pPr>
            <w:r>
              <w:rPr>
                <w:sz w:val="14"/>
              </w:rPr>
              <w:t>Managed Spark conditional</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17. Dataflow and Apache Beam</w:t>
      </w:r>
    </w:p>
    <w:p>
      <w:r>
        <w:t>Dataflow is the primary managed engine for new unified batch and streaming pipelines. Apache Beam provides portable transforms, event-time semantics, windowing, state and testing. Flex Templates package code and dependencies as immutable container images while allowing controlled runtime parameters.</w:t>
      </w:r>
    </w:p>
    <w:p>
      <w:pPr>
        <w:pStyle w:val="Heading2"/>
      </w:pPr>
      <w:r>
        <w:t>Mandatory design controls</w:t>
      </w:r>
    </w:p>
    <w:p>
      <w:pPr>
        <w:pStyle w:val="ListBullet"/>
        <w:spacing w:after="30"/>
      </w:pPr>
      <w:r>
        <w:t>Use separate worker and launcher identities where supported.</w:t>
      </w:r>
    </w:p>
    <w:p>
      <w:pPr>
        <w:pStyle w:val="ListBullet"/>
        <w:spacing w:after="30"/>
      </w:pPr>
      <w:r>
        <w:t>Use private IPs, approved subnets and restricted staging/temp buckets.</w:t>
      </w:r>
    </w:p>
    <w:p>
      <w:pPr>
        <w:pStyle w:val="ListBullet"/>
        <w:spacing w:after="30"/>
      </w:pPr>
      <w:r>
        <w:t>Design for autoscaling, hot-key avoidance and connector semantics.</w:t>
      </w:r>
    </w:p>
    <w:p>
      <w:pPr>
        <w:pStyle w:val="ListBullet"/>
        <w:spacing w:after="30"/>
      </w:pPr>
      <w:r>
        <w:t>Use drain/replacement for safe streaming updates and test snapshot compatibility where used.</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Artifact</w:t>
            </w:r>
          </w:p>
        </w:tc>
        <w:tc>
          <w:tcPr>
            <w:tcW w:type="dxa" w:w="7344"/>
            <w:vAlign w:val="top"/>
            <w:tcMar>
              <w:top w:w="60" w:type="dxa"/>
              <w:start w:w="70" w:type="dxa"/>
              <w:bottom w:w="60" w:type="dxa"/>
              <w:end w:w="70" w:type="dxa"/>
            </w:tcMar>
          </w:tcPr>
          <w:p>
            <w:pPr>
              <w:pStyle w:val="TableText"/>
            </w:pPr>
            <w:r>
              <w:rPr>
                <w:sz w:val="14"/>
              </w:rPr>
              <w:t>Required evidence</w:t>
            </w:r>
          </w:p>
        </w:tc>
      </w:tr>
      <w:tr>
        <w:trPr>
          <w:cantSplit/>
        </w:trPr>
        <w:tc>
          <w:tcPr>
            <w:tcW w:type="dxa" w:w="2880"/>
            <w:vAlign w:val="top"/>
            <w:tcMar>
              <w:top w:w="60" w:type="dxa"/>
              <w:start w:w="70" w:type="dxa"/>
              <w:bottom w:w="60" w:type="dxa"/>
              <w:end w:w="70" w:type="dxa"/>
            </w:tcMar>
            <w:shd w:fill="F8F9FA"/>
          </w:tcPr>
          <w:p>
            <w:pPr>
              <w:pStyle w:val="TableText"/>
            </w:pPr>
            <w:r>
              <w:rPr>
                <w:sz w:val="14"/>
              </w:rPr>
              <w:t>Beam library</w:t>
            </w:r>
          </w:p>
        </w:tc>
        <w:tc>
          <w:tcPr>
            <w:tcW w:type="dxa" w:w="7344"/>
            <w:vAlign w:val="top"/>
            <w:tcMar>
              <w:top w:w="60" w:type="dxa"/>
              <w:start w:w="70" w:type="dxa"/>
              <w:bottom w:w="60" w:type="dxa"/>
              <w:end w:w="70" w:type="dxa"/>
            </w:tcMar>
            <w:shd w:fill="F8F9FA"/>
          </w:tcPr>
          <w:p>
            <w:pPr>
              <w:pStyle w:val="TableText"/>
            </w:pPr>
            <w:r>
              <w:rPr>
                <w:sz w:val="14"/>
              </w:rPr>
              <w:t>Unit tests and versioned transform contracts</w:t>
            </w:r>
          </w:p>
        </w:tc>
      </w:tr>
      <w:tr>
        <w:trPr>
          <w:cantSplit/>
        </w:trPr>
        <w:tc>
          <w:tcPr>
            <w:tcW w:type="dxa" w:w="2880"/>
            <w:vAlign w:val="top"/>
            <w:tcMar>
              <w:top w:w="60" w:type="dxa"/>
              <w:start w:w="70" w:type="dxa"/>
              <w:bottom w:w="60" w:type="dxa"/>
              <w:end w:w="70" w:type="dxa"/>
            </w:tcMar>
          </w:tcPr>
          <w:p>
            <w:pPr>
              <w:pStyle w:val="TableText"/>
            </w:pPr>
            <w:r>
              <w:rPr>
                <w:sz w:val="14"/>
              </w:rPr>
              <w:t>Flex Template</w:t>
            </w:r>
          </w:p>
        </w:tc>
        <w:tc>
          <w:tcPr>
            <w:tcW w:type="dxa" w:w="7344"/>
            <w:vAlign w:val="top"/>
            <w:tcMar>
              <w:top w:w="60" w:type="dxa"/>
              <w:start w:w="70" w:type="dxa"/>
              <w:bottom w:w="60" w:type="dxa"/>
              <w:end w:w="70" w:type="dxa"/>
            </w:tcMar>
          </w:tcPr>
          <w:p>
            <w:pPr>
              <w:pStyle w:val="TableText"/>
            </w:pPr>
            <w:r>
              <w:rPr>
                <w:sz w:val="14"/>
              </w:rPr>
              <w:t>Image digest, metadata and parameter validation</w:t>
            </w:r>
          </w:p>
        </w:tc>
      </w:tr>
      <w:tr>
        <w:trPr>
          <w:cantSplit/>
        </w:trPr>
        <w:tc>
          <w:tcPr>
            <w:tcW w:type="dxa" w:w="2880"/>
            <w:vAlign w:val="top"/>
            <w:tcMar>
              <w:top w:w="60" w:type="dxa"/>
              <w:start w:w="70" w:type="dxa"/>
              <w:bottom w:w="60" w:type="dxa"/>
              <w:end w:w="70" w:type="dxa"/>
            </w:tcMar>
            <w:shd w:fill="F8F9FA"/>
          </w:tcPr>
          <w:p>
            <w:pPr>
              <w:pStyle w:val="TableText"/>
            </w:pPr>
            <w:r>
              <w:rPr>
                <w:sz w:val="14"/>
              </w:rPr>
              <w:t>Runtime</w:t>
            </w:r>
          </w:p>
        </w:tc>
        <w:tc>
          <w:tcPr>
            <w:tcW w:type="dxa" w:w="7344"/>
            <w:vAlign w:val="top"/>
            <w:tcMar>
              <w:top w:w="60" w:type="dxa"/>
              <w:start w:w="70" w:type="dxa"/>
              <w:bottom w:w="60" w:type="dxa"/>
              <w:end w:w="70" w:type="dxa"/>
            </w:tcMar>
            <w:shd w:fill="F8F9FA"/>
          </w:tcPr>
          <w:p>
            <w:pPr>
              <w:pStyle w:val="TableText"/>
            </w:pPr>
            <w:r>
              <w:rPr>
                <w:sz w:val="14"/>
              </w:rPr>
              <w:t>Region, network, service account, labels and options</w:t>
            </w:r>
          </w:p>
        </w:tc>
      </w:tr>
      <w:tr>
        <w:trPr>
          <w:cantSplit/>
        </w:trPr>
        <w:tc>
          <w:tcPr>
            <w:tcW w:type="dxa" w:w="2880"/>
            <w:vAlign w:val="top"/>
            <w:tcMar>
              <w:top w:w="60" w:type="dxa"/>
              <w:start w:w="70" w:type="dxa"/>
              <w:bottom w:w="60" w:type="dxa"/>
              <w:end w:w="70" w:type="dxa"/>
            </w:tcMar>
          </w:tcPr>
          <w:p>
            <w:pPr>
              <w:pStyle w:val="TableText"/>
            </w:pPr>
            <w:r>
              <w:rPr>
                <w:sz w:val="14"/>
              </w:rPr>
              <w:t>Operations</w:t>
            </w:r>
          </w:p>
        </w:tc>
        <w:tc>
          <w:tcPr>
            <w:tcW w:type="dxa" w:w="7344"/>
            <w:vAlign w:val="top"/>
            <w:tcMar>
              <w:top w:w="60" w:type="dxa"/>
              <w:start w:w="70" w:type="dxa"/>
              <w:bottom w:w="60" w:type="dxa"/>
              <w:end w:w="70" w:type="dxa"/>
            </w:tcMar>
          </w:tcPr>
          <w:p>
            <w:pPr>
              <w:pStyle w:val="TableText"/>
            </w:pPr>
            <w:r>
              <w:rPr>
                <w:sz w:val="14"/>
              </w:rPr>
              <w:t>Job health, backlog, watermark, errors and cost</w:t>
            </w:r>
          </w:p>
        </w:tc>
      </w:tr>
      <w:tr>
        <w:trPr>
          <w:cantSplit/>
        </w:trPr>
        <w:tc>
          <w:tcPr>
            <w:tcW w:type="dxa" w:w="2880"/>
            <w:vAlign w:val="top"/>
            <w:tcMar>
              <w:top w:w="60" w:type="dxa"/>
              <w:start w:w="70" w:type="dxa"/>
              <w:bottom w:w="60" w:type="dxa"/>
              <w:end w:w="70" w:type="dxa"/>
            </w:tcMar>
            <w:shd w:fill="F8F9FA"/>
          </w:tcPr>
          <w:p>
            <w:pPr>
              <w:pStyle w:val="TableText"/>
            </w:pPr>
            <w:r>
              <w:rPr>
                <w:sz w:val="14"/>
              </w:rPr>
              <w:t>Update</w:t>
            </w:r>
          </w:p>
        </w:tc>
        <w:tc>
          <w:tcPr>
            <w:tcW w:type="dxa" w:w="7344"/>
            <w:vAlign w:val="top"/>
            <w:tcMar>
              <w:top w:w="60" w:type="dxa"/>
              <w:start w:w="70" w:type="dxa"/>
              <w:bottom w:w="60" w:type="dxa"/>
              <w:end w:w="70" w:type="dxa"/>
            </w:tcMar>
            <w:shd w:fill="F8F9FA"/>
          </w:tcPr>
          <w:p>
            <w:pPr>
              <w:pStyle w:val="TableText"/>
            </w:pPr>
            <w:r>
              <w:rPr>
                <w:sz w:val="14"/>
              </w:rPr>
              <w:t>Compatibility test and rollback/drain plan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18. Managed Service for Apache Spark and PySpark</w:t>
      </w:r>
    </w:p>
    <w:p>
      <w:r>
        <w:t>Managed Service for Apache Spark provides serverless batch and managed cluster deployment models. Serverless batches are the default for episodic jobs, migrations and bounded workloads. Persistent clusters require evidence such as long-running shared workloads, specialized initialization, locality or dependency constraints.</w:t>
      </w:r>
    </w:p>
    <w:p>
      <w:pPr>
        <w:pStyle w:val="Heading2"/>
      </w:pPr>
      <w:r>
        <w:t>Mandatory design controls</w:t>
      </w:r>
    </w:p>
    <w:p>
      <w:pPr>
        <w:pStyle w:val="ListBullet"/>
        <w:spacing w:after="30"/>
      </w:pPr>
      <w:r>
        <w:t>Pin runtime and library versions.</w:t>
      </w:r>
    </w:p>
    <w:p>
      <w:pPr>
        <w:pStyle w:val="ListBullet"/>
        <w:spacing w:after="30"/>
      </w:pPr>
      <w:r>
        <w:t>Use private subnets and dedicated identities.</w:t>
      </w:r>
    </w:p>
    <w:p>
      <w:pPr>
        <w:pStyle w:val="ListBullet"/>
        <w:spacing w:after="30"/>
      </w:pPr>
      <w:r>
        <w:t>Refactor legacy Spark jobs rather than copying inefficient cluster assumptions.</w:t>
      </w:r>
    </w:p>
    <w:p>
      <w:pPr>
        <w:pStyle w:val="ListBullet"/>
        <w:spacing w:after="30"/>
      </w:pPr>
      <w:r>
        <w:t>Measure shuffle, skew, executor utilization and connector behavior with representative volume.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Deployment</w:t>
            </w:r>
          </w:p>
        </w:tc>
        <w:tc>
          <w:tcPr>
            <w:tcW w:type="dxa" w:w="7344"/>
            <w:vAlign w:val="top"/>
            <w:tcMar>
              <w:top w:w="60" w:type="dxa"/>
              <w:start w:w="70" w:type="dxa"/>
              <w:bottom w:w="60" w:type="dxa"/>
              <w:end w:w="70" w:type="dxa"/>
            </w:tcMar>
          </w:tcPr>
          <w:p>
            <w:pPr>
              <w:pStyle w:val="TableText"/>
            </w:pPr>
            <w:r>
              <w:rPr>
                <w:sz w:val="14"/>
              </w:rPr>
              <w:t>Selection</w:t>
            </w:r>
          </w:p>
        </w:tc>
      </w:tr>
      <w:tr>
        <w:trPr>
          <w:cantSplit/>
        </w:trPr>
        <w:tc>
          <w:tcPr>
            <w:tcW w:type="dxa" w:w="2880"/>
            <w:vAlign w:val="top"/>
            <w:tcMar>
              <w:top w:w="60" w:type="dxa"/>
              <w:start w:w="70" w:type="dxa"/>
              <w:bottom w:w="60" w:type="dxa"/>
              <w:end w:w="70" w:type="dxa"/>
            </w:tcMar>
            <w:shd w:fill="F8F9FA"/>
          </w:tcPr>
          <w:p>
            <w:pPr>
              <w:pStyle w:val="TableText"/>
            </w:pPr>
            <w:r>
              <w:rPr>
                <w:sz w:val="14"/>
              </w:rPr>
              <w:t>Serverless batch</w:t>
            </w:r>
          </w:p>
        </w:tc>
        <w:tc>
          <w:tcPr>
            <w:tcW w:type="dxa" w:w="7344"/>
            <w:vAlign w:val="top"/>
            <w:tcMar>
              <w:top w:w="60" w:type="dxa"/>
              <w:start w:w="70" w:type="dxa"/>
              <w:bottom w:w="60" w:type="dxa"/>
              <w:end w:w="70" w:type="dxa"/>
            </w:tcMar>
            <w:shd w:fill="F8F9FA"/>
          </w:tcPr>
          <w:p>
            <w:pPr>
              <w:pStyle w:val="TableText"/>
            </w:pPr>
            <w:r>
              <w:rPr>
                <w:sz w:val="14"/>
              </w:rPr>
              <w:t>Episodic, isolated, autoscaled execution</w:t>
            </w:r>
          </w:p>
        </w:tc>
      </w:tr>
      <w:tr>
        <w:trPr>
          <w:cantSplit/>
        </w:trPr>
        <w:tc>
          <w:tcPr>
            <w:tcW w:type="dxa" w:w="2880"/>
            <w:vAlign w:val="top"/>
            <w:tcMar>
              <w:top w:w="60" w:type="dxa"/>
              <w:start w:w="70" w:type="dxa"/>
              <w:bottom w:w="60" w:type="dxa"/>
              <w:end w:w="70" w:type="dxa"/>
            </w:tcMar>
          </w:tcPr>
          <w:p>
            <w:pPr>
              <w:pStyle w:val="TableText"/>
            </w:pPr>
            <w:r>
              <w:rPr>
                <w:sz w:val="14"/>
              </w:rPr>
              <w:t>Managed cluster</w:t>
            </w:r>
          </w:p>
        </w:tc>
        <w:tc>
          <w:tcPr>
            <w:tcW w:type="dxa" w:w="7344"/>
            <w:vAlign w:val="top"/>
            <w:tcMar>
              <w:top w:w="60" w:type="dxa"/>
              <w:start w:w="70" w:type="dxa"/>
              <w:bottom w:w="60" w:type="dxa"/>
              <w:end w:w="70" w:type="dxa"/>
            </w:tcMar>
          </w:tcPr>
          <w:p>
            <w:pPr>
              <w:pStyle w:val="TableText"/>
            </w:pPr>
            <w:r>
              <w:rPr>
                <w:sz w:val="14"/>
              </w:rPr>
              <w:t>Persistent specialized workload with operational justification</w:t>
            </w:r>
          </w:p>
        </w:tc>
      </w:tr>
      <w:tr>
        <w:trPr>
          <w:cantSplit/>
        </w:trPr>
        <w:tc>
          <w:tcPr>
            <w:tcW w:type="dxa" w:w="2880"/>
            <w:vAlign w:val="top"/>
            <w:tcMar>
              <w:top w:w="60" w:type="dxa"/>
              <w:start w:w="70" w:type="dxa"/>
              <w:bottom w:w="60" w:type="dxa"/>
              <w:end w:w="70" w:type="dxa"/>
            </w:tcMar>
            <w:shd w:fill="F8F9FA"/>
          </w:tcPr>
          <w:p>
            <w:pPr>
              <w:pStyle w:val="TableText"/>
            </w:pPr>
            <w:r>
              <w:rPr>
                <w:sz w:val="14"/>
              </w:rPr>
              <w:t>Notebooks</w:t>
            </w:r>
          </w:p>
        </w:tc>
        <w:tc>
          <w:tcPr>
            <w:tcW w:type="dxa" w:w="7344"/>
            <w:vAlign w:val="top"/>
            <w:tcMar>
              <w:top w:w="60" w:type="dxa"/>
              <w:start w:w="70" w:type="dxa"/>
              <w:bottom w:w="60" w:type="dxa"/>
              <w:end w:w="70" w:type="dxa"/>
            </w:tcMar>
            <w:shd w:fill="F8F9FA"/>
          </w:tcPr>
          <w:p>
            <w:pPr>
              <w:pStyle w:val="TableText"/>
            </w:pPr>
            <w:r>
              <w:rPr>
                <w:sz w:val="14"/>
              </w:rPr>
              <w:t>Development only unless promoted as versioned jobs</w:t>
            </w:r>
          </w:p>
        </w:tc>
      </w:tr>
      <w:tr>
        <w:trPr>
          <w:cantSplit/>
        </w:trPr>
        <w:tc>
          <w:tcPr>
            <w:tcW w:type="dxa" w:w="2880"/>
            <w:vAlign w:val="top"/>
            <w:tcMar>
              <w:top w:w="60" w:type="dxa"/>
              <w:start w:w="70" w:type="dxa"/>
              <w:bottom w:w="60" w:type="dxa"/>
              <w:end w:w="70" w:type="dxa"/>
            </w:tcMar>
          </w:tcPr>
          <w:p>
            <w:pPr>
              <w:pStyle w:val="TableText"/>
            </w:pPr>
            <w:r>
              <w:rPr>
                <w:sz w:val="14"/>
              </w:rPr>
              <w:t>Output</w:t>
            </w:r>
          </w:p>
        </w:tc>
        <w:tc>
          <w:tcPr>
            <w:tcW w:type="dxa" w:w="7344"/>
            <w:vAlign w:val="top"/>
            <w:tcMar>
              <w:top w:w="60" w:type="dxa"/>
              <w:start w:w="70" w:type="dxa"/>
              <w:bottom w:w="60" w:type="dxa"/>
              <w:end w:w="70" w:type="dxa"/>
            </w:tcMar>
          </w:tcPr>
          <w:p>
            <w:pPr>
              <w:pStyle w:val="TableText"/>
            </w:pPr>
            <w:r>
              <w:rPr>
                <w:sz w:val="14"/>
              </w:rPr>
              <w:t>Prefer BigQuery or governed open-format storage</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Rerun immutable input into isolated target</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19. Dataform and BigQuery SQL</w:t>
      </w:r>
    </w:p>
    <w:p>
      <w:r>
        <w:t>Dataform is the default framework for versioned BigQuery SQL transformations. SQLX actions define tables, incremental logic, dependencies, documentation and assertions. Release and workflow configurations separate a tested code commit from environment-specific execution settings.</w:t>
      </w:r>
    </w:p>
    <w:p>
      <w:pPr>
        <w:pStyle w:val="Heading2"/>
      </w:pPr>
      <w:r>
        <w:t>Mandatory design controls</w:t>
      </w:r>
    </w:p>
    <w:p>
      <w:pPr>
        <w:pStyle w:val="ListBullet"/>
        <w:spacing w:after="30"/>
      </w:pPr>
      <w:r>
        <w:t>Set explicit default location to avoid accidental cross-region execution.</w:t>
      </w:r>
    </w:p>
    <w:p>
      <w:pPr>
        <w:pStyle w:val="ListBullet"/>
        <w:spacing w:after="30"/>
      </w:pPr>
      <w:r>
        <w:t>Use assertions for uniqueness, non-null and custom business rules.</w:t>
      </w:r>
    </w:p>
    <w:p>
      <w:pPr>
        <w:pStyle w:val="ListBullet"/>
        <w:spacing w:after="30"/>
      </w:pPr>
      <w:r>
        <w:t>Parameterize environment through compilation variables, not copied code.</w:t>
      </w:r>
    </w:p>
    <w:p>
      <w:pPr>
        <w:pStyle w:val="ListBullet"/>
        <w:spacing w:after="30"/>
      </w:pPr>
      <w:r>
        <w:t>Design incremental predicates for late updates and backfills.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Action</w:t>
            </w:r>
          </w:p>
        </w:tc>
        <w:tc>
          <w:tcPr>
            <w:tcW w:type="dxa" w:w="7344"/>
            <w:vAlign w:val="top"/>
            <w:tcMar>
              <w:top w:w="60" w:type="dxa"/>
              <w:start w:w="70" w:type="dxa"/>
              <w:bottom w:w="60" w:type="dxa"/>
              <w:end w:w="70" w:type="dxa"/>
            </w:tcMar>
          </w:tcPr>
          <w:p>
            <w:pPr>
              <w:pStyle w:val="TableText"/>
            </w:pPr>
            <w:r>
              <w:rPr>
                <w:sz w:val="14"/>
              </w:rPr>
              <w:t>Standard</w:t>
            </w:r>
          </w:p>
        </w:tc>
      </w:tr>
      <w:tr>
        <w:trPr>
          <w:cantSplit/>
        </w:trPr>
        <w:tc>
          <w:tcPr>
            <w:tcW w:type="dxa" w:w="2880"/>
            <w:vAlign w:val="top"/>
            <w:tcMar>
              <w:top w:w="60" w:type="dxa"/>
              <w:start w:w="70" w:type="dxa"/>
              <w:bottom w:w="60" w:type="dxa"/>
              <w:end w:w="70" w:type="dxa"/>
            </w:tcMar>
            <w:shd w:fill="F8F9FA"/>
          </w:tcPr>
          <w:p>
            <w:pPr>
              <w:pStyle w:val="TableText"/>
            </w:pPr>
            <w:r>
              <w:rPr>
                <w:sz w:val="14"/>
              </w:rPr>
              <w:t>Table/view</w:t>
            </w:r>
          </w:p>
        </w:tc>
        <w:tc>
          <w:tcPr>
            <w:tcW w:type="dxa" w:w="7344"/>
            <w:vAlign w:val="top"/>
            <w:tcMar>
              <w:top w:w="60" w:type="dxa"/>
              <w:start w:w="70" w:type="dxa"/>
              <w:bottom w:w="60" w:type="dxa"/>
              <w:end w:w="70" w:type="dxa"/>
            </w:tcMar>
            <w:shd w:fill="F8F9FA"/>
          </w:tcPr>
          <w:p>
            <w:pPr>
              <w:pStyle w:val="TableText"/>
            </w:pPr>
            <w:r>
              <w:rPr>
                <w:sz w:val="14"/>
              </w:rPr>
              <w:t>Document owner, grain and classification</w:t>
            </w:r>
          </w:p>
        </w:tc>
      </w:tr>
      <w:tr>
        <w:trPr>
          <w:cantSplit/>
        </w:trPr>
        <w:tc>
          <w:tcPr>
            <w:tcW w:type="dxa" w:w="2880"/>
            <w:vAlign w:val="top"/>
            <w:tcMar>
              <w:top w:w="60" w:type="dxa"/>
              <w:start w:w="70" w:type="dxa"/>
              <w:bottom w:w="60" w:type="dxa"/>
              <w:end w:w="70" w:type="dxa"/>
            </w:tcMar>
          </w:tcPr>
          <w:p>
            <w:pPr>
              <w:pStyle w:val="TableText"/>
            </w:pPr>
            <w:r>
              <w:rPr>
                <w:sz w:val="14"/>
              </w:rPr>
              <w:t>Incremental</w:t>
            </w:r>
          </w:p>
        </w:tc>
        <w:tc>
          <w:tcPr>
            <w:tcW w:type="dxa" w:w="7344"/>
            <w:vAlign w:val="top"/>
            <w:tcMar>
              <w:top w:w="60" w:type="dxa"/>
              <w:start w:w="70" w:type="dxa"/>
              <w:bottom w:w="60" w:type="dxa"/>
              <w:end w:w="70" w:type="dxa"/>
            </w:tcMar>
          </w:tcPr>
          <w:p>
            <w:pPr>
              <w:pStyle w:val="TableText"/>
            </w:pPr>
            <w:r>
              <w:rPr>
                <w:sz w:val="14"/>
              </w:rPr>
              <w:t>Unique key, boundary and full-refresh strategy</w:t>
            </w:r>
          </w:p>
        </w:tc>
      </w:tr>
      <w:tr>
        <w:trPr>
          <w:cantSplit/>
        </w:trPr>
        <w:tc>
          <w:tcPr>
            <w:tcW w:type="dxa" w:w="2880"/>
            <w:vAlign w:val="top"/>
            <w:tcMar>
              <w:top w:w="60" w:type="dxa"/>
              <w:start w:w="70" w:type="dxa"/>
              <w:bottom w:w="60" w:type="dxa"/>
              <w:end w:w="70" w:type="dxa"/>
            </w:tcMar>
            <w:shd w:fill="F8F9FA"/>
          </w:tcPr>
          <w:p>
            <w:pPr>
              <w:pStyle w:val="TableText"/>
            </w:pPr>
            <w:r>
              <w:rPr>
                <w:sz w:val="14"/>
              </w:rPr>
              <w:t>Assertion</w:t>
            </w:r>
          </w:p>
        </w:tc>
        <w:tc>
          <w:tcPr>
            <w:tcW w:type="dxa" w:w="7344"/>
            <w:vAlign w:val="top"/>
            <w:tcMar>
              <w:top w:w="60" w:type="dxa"/>
              <w:start w:w="70" w:type="dxa"/>
              <w:bottom w:w="60" w:type="dxa"/>
              <w:end w:w="70" w:type="dxa"/>
            </w:tcMar>
            <w:shd w:fill="F8F9FA"/>
          </w:tcPr>
          <w:p>
            <w:pPr>
              <w:pStyle w:val="TableText"/>
            </w:pPr>
            <w:r>
              <w:rPr>
                <w:sz w:val="14"/>
              </w:rPr>
              <w:t>Critical rules block downstream certification</w:t>
            </w:r>
          </w:p>
        </w:tc>
      </w:tr>
      <w:tr>
        <w:trPr>
          <w:cantSplit/>
        </w:trPr>
        <w:tc>
          <w:tcPr>
            <w:tcW w:type="dxa" w:w="2880"/>
            <w:vAlign w:val="top"/>
            <w:tcMar>
              <w:top w:w="60" w:type="dxa"/>
              <w:start w:w="70" w:type="dxa"/>
              <w:bottom w:w="60" w:type="dxa"/>
              <w:end w:w="70" w:type="dxa"/>
            </w:tcMar>
          </w:tcPr>
          <w:p>
            <w:pPr>
              <w:pStyle w:val="TableText"/>
            </w:pPr>
            <w:r>
              <w:rPr>
                <w:sz w:val="14"/>
              </w:rPr>
              <w:t>Operation</w:t>
            </w:r>
          </w:p>
        </w:tc>
        <w:tc>
          <w:tcPr>
            <w:tcW w:type="dxa" w:w="7344"/>
            <w:vAlign w:val="top"/>
            <w:tcMar>
              <w:top w:w="60" w:type="dxa"/>
              <w:start w:w="70" w:type="dxa"/>
              <w:bottom w:w="60" w:type="dxa"/>
              <w:end w:w="70" w:type="dxa"/>
            </w:tcMar>
          </w:tcPr>
          <w:p>
            <w:pPr>
              <w:pStyle w:val="TableText"/>
            </w:pPr>
            <w:r>
              <w:rPr>
                <w:sz w:val="14"/>
              </w:rPr>
              <w:t>Use only when table action is not appropriate</w:t>
            </w:r>
          </w:p>
        </w:tc>
      </w:tr>
      <w:tr>
        <w:trPr>
          <w:cantSplit/>
        </w:trPr>
        <w:tc>
          <w:tcPr>
            <w:tcW w:type="dxa" w:w="2880"/>
            <w:vAlign w:val="top"/>
            <w:tcMar>
              <w:top w:w="60" w:type="dxa"/>
              <w:start w:w="70" w:type="dxa"/>
              <w:bottom w:w="60" w:type="dxa"/>
              <w:end w:w="70" w:type="dxa"/>
            </w:tcMar>
            <w:shd w:fill="F8F9FA"/>
          </w:tcPr>
          <w:p>
            <w:pPr>
              <w:pStyle w:val="TableText"/>
            </w:pPr>
            <w:r>
              <w:rPr>
                <w:sz w:val="14"/>
              </w:rPr>
              <w:t>Release</w:t>
            </w:r>
          </w:p>
        </w:tc>
        <w:tc>
          <w:tcPr>
            <w:tcW w:type="dxa" w:w="7344"/>
            <w:vAlign w:val="top"/>
            <w:tcMar>
              <w:top w:w="60" w:type="dxa"/>
              <w:start w:w="70" w:type="dxa"/>
              <w:bottom w:w="60" w:type="dxa"/>
              <w:end w:w="70" w:type="dxa"/>
            </w:tcMar>
            <w:shd w:fill="F8F9FA"/>
          </w:tcPr>
          <w:p>
            <w:pPr>
              <w:pStyle w:val="TableText"/>
            </w:pPr>
            <w:r>
              <w:rPr>
                <w:sz w:val="14"/>
              </w:rPr>
              <w:t>Protected commit and environment workflow config</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20. Managed Airflow and Apache Airflow</w:t>
      </w:r>
    </w:p>
    <w:p>
      <w:r>
        <w:t>Managed Airflow orchestrates complex cross-service DAGs, dependencies, sensors, schedules and operational recovery. DAGs coordinate work; they do not contain large data payloads or perform transformation in scheduler memory. Environments are separated by risk and region and sized from measured scheduler/worker demand.</w:t>
      </w:r>
    </w:p>
    <w:p>
      <w:pPr>
        <w:pStyle w:val="Heading2"/>
      </w:pPr>
      <w:r>
        <w:t>Mandatory design controls</w:t>
      </w:r>
    </w:p>
    <w:p>
      <w:pPr>
        <w:pStyle w:val="ListBullet"/>
        <w:spacing w:after="30"/>
      </w:pPr>
      <w:r>
        <w:t>Set owner, retries, timeout, concurrency, pools and catchup intentionally.</w:t>
      </w:r>
    </w:p>
    <w:p>
      <w:pPr>
        <w:pStyle w:val="ListBullet"/>
        <w:spacing w:after="30"/>
      </w:pPr>
      <w:r>
        <w:t>Avoid dynamic DAG explosion and top-level network calls.</w:t>
      </w:r>
    </w:p>
    <w:p>
      <w:pPr>
        <w:pStyle w:val="ListBullet"/>
        <w:spacing w:after="30"/>
      </w:pPr>
      <w:r>
        <w:t>Use deferrable operators/sensors where supported.</w:t>
      </w:r>
    </w:p>
    <w:p>
      <w:pPr>
        <w:pStyle w:val="ListBullet"/>
        <w:spacing w:after="30"/>
      </w:pPr>
      <w:r>
        <w:t>Deploy DAGs and dependencies through CI/CD with parse tests and version control.</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Concern</w:t>
            </w:r>
          </w:p>
        </w:tc>
        <w:tc>
          <w:tcPr>
            <w:tcW w:type="dxa" w:w="7344"/>
            <w:vAlign w:val="top"/>
            <w:tcMar>
              <w:top w:w="60" w:type="dxa"/>
              <w:start w:w="70" w:type="dxa"/>
              <w:bottom w:w="60" w:type="dxa"/>
              <w:end w:w="70" w:type="dxa"/>
            </w:tcMar>
          </w:tcPr>
          <w:p>
            <w:pPr>
              <w:pStyle w:val="TableText"/>
            </w:pPr>
            <w:r>
              <w:rPr>
                <w:sz w:val="14"/>
              </w:rPr>
              <w:t>Control</w:t>
            </w:r>
          </w:p>
        </w:tc>
      </w:tr>
      <w:tr>
        <w:trPr>
          <w:cantSplit/>
        </w:trPr>
        <w:tc>
          <w:tcPr>
            <w:tcW w:type="dxa" w:w="2880"/>
            <w:vAlign w:val="top"/>
            <w:tcMar>
              <w:top w:w="60" w:type="dxa"/>
              <w:start w:w="70" w:type="dxa"/>
              <w:bottom w:w="60" w:type="dxa"/>
              <w:end w:w="70" w:type="dxa"/>
            </w:tcMar>
            <w:shd w:fill="F8F9FA"/>
          </w:tcPr>
          <w:p>
            <w:pPr>
              <w:pStyle w:val="TableText"/>
            </w:pPr>
            <w:r>
              <w:rPr>
                <w:sz w:val="14"/>
              </w:rPr>
              <w:t>DAG design</w:t>
            </w:r>
          </w:p>
        </w:tc>
        <w:tc>
          <w:tcPr>
            <w:tcW w:type="dxa" w:w="7344"/>
            <w:vAlign w:val="top"/>
            <w:tcMar>
              <w:top w:w="60" w:type="dxa"/>
              <w:start w:w="70" w:type="dxa"/>
              <w:bottom w:w="60" w:type="dxa"/>
              <w:end w:w="70" w:type="dxa"/>
            </w:tcMar>
            <w:shd w:fill="F8F9FA"/>
          </w:tcPr>
          <w:p>
            <w:pPr>
              <w:pStyle w:val="TableText"/>
            </w:pPr>
            <w:r>
              <w:rPr>
                <w:sz w:val="14"/>
              </w:rPr>
              <w:t>Small tasks, clear boundaries and idempotent retries</w:t>
            </w:r>
          </w:p>
        </w:tc>
      </w:tr>
      <w:tr>
        <w:trPr>
          <w:cantSplit/>
        </w:trPr>
        <w:tc>
          <w:tcPr>
            <w:tcW w:type="dxa" w:w="2880"/>
            <w:vAlign w:val="top"/>
            <w:tcMar>
              <w:top w:w="60" w:type="dxa"/>
              <w:start w:w="70" w:type="dxa"/>
              <w:bottom w:w="60" w:type="dxa"/>
              <w:end w:w="70" w:type="dxa"/>
            </w:tcMar>
          </w:tcPr>
          <w:p>
            <w:pPr>
              <w:pStyle w:val="TableText"/>
            </w:pPr>
            <w:r>
              <w:rPr>
                <w:sz w:val="14"/>
              </w:rPr>
              <w:t>Secrets</w:t>
            </w:r>
          </w:p>
        </w:tc>
        <w:tc>
          <w:tcPr>
            <w:tcW w:type="dxa" w:w="7344"/>
            <w:vAlign w:val="top"/>
            <w:tcMar>
              <w:top w:w="60" w:type="dxa"/>
              <w:start w:w="70" w:type="dxa"/>
              <w:bottom w:w="60" w:type="dxa"/>
              <w:end w:w="70" w:type="dxa"/>
            </w:tcMar>
          </w:tcPr>
          <w:p>
            <w:pPr>
              <w:pStyle w:val="TableText"/>
            </w:pPr>
            <w:r>
              <w:rPr>
                <w:sz w:val="14"/>
              </w:rPr>
              <w:t>Secret Manager-backed connections; no DAG literals</w:t>
            </w:r>
          </w:p>
        </w:tc>
      </w:tr>
      <w:tr>
        <w:trPr>
          <w:cantSplit/>
        </w:trPr>
        <w:tc>
          <w:tcPr>
            <w:tcW w:type="dxa" w:w="2880"/>
            <w:vAlign w:val="top"/>
            <w:tcMar>
              <w:top w:w="60" w:type="dxa"/>
              <w:start w:w="70" w:type="dxa"/>
              <w:bottom w:w="60" w:type="dxa"/>
              <w:end w:w="70" w:type="dxa"/>
            </w:tcMar>
            <w:shd w:fill="F8F9FA"/>
          </w:tcPr>
          <w:p>
            <w:pPr>
              <w:pStyle w:val="TableText"/>
            </w:pPr>
            <w:r>
              <w:rPr>
                <w:sz w:val="14"/>
              </w:rPr>
              <w:t>Network</w:t>
            </w:r>
          </w:p>
        </w:tc>
        <w:tc>
          <w:tcPr>
            <w:tcW w:type="dxa" w:w="7344"/>
            <w:vAlign w:val="top"/>
            <w:tcMar>
              <w:top w:w="60" w:type="dxa"/>
              <w:start w:w="70" w:type="dxa"/>
              <w:bottom w:w="60" w:type="dxa"/>
              <w:end w:w="70" w:type="dxa"/>
            </w:tcMar>
            <w:shd w:fill="F8F9FA"/>
          </w:tcPr>
          <w:p>
            <w:pPr>
              <w:pStyle w:val="TableText"/>
            </w:pPr>
            <w:r>
              <w:rPr>
                <w:sz w:val="14"/>
              </w:rPr>
              <w:t>Private environment/access and approved egress</w:t>
            </w:r>
          </w:p>
        </w:tc>
      </w:tr>
      <w:tr>
        <w:trPr>
          <w:cantSplit/>
        </w:trPr>
        <w:tc>
          <w:tcPr>
            <w:tcW w:type="dxa" w:w="2880"/>
            <w:vAlign w:val="top"/>
            <w:tcMar>
              <w:top w:w="60" w:type="dxa"/>
              <w:start w:w="70" w:type="dxa"/>
              <w:bottom w:w="60" w:type="dxa"/>
              <w:end w:w="70" w:type="dxa"/>
            </w:tcMar>
          </w:tcPr>
          <w:p>
            <w:pPr>
              <w:pStyle w:val="TableText"/>
            </w:pPr>
            <w:r>
              <w:rPr>
                <w:sz w:val="14"/>
              </w:rPr>
              <w:t>Observability</w:t>
            </w:r>
          </w:p>
        </w:tc>
        <w:tc>
          <w:tcPr>
            <w:tcW w:type="dxa" w:w="7344"/>
            <w:vAlign w:val="top"/>
            <w:tcMar>
              <w:top w:w="60" w:type="dxa"/>
              <w:start w:w="70" w:type="dxa"/>
              <w:bottom w:w="60" w:type="dxa"/>
              <w:end w:w="70" w:type="dxa"/>
            </w:tcMar>
          </w:tcPr>
          <w:p>
            <w:pPr>
              <w:pStyle w:val="TableText"/>
            </w:pPr>
            <w:r>
              <w:rPr>
                <w:sz w:val="14"/>
              </w:rPr>
              <w:t>Task duration, failures, queue time and scheduler health</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Retry from safe boundary; do not falsify task state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21. Workflows and Cloud Run Jobs</w:t>
      </w:r>
    </w:p>
    <w:p>
      <w:r>
        <w:t>Workflows is used for bounded API-centric orchestration, retries and compensation across managed services. Cloud Run Jobs executes bounded utilities such as manifest creation, metadata updates, schema conversion or reconciliation helpers. Neither replaces Dataflow or Spark for distributed data processing.</w:t>
      </w:r>
    </w:p>
    <w:p>
      <w:pPr>
        <w:pStyle w:val="Heading2"/>
      </w:pPr>
      <w:r>
        <w:t>Mandatory design controls</w:t>
      </w:r>
    </w:p>
    <w:p>
      <w:pPr>
        <w:pStyle w:val="ListBullet"/>
        <w:spacing w:after="30"/>
      </w:pPr>
      <w:r>
        <w:t>Retry only idempotent calls or add compensation.</w:t>
      </w:r>
    </w:p>
    <w:p>
      <w:pPr>
        <w:pStyle w:val="ListBullet"/>
        <w:spacing w:after="30"/>
      </w:pPr>
      <w:r>
        <w:t>Use explicit timeouts and error branches.</w:t>
      </w:r>
    </w:p>
    <w:p>
      <w:pPr>
        <w:pStyle w:val="ListBullet"/>
        <w:spacing w:after="30"/>
      </w:pPr>
      <w:r>
        <w:t>Keep utility images immutable and scanned.</w:t>
      </w:r>
    </w:p>
    <w:p>
      <w:pPr>
        <w:pStyle w:val="ListBullet"/>
        <w:spacing w:after="30"/>
      </w:pPr>
      <w:r>
        <w:t>Pass references to data, not large payloads, through orchestration state.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Capability</w:t>
            </w:r>
          </w:p>
        </w:tc>
        <w:tc>
          <w:tcPr>
            <w:tcW w:type="dxa" w:w="7344"/>
            <w:vAlign w:val="top"/>
            <w:tcMar>
              <w:top w:w="60" w:type="dxa"/>
              <w:start w:w="70" w:type="dxa"/>
              <w:bottom w:w="60" w:type="dxa"/>
              <w:end w:w="70" w:type="dxa"/>
            </w:tcMar>
          </w:tcPr>
          <w:p>
            <w:pPr>
              <w:pStyle w:val="TableText"/>
            </w:pPr>
            <w:r>
              <w:rPr>
                <w:sz w:val="14"/>
              </w:rPr>
              <w:t>Preferred tool</w:t>
            </w:r>
          </w:p>
        </w:tc>
      </w:tr>
      <w:tr>
        <w:trPr>
          <w:cantSplit/>
        </w:trPr>
        <w:tc>
          <w:tcPr>
            <w:tcW w:type="dxa" w:w="2880"/>
            <w:vAlign w:val="top"/>
            <w:tcMar>
              <w:top w:w="60" w:type="dxa"/>
              <w:start w:w="70" w:type="dxa"/>
              <w:bottom w:w="60" w:type="dxa"/>
              <w:end w:w="70" w:type="dxa"/>
            </w:tcMar>
            <w:shd w:fill="F8F9FA"/>
          </w:tcPr>
          <w:p>
            <w:pPr>
              <w:pStyle w:val="TableText"/>
            </w:pPr>
            <w:r>
              <w:rPr>
                <w:sz w:val="14"/>
              </w:rPr>
              <w:t>Complex recurring DAG</w:t>
            </w:r>
          </w:p>
        </w:tc>
        <w:tc>
          <w:tcPr>
            <w:tcW w:type="dxa" w:w="7344"/>
            <w:vAlign w:val="top"/>
            <w:tcMar>
              <w:top w:w="60" w:type="dxa"/>
              <w:start w:w="70" w:type="dxa"/>
              <w:bottom w:w="60" w:type="dxa"/>
              <w:end w:w="70" w:type="dxa"/>
            </w:tcMar>
            <w:shd w:fill="F8F9FA"/>
          </w:tcPr>
          <w:p>
            <w:pPr>
              <w:pStyle w:val="TableText"/>
            </w:pPr>
            <w:r>
              <w:rPr>
                <w:sz w:val="14"/>
              </w:rPr>
              <w:t>Managed Airflow</w:t>
            </w:r>
          </w:p>
        </w:tc>
      </w:tr>
      <w:tr>
        <w:trPr>
          <w:cantSplit/>
        </w:trPr>
        <w:tc>
          <w:tcPr>
            <w:tcW w:type="dxa" w:w="2880"/>
            <w:vAlign w:val="top"/>
            <w:tcMar>
              <w:top w:w="60" w:type="dxa"/>
              <w:start w:w="70" w:type="dxa"/>
              <w:bottom w:w="60" w:type="dxa"/>
              <w:end w:w="70" w:type="dxa"/>
            </w:tcMar>
          </w:tcPr>
          <w:p>
            <w:pPr>
              <w:pStyle w:val="TableText"/>
            </w:pPr>
            <w:r>
              <w:rPr>
                <w:sz w:val="14"/>
              </w:rPr>
              <w:t>Short API chain</w:t>
            </w:r>
          </w:p>
        </w:tc>
        <w:tc>
          <w:tcPr>
            <w:tcW w:type="dxa" w:w="7344"/>
            <w:vAlign w:val="top"/>
            <w:tcMar>
              <w:top w:w="60" w:type="dxa"/>
              <w:start w:w="70" w:type="dxa"/>
              <w:bottom w:w="60" w:type="dxa"/>
              <w:end w:w="70" w:type="dxa"/>
            </w:tcMar>
          </w:tcPr>
          <w:p>
            <w:pPr>
              <w:pStyle w:val="TableText"/>
            </w:pPr>
            <w:r>
              <w:rPr>
                <w:sz w:val="14"/>
              </w:rPr>
              <w:t>Workflows</w:t>
            </w:r>
          </w:p>
        </w:tc>
      </w:tr>
      <w:tr>
        <w:trPr>
          <w:cantSplit/>
        </w:trPr>
        <w:tc>
          <w:tcPr>
            <w:tcW w:type="dxa" w:w="2880"/>
            <w:vAlign w:val="top"/>
            <w:tcMar>
              <w:top w:w="60" w:type="dxa"/>
              <w:start w:w="70" w:type="dxa"/>
              <w:bottom w:w="60" w:type="dxa"/>
              <w:end w:w="70" w:type="dxa"/>
            </w:tcMar>
            <w:shd w:fill="F8F9FA"/>
          </w:tcPr>
          <w:p>
            <w:pPr>
              <w:pStyle w:val="TableText"/>
            </w:pPr>
            <w:r>
              <w:rPr>
                <w:sz w:val="14"/>
              </w:rPr>
              <w:t>Bounded container utility</w:t>
            </w:r>
          </w:p>
        </w:tc>
        <w:tc>
          <w:tcPr>
            <w:tcW w:type="dxa" w:w="7344"/>
            <w:vAlign w:val="top"/>
            <w:tcMar>
              <w:top w:w="60" w:type="dxa"/>
              <w:start w:w="70" w:type="dxa"/>
              <w:bottom w:w="60" w:type="dxa"/>
              <w:end w:w="70" w:type="dxa"/>
            </w:tcMar>
            <w:shd w:fill="F8F9FA"/>
          </w:tcPr>
          <w:p>
            <w:pPr>
              <w:pStyle w:val="TableText"/>
            </w:pPr>
            <w:r>
              <w:rPr>
                <w:sz w:val="14"/>
              </w:rPr>
              <w:t>Cloud Run Jobs</w:t>
            </w:r>
          </w:p>
        </w:tc>
      </w:tr>
      <w:tr>
        <w:trPr>
          <w:cantSplit/>
        </w:trPr>
        <w:tc>
          <w:tcPr>
            <w:tcW w:type="dxa" w:w="2880"/>
            <w:vAlign w:val="top"/>
            <w:tcMar>
              <w:top w:w="60" w:type="dxa"/>
              <w:start w:w="70" w:type="dxa"/>
              <w:bottom w:w="60" w:type="dxa"/>
              <w:end w:w="70" w:type="dxa"/>
            </w:tcMar>
          </w:tcPr>
          <w:p>
            <w:pPr>
              <w:pStyle w:val="TableText"/>
            </w:pPr>
            <w:r>
              <w:rPr>
                <w:sz w:val="14"/>
              </w:rPr>
              <w:t>Distributed transform</w:t>
            </w:r>
          </w:p>
        </w:tc>
        <w:tc>
          <w:tcPr>
            <w:tcW w:type="dxa" w:w="7344"/>
            <w:vAlign w:val="top"/>
            <w:tcMar>
              <w:top w:w="60" w:type="dxa"/>
              <w:start w:w="70" w:type="dxa"/>
              <w:bottom w:w="60" w:type="dxa"/>
              <w:end w:w="70" w:type="dxa"/>
            </w:tcMar>
          </w:tcPr>
          <w:p>
            <w:pPr>
              <w:pStyle w:val="TableText"/>
            </w:pPr>
            <w:r>
              <w:rPr>
                <w:sz w:val="14"/>
              </w:rPr>
              <w:t>Dataflow or Managed Spark</w:t>
            </w:r>
          </w:p>
        </w:tc>
      </w:tr>
      <w:tr>
        <w:trPr>
          <w:cantSplit/>
        </w:trPr>
        <w:tc>
          <w:tcPr>
            <w:tcW w:type="dxa" w:w="2880"/>
            <w:vAlign w:val="top"/>
            <w:tcMar>
              <w:top w:w="60" w:type="dxa"/>
              <w:start w:w="70" w:type="dxa"/>
              <w:bottom w:w="60" w:type="dxa"/>
              <w:end w:w="70" w:type="dxa"/>
            </w:tcMar>
            <w:shd w:fill="F8F9FA"/>
          </w:tcPr>
          <w:p>
            <w:pPr>
              <w:pStyle w:val="TableText"/>
            </w:pPr>
            <w:r>
              <w:rPr>
                <w:sz w:val="14"/>
              </w:rPr>
              <w:t>SQL graph</w:t>
            </w:r>
          </w:p>
        </w:tc>
        <w:tc>
          <w:tcPr>
            <w:tcW w:type="dxa" w:w="7344"/>
            <w:vAlign w:val="top"/>
            <w:tcMar>
              <w:top w:w="60" w:type="dxa"/>
              <w:start w:w="70" w:type="dxa"/>
              <w:bottom w:w="60" w:type="dxa"/>
              <w:end w:w="70" w:type="dxa"/>
            </w:tcMar>
            <w:shd w:fill="F8F9FA"/>
          </w:tcPr>
          <w:p>
            <w:pPr>
              <w:pStyle w:val="TableText"/>
            </w:pPr>
            <w:r>
              <w:rPr>
                <w:sz w:val="14"/>
              </w:rPr>
              <w:t>Dataform</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22. Pub/Sub Event Backbone</w:t>
      </w:r>
    </w:p>
    <w:p>
      <w:r>
        <w:t>Pub/Sub provides regionalized topics and subscriptions for event distribution, buffering and fan-out. Producers publish contract version and trace attributes. Consumers choose acknowledgment, retry, dead-letter, ordering and exactly-once subscription features based on business behavior. Retention and snapshots support bounded replay.</w:t>
      </w:r>
    </w:p>
    <w:p>
      <w:pPr>
        <w:pStyle w:val="Heading2"/>
      </w:pPr>
      <w:r>
        <w:t>Mandatory design controls</w:t>
      </w:r>
    </w:p>
    <w:p>
      <w:pPr>
        <w:pStyle w:val="ListBullet"/>
        <w:spacing w:after="30"/>
      </w:pPr>
      <w:r>
        <w:t>Do not rely on ordering unless ordering keys and downstream behavior are tested.</w:t>
      </w:r>
    </w:p>
    <w:p>
      <w:pPr>
        <w:pStyle w:val="ListBullet"/>
        <w:spacing w:after="30"/>
      </w:pPr>
      <w:r>
        <w:t>Dead-letter topics require owner, retention, alert and replay workflow.</w:t>
      </w:r>
    </w:p>
    <w:p>
      <w:pPr>
        <w:pStyle w:val="ListBullet"/>
        <w:spacing w:after="30"/>
      </w:pPr>
      <w:r>
        <w:t>Monitor backlog and oldest unacked age, not only message count.</w:t>
      </w:r>
    </w:p>
    <w:p>
      <w:pPr>
        <w:pStyle w:val="ListBullet"/>
        <w:spacing w:after="30"/>
      </w:pPr>
      <w:r>
        <w:t>Design end-to-end idempotency even when exactly-once subscription delivery is enabled.</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Element</w:t>
            </w:r>
          </w:p>
        </w:tc>
        <w:tc>
          <w:tcPr>
            <w:tcW w:type="dxa" w:w="7344"/>
            <w:vAlign w:val="top"/>
            <w:tcMar>
              <w:top w:w="60" w:type="dxa"/>
              <w:start w:w="70" w:type="dxa"/>
              <w:bottom w:w="60" w:type="dxa"/>
              <w:end w:w="70" w:type="dxa"/>
            </w:tcMar>
          </w:tcPr>
          <w:p>
            <w:pPr>
              <w:pStyle w:val="TableText"/>
            </w:pPr>
            <w:r>
              <w:rPr>
                <w:sz w:val="14"/>
              </w:rPr>
              <w:t>Standard</w:t>
            </w:r>
          </w:p>
        </w:tc>
      </w:tr>
      <w:tr>
        <w:trPr>
          <w:cantSplit/>
        </w:trPr>
        <w:tc>
          <w:tcPr>
            <w:tcW w:type="dxa" w:w="2880"/>
            <w:vAlign w:val="top"/>
            <w:tcMar>
              <w:top w:w="60" w:type="dxa"/>
              <w:start w:w="70" w:type="dxa"/>
              <w:bottom w:w="60" w:type="dxa"/>
              <w:end w:w="70" w:type="dxa"/>
            </w:tcMar>
            <w:shd w:fill="F8F9FA"/>
          </w:tcPr>
          <w:p>
            <w:pPr>
              <w:pStyle w:val="TableText"/>
            </w:pPr>
            <w:r>
              <w:rPr>
                <w:sz w:val="14"/>
              </w:rPr>
              <w:t>Topic</w:t>
            </w:r>
          </w:p>
        </w:tc>
        <w:tc>
          <w:tcPr>
            <w:tcW w:type="dxa" w:w="7344"/>
            <w:vAlign w:val="top"/>
            <w:tcMar>
              <w:top w:w="60" w:type="dxa"/>
              <w:start w:w="70" w:type="dxa"/>
              <w:bottom w:w="60" w:type="dxa"/>
              <w:end w:w="70" w:type="dxa"/>
            </w:tcMar>
            <w:shd w:fill="F8F9FA"/>
          </w:tcPr>
          <w:p>
            <w:pPr>
              <w:pStyle w:val="TableText"/>
            </w:pPr>
            <w:r>
              <w:rPr>
                <w:sz w:val="14"/>
              </w:rPr>
              <w:t>Domain.event.version naming and classification</w:t>
            </w:r>
          </w:p>
        </w:tc>
      </w:tr>
      <w:tr>
        <w:trPr>
          <w:cantSplit/>
        </w:trPr>
        <w:tc>
          <w:tcPr>
            <w:tcW w:type="dxa" w:w="2880"/>
            <w:vAlign w:val="top"/>
            <w:tcMar>
              <w:top w:w="60" w:type="dxa"/>
              <w:start w:w="70" w:type="dxa"/>
              <w:bottom w:w="60" w:type="dxa"/>
              <w:end w:w="70" w:type="dxa"/>
            </w:tcMar>
          </w:tcPr>
          <w:p>
            <w:pPr>
              <w:pStyle w:val="TableText"/>
            </w:pPr>
            <w:r>
              <w:rPr>
                <w:sz w:val="14"/>
              </w:rPr>
              <w:t>Subscription</w:t>
            </w:r>
          </w:p>
        </w:tc>
        <w:tc>
          <w:tcPr>
            <w:tcW w:type="dxa" w:w="7344"/>
            <w:vAlign w:val="top"/>
            <w:tcMar>
              <w:top w:w="60" w:type="dxa"/>
              <w:start w:w="70" w:type="dxa"/>
              <w:bottom w:w="60" w:type="dxa"/>
              <w:end w:w="70" w:type="dxa"/>
            </w:tcMar>
          </w:tcPr>
          <w:p>
            <w:pPr>
              <w:pStyle w:val="TableText"/>
            </w:pPr>
            <w:r>
              <w:rPr>
                <w:sz w:val="14"/>
              </w:rPr>
              <w:t>Consumer-specific with retry/DLQ policy</w:t>
            </w:r>
          </w:p>
        </w:tc>
      </w:tr>
      <w:tr>
        <w:trPr>
          <w:cantSplit/>
        </w:trPr>
        <w:tc>
          <w:tcPr>
            <w:tcW w:type="dxa" w:w="2880"/>
            <w:vAlign w:val="top"/>
            <w:tcMar>
              <w:top w:w="60" w:type="dxa"/>
              <w:start w:w="70" w:type="dxa"/>
              <w:bottom w:w="60" w:type="dxa"/>
              <w:end w:w="70" w:type="dxa"/>
            </w:tcMar>
            <w:shd w:fill="F8F9FA"/>
          </w:tcPr>
          <w:p>
            <w:pPr>
              <w:pStyle w:val="TableText"/>
            </w:pPr>
            <w:r>
              <w:rPr>
                <w:sz w:val="14"/>
              </w:rPr>
              <w:t>Schema</w:t>
            </w:r>
          </w:p>
        </w:tc>
        <w:tc>
          <w:tcPr>
            <w:tcW w:type="dxa" w:w="7344"/>
            <w:vAlign w:val="top"/>
            <w:tcMar>
              <w:top w:w="60" w:type="dxa"/>
              <w:start w:w="70" w:type="dxa"/>
              <w:bottom w:w="60" w:type="dxa"/>
              <w:end w:w="70" w:type="dxa"/>
            </w:tcMar>
            <w:shd w:fill="F8F9FA"/>
          </w:tcPr>
          <w:p>
            <w:pPr>
              <w:pStyle w:val="TableText"/>
            </w:pPr>
            <w:r>
              <w:rPr>
                <w:sz w:val="14"/>
              </w:rPr>
              <w:t>Registered contract and compatibility policy</w:t>
            </w:r>
          </w:p>
        </w:tc>
      </w:tr>
      <w:tr>
        <w:trPr>
          <w:cantSplit/>
        </w:trPr>
        <w:tc>
          <w:tcPr>
            <w:tcW w:type="dxa" w:w="2880"/>
            <w:vAlign w:val="top"/>
            <w:tcMar>
              <w:top w:w="60" w:type="dxa"/>
              <w:start w:w="70" w:type="dxa"/>
              <w:bottom w:w="60" w:type="dxa"/>
              <w:end w:w="70" w:type="dxa"/>
            </w:tcMar>
          </w:tcPr>
          <w:p>
            <w:pPr>
              <w:pStyle w:val="TableText"/>
            </w:pPr>
            <w:r>
              <w:rPr>
                <w:sz w:val="14"/>
              </w:rPr>
              <w:t>Attributes</w:t>
            </w:r>
          </w:p>
        </w:tc>
        <w:tc>
          <w:tcPr>
            <w:tcW w:type="dxa" w:w="7344"/>
            <w:vAlign w:val="top"/>
            <w:tcMar>
              <w:top w:w="60" w:type="dxa"/>
              <w:start w:w="70" w:type="dxa"/>
              <w:bottom w:w="60" w:type="dxa"/>
              <w:end w:w="70" w:type="dxa"/>
            </w:tcMar>
          </w:tcPr>
          <w:p>
            <w:pPr>
              <w:pStyle w:val="TableText"/>
            </w:pPr>
            <w:r>
              <w:rPr>
                <w:sz w:val="14"/>
              </w:rPr>
              <w:t>event_id, event_time, schema_version, producer, trace</w:t>
            </w:r>
          </w:p>
        </w:tc>
      </w:tr>
      <w:tr>
        <w:trPr>
          <w:cantSplit/>
        </w:trPr>
        <w:tc>
          <w:tcPr>
            <w:tcW w:type="dxa" w:w="2880"/>
            <w:vAlign w:val="top"/>
            <w:tcMar>
              <w:top w:w="60" w:type="dxa"/>
              <w:start w:w="70" w:type="dxa"/>
              <w:bottom w:w="60" w:type="dxa"/>
              <w:end w:w="70" w:type="dxa"/>
            </w:tcMar>
            <w:shd w:fill="F8F9FA"/>
          </w:tcPr>
          <w:p>
            <w:pPr>
              <w:pStyle w:val="TableText"/>
            </w:pPr>
            <w:r>
              <w:rPr>
                <w:sz w:val="14"/>
              </w:rPr>
              <w:t>Replay</w:t>
            </w:r>
          </w:p>
        </w:tc>
        <w:tc>
          <w:tcPr>
            <w:tcW w:type="dxa" w:w="7344"/>
            <w:vAlign w:val="top"/>
            <w:tcMar>
              <w:top w:w="60" w:type="dxa"/>
              <w:start w:w="70" w:type="dxa"/>
              <w:bottom w:w="60" w:type="dxa"/>
              <w:end w:w="70" w:type="dxa"/>
            </w:tcMar>
            <w:shd w:fill="F8F9FA"/>
          </w:tcPr>
          <w:p>
            <w:pPr>
              <w:pStyle w:val="TableText"/>
            </w:pPr>
            <w:r>
              <w:rPr>
                <w:sz w:val="14"/>
              </w:rPr>
              <w:t>Snapshot/seek under controlled runbook</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23. Datastream CDC</w:t>
      </w:r>
    </w:p>
    <w:p>
      <w:r>
        <w:t>Datastream is the default for supported operational database CDC. It performs initial backfill and continuous change capture into BigQuery or Cloud Storage, depending on product pattern. Source preparation, private connectivity, log retention, schema evolution and reconciliation are shared responsibilities with database owners.</w:t>
      </w:r>
    </w:p>
    <w:p>
      <w:pPr>
        <w:pStyle w:val="Heading2"/>
      </w:pPr>
      <w:r>
        <w:t>Mandatory design controls</w:t>
      </w:r>
    </w:p>
    <w:p>
      <w:pPr>
        <w:pStyle w:val="ListBullet"/>
        <w:spacing w:after="30"/>
      </w:pPr>
      <w:r>
        <w:t>Validate source supplemental logging/replication settings and log retention.</w:t>
      </w:r>
    </w:p>
    <w:p>
      <w:pPr>
        <w:pStyle w:val="ListBullet"/>
        <w:spacing w:after="30"/>
      </w:pPr>
      <w:r>
        <w:t>Treat backfill and ongoing CDC as separate capacity/risk phases.</w:t>
      </w:r>
    </w:p>
    <w:p>
      <w:pPr>
        <w:pStyle w:val="ListBullet"/>
        <w:spacing w:after="30"/>
      </w:pPr>
      <w:r>
        <w:t>Monitor data staleness, stream/object errors and schema drift.</w:t>
      </w:r>
    </w:p>
    <w:p>
      <w:pPr>
        <w:pStyle w:val="ListBullet"/>
        <w:spacing w:after="30"/>
      </w:pPr>
      <w:r>
        <w:t>Reserve or plan BigQuery CDC background processing where required.</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Phase</w:t>
            </w:r>
          </w:p>
        </w:tc>
        <w:tc>
          <w:tcPr>
            <w:tcW w:type="dxa" w:w="7344"/>
            <w:vAlign w:val="top"/>
            <w:tcMar>
              <w:top w:w="60" w:type="dxa"/>
              <w:start w:w="70" w:type="dxa"/>
              <w:bottom w:w="60" w:type="dxa"/>
              <w:end w:w="70" w:type="dxa"/>
            </w:tcMar>
          </w:tcPr>
          <w:p>
            <w:pPr>
              <w:pStyle w:val="TableText"/>
            </w:pPr>
            <w:r>
              <w:rPr>
                <w:sz w:val="14"/>
              </w:rPr>
              <w:t>Control</w:t>
            </w:r>
          </w:p>
        </w:tc>
      </w:tr>
      <w:tr>
        <w:trPr>
          <w:cantSplit/>
        </w:trPr>
        <w:tc>
          <w:tcPr>
            <w:tcW w:type="dxa" w:w="2880"/>
            <w:vAlign w:val="top"/>
            <w:tcMar>
              <w:top w:w="60" w:type="dxa"/>
              <w:start w:w="70" w:type="dxa"/>
              <w:bottom w:w="60" w:type="dxa"/>
              <w:end w:w="70" w:type="dxa"/>
            </w:tcMar>
            <w:shd w:fill="F8F9FA"/>
          </w:tcPr>
          <w:p>
            <w:pPr>
              <w:pStyle w:val="TableText"/>
            </w:pPr>
            <w:r>
              <w:rPr>
                <w:sz w:val="14"/>
              </w:rPr>
              <w:t>Prepare</w:t>
            </w:r>
          </w:p>
        </w:tc>
        <w:tc>
          <w:tcPr>
            <w:tcW w:type="dxa" w:w="7344"/>
            <w:vAlign w:val="top"/>
            <w:tcMar>
              <w:top w:w="60" w:type="dxa"/>
              <w:start w:w="70" w:type="dxa"/>
              <w:bottom w:w="60" w:type="dxa"/>
              <w:end w:w="70" w:type="dxa"/>
            </w:tcMar>
            <w:shd w:fill="F8F9FA"/>
          </w:tcPr>
          <w:p>
            <w:pPr>
              <w:pStyle w:val="TableText"/>
            </w:pPr>
            <w:r>
              <w:rPr>
                <w:sz w:val="14"/>
              </w:rPr>
              <w:t>Source logs, user privileges, network and capacity</w:t>
            </w:r>
          </w:p>
        </w:tc>
      </w:tr>
      <w:tr>
        <w:trPr>
          <w:cantSplit/>
        </w:trPr>
        <w:tc>
          <w:tcPr>
            <w:tcW w:type="dxa" w:w="2880"/>
            <w:vAlign w:val="top"/>
            <w:tcMar>
              <w:top w:w="60" w:type="dxa"/>
              <w:start w:w="70" w:type="dxa"/>
              <w:bottom w:w="60" w:type="dxa"/>
              <w:end w:w="70" w:type="dxa"/>
            </w:tcMar>
          </w:tcPr>
          <w:p>
            <w:pPr>
              <w:pStyle w:val="TableText"/>
            </w:pPr>
            <w:r>
              <w:rPr>
                <w:sz w:val="14"/>
              </w:rPr>
              <w:t>Validate</w:t>
            </w:r>
          </w:p>
        </w:tc>
        <w:tc>
          <w:tcPr>
            <w:tcW w:type="dxa" w:w="7344"/>
            <w:vAlign w:val="top"/>
            <w:tcMar>
              <w:top w:w="60" w:type="dxa"/>
              <w:start w:w="70" w:type="dxa"/>
              <w:bottom w:w="60" w:type="dxa"/>
              <w:end w:w="70" w:type="dxa"/>
            </w:tcMar>
          </w:tcPr>
          <w:p>
            <w:pPr>
              <w:pStyle w:val="TableText"/>
            </w:pPr>
            <w:r>
              <w:rPr>
                <w:sz w:val="14"/>
              </w:rPr>
              <w:t>Connection profiles and stream validation</w:t>
            </w:r>
          </w:p>
        </w:tc>
      </w:tr>
      <w:tr>
        <w:trPr>
          <w:cantSplit/>
        </w:trPr>
        <w:tc>
          <w:tcPr>
            <w:tcW w:type="dxa" w:w="2880"/>
            <w:vAlign w:val="top"/>
            <w:tcMar>
              <w:top w:w="60" w:type="dxa"/>
              <w:start w:w="70" w:type="dxa"/>
              <w:bottom w:w="60" w:type="dxa"/>
              <w:end w:w="70" w:type="dxa"/>
            </w:tcMar>
            <w:shd w:fill="F8F9FA"/>
          </w:tcPr>
          <w:p>
            <w:pPr>
              <w:pStyle w:val="TableText"/>
            </w:pPr>
            <w:r>
              <w:rPr>
                <w:sz w:val="14"/>
              </w:rPr>
              <w:t>Backfill</w:t>
            </w:r>
          </w:p>
        </w:tc>
        <w:tc>
          <w:tcPr>
            <w:tcW w:type="dxa" w:w="7344"/>
            <w:vAlign w:val="top"/>
            <w:tcMar>
              <w:top w:w="60" w:type="dxa"/>
              <w:start w:w="70" w:type="dxa"/>
              <w:bottom w:w="60" w:type="dxa"/>
              <w:end w:w="70" w:type="dxa"/>
            </w:tcMar>
            <w:shd w:fill="F8F9FA"/>
          </w:tcPr>
          <w:p>
            <w:pPr>
              <w:pStyle w:val="TableText"/>
            </w:pPr>
            <w:r>
              <w:rPr>
                <w:sz w:val="14"/>
              </w:rPr>
              <w:t>Object scope, throttling and reconciliation</w:t>
            </w:r>
          </w:p>
        </w:tc>
      </w:tr>
      <w:tr>
        <w:trPr>
          <w:cantSplit/>
        </w:trPr>
        <w:tc>
          <w:tcPr>
            <w:tcW w:type="dxa" w:w="2880"/>
            <w:vAlign w:val="top"/>
            <w:tcMar>
              <w:top w:w="60" w:type="dxa"/>
              <w:start w:w="70" w:type="dxa"/>
              <w:bottom w:w="60" w:type="dxa"/>
              <w:end w:w="70" w:type="dxa"/>
            </w:tcMar>
          </w:tcPr>
          <w:p>
            <w:pPr>
              <w:pStyle w:val="TableText"/>
            </w:pPr>
            <w:r>
              <w:rPr>
                <w:sz w:val="14"/>
              </w:rPr>
              <w:t>CDC</w:t>
            </w:r>
          </w:p>
        </w:tc>
        <w:tc>
          <w:tcPr>
            <w:tcW w:type="dxa" w:w="7344"/>
            <w:vAlign w:val="top"/>
            <w:tcMar>
              <w:top w:w="60" w:type="dxa"/>
              <w:start w:w="70" w:type="dxa"/>
              <w:bottom w:w="60" w:type="dxa"/>
              <w:end w:w="70" w:type="dxa"/>
            </w:tcMar>
          </w:tcPr>
          <w:p>
            <w:pPr>
              <w:pStyle w:val="TableText"/>
            </w:pPr>
            <w:r>
              <w:rPr>
                <w:sz w:val="14"/>
              </w:rPr>
              <w:t>Lag/staleness SLO and schema change handling</w:t>
            </w:r>
          </w:p>
        </w:tc>
      </w:tr>
      <w:tr>
        <w:trPr>
          <w:cantSplit/>
        </w:trPr>
        <w:tc>
          <w:tcPr>
            <w:tcW w:type="dxa" w:w="2880"/>
            <w:vAlign w:val="top"/>
            <w:tcMar>
              <w:top w:w="60" w:type="dxa"/>
              <w:start w:w="70" w:type="dxa"/>
              <w:bottom w:w="60" w:type="dxa"/>
              <w:end w:w="70" w:type="dxa"/>
            </w:tcMar>
            <w:shd w:fill="F8F9FA"/>
          </w:tcPr>
          <w:p>
            <w:pPr>
              <w:pStyle w:val="TableText"/>
            </w:pPr>
            <w:r>
              <w:rPr>
                <w:sz w:val="14"/>
              </w:rPr>
              <w:t>Recover</w:t>
            </w:r>
          </w:p>
        </w:tc>
        <w:tc>
          <w:tcPr>
            <w:tcW w:type="dxa" w:w="7344"/>
            <w:vAlign w:val="top"/>
            <w:tcMar>
              <w:top w:w="60" w:type="dxa"/>
              <w:start w:w="70" w:type="dxa"/>
              <w:bottom w:w="60" w:type="dxa"/>
              <w:end w:w="70" w:type="dxa"/>
            </w:tcMar>
            <w:shd w:fill="F8F9FA"/>
          </w:tcPr>
          <w:p>
            <w:pPr>
              <w:pStyle w:val="TableText"/>
            </w:pPr>
            <w:r>
              <w:rPr>
                <w:sz w:val="14"/>
              </w:rPr>
              <w:t>Restart/backfill affected objects and reconcile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24. BigQuery Storage Write API</w:t>
      </w:r>
    </w:p>
    <w:p>
      <w:r>
        <w:t>The Storage Write API is the standard direct high-throughput BigQuery write interface. The default stream supports immediately available at-least-once writes. Application-created committed streams can use client-supplied offsets for exactly-once writes. Pending streams can support atomic batch commits.</w:t>
      </w:r>
    </w:p>
    <w:p>
      <w:pPr>
        <w:pStyle w:val="Heading2"/>
      </w:pPr>
      <w:r>
        <w:t>Mandatory design controls</w:t>
      </w:r>
    </w:p>
    <w:p>
      <w:pPr>
        <w:pStyle w:val="ListBullet"/>
        <w:spacing w:after="30"/>
      </w:pPr>
      <w:r>
        <w:t>Choose stream type and semantics explicitly.</w:t>
      </w:r>
    </w:p>
    <w:p>
      <w:pPr>
        <w:pStyle w:val="ListBullet"/>
        <w:spacing w:after="30"/>
      </w:pPr>
      <w:r>
        <w:t>Persist and recover offsets for committed exactly-once streams.</w:t>
      </w:r>
    </w:p>
    <w:p>
      <w:pPr>
        <w:pStyle w:val="ListBullet"/>
        <w:spacing w:after="30"/>
      </w:pPr>
      <w:r>
        <w:t>Handle row-level errors and poison records without retry storms.</w:t>
      </w:r>
    </w:p>
    <w:p>
      <w:pPr>
        <w:pStyle w:val="ListBullet"/>
        <w:spacing w:after="30"/>
      </w:pPr>
      <w:r>
        <w:t>Respect schema update, stream count and throughput quotas.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Mode</w:t>
            </w:r>
          </w:p>
        </w:tc>
        <w:tc>
          <w:tcPr>
            <w:tcW w:type="dxa" w:w="7344"/>
            <w:vAlign w:val="top"/>
            <w:tcMar>
              <w:top w:w="60" w:type="dxa"/>
              <w:start w:w="70" w:type="dxa"/>
              <w:bottom w:w="60" w:type="dxa"/>
              <w:end w:w="70" w:type="dxa"/>
            </w:tcMar>
          </w:tcPr>
          <w:p>
            <w:pPr>
              <w:pStyle w:val="TableText"/>
            </w:pPr>
            <w:r>
              <w:rPr>
                <w:sz w:val="14"/>
              </w:rPr>
              <w:t>Use</w:t>
            </w:r>
          </w:p>
        </w:tc>
      </w:tr>
      <w:tr>
        <w:trPr>
          <w:cantSplit/>
        </w:trPr>
        <w:tc>
          <w:tcPr>
            <w:tcW w:type="dxa" w:w="2880"/>
            <w:vAlign w:val="top"/>
            <w:tcMar>
              <w:top w:w="60" w:type="dxa"/>
              <w:start w:w="70" w:type="dxa"/>
              <w:bottom w:w="60" w:type="dxa"/>
              <w:end w:w="70" w:type="dxa"/>
            </w:tcMar>
            <w:shd w:fill="F8F9FA"/>
          </w:tcPr>
          <w:p>
            <w:pPr>
              <w:pStyle w:val="TableText"/>
            </w:pPr>
            <w:r>
              <w:rPr>
                <w:sz w:val="14"/>
              </w:rPr>
              <w:t>Default stream</w:t>
            </w:r>
          </w:p>
        </w:tc>
        <w:tc>
          <w:tcPr>
            <w:tcW w:type="dxa" w:w="7344"/>
            <w:vAlign w:val="top"/>
            <w:tcMar>
              <w:top w:w="60" w:type="dxa"/>
              <w:start w:w="70" w:type="dxa"/>
              <w:bottom w:w="60" w:type="dxa"/>
              <w:end w:w="70" w:type="dxa"/>
            </w:tcMar>
            <w:shd w:fill="F8F9FA"/>
          </w:tcPr>
          <w:p>
            <w:pPr>
              <w:pStyle w:val="TableText"/>
            </w:pPr>
            <w:r>
              <w:rPr>
                <w:sz w:val="14"/>
              </w:rPr>
              <w:t>At-least-once, low operational overhead</w:t>
            </w:r>
          </w:p>
        </w:tc>
      </w:tr>
      <w:tr>
        <w:trPr>
          <w:cantSplit/>
        </w:trPr>
        <w:tc>
          <w:tcPr>
            <w:tcW w:type="dxa" w:w="2880"/>
            <w:vAlign w:val="top"/>
            <w:tcMar>
              <w:top w:w="60" w:type="dxa"/>
              <w:start w:w="70" w:type="dxa"/>
              <w:bottom w:w="60" w:type="dxa"/>
              <w:end w:w="70" w:type="dxa"/>
            </w:tcMar>
          </w:tcPr>
          <w:p>
            <w:pPr>
              <w:pStyle w:val="TableText"/>
            </w:pPr>
            <w:r>
              <w:rPr>
                <w:sz w:val="14"/>
              </w:rPr>
              <w:t>Committed stream + offsets</w:t>
            </w:r>
          </w:p>
        </w:tc>
        <w:tc>
          <w:tcPr>
            <w:tcW w:type="dxa" w:w="7344"/>
            <w:vAlign w:val="top"/>
            <w:tcMar>
              <w:top w:w="60" w:type="dxa"/>
              <w:start w:w="70" w:type="dxa"/>
              <w:bottom w:w="60" w:type="dxa"/>
              <w:end w:w="70" w:type="dxa"/>
            </w:tcMar>
          </w:tcPr>
          <w:p>
            <w:pPr>
              <w:pStyle w:val="TableText"/>
            </w:pPr>
            <w:r>
              <w:rPr>
                <w:sz w:val="14"/>
              </w:rPr>
              <w:t>Exactly-once write where justified</w:t>
            </w:r>
          </w:p>
        </w:tc>
      </w:tr>
      <w:tr>
        <w:trPr>
          <w:cantSplit/>
        </w:trPr>
        <w:tc>
          <w:tcPr>
            <w:tcW w:type="dxa" w:w="2880"/>
            <w:vAlign w:val="top"/>
            <w:tcMar>
              <w:top w:w="60" w:type="dxa"/>
              <w:start w:w="70" w:type="dxa"/>
              <w:bottom w:w="60" w:type="dxa"/>
              <w:end w:w="70" w:type="dxa"/>
            </w:tcMar>
            <w:shd w:fill="F8F9FA"/>
          </w:tcPr>
          <w:p>
            <w:pPr>
              <w:pStyle w:val="TableText"/>
            </w:pPr>
            <w:r>
              <w:rPr>
                <w:sz w:val="14"/>
              </w:rPr>
              <w:t>Pending stream</w:t>
            </w:r>
          </w:p>
        </w:tc>
        <w:tc>
          <w:tcPr>
            <w:tcW w:type="dxa" w:w="7344"/>
            <w:vAlign w:val="top"/>
            <w:tcMar>
              <w:top w:w="60" w:type="dxa"/>
              <w:start w:w="70" w:type="dxa"/>
              <w:bottom w:w="60" w:type="dxa"/>
              <w:end w:w="70" w:type="dxa"/>
            </w:tcMar>
            <w:shd w:fill="F8F9FA"/>
          </w:tcPr>
          <w:p>
            <w:pPr>
              <w:pStyle w:val="TableText"/>
            </w:pPr>
            <w:r>
              <w:rPr>
                <w:sz w:val="14"/>
              </w:rPr>
              <w:t>Atomic batch commit</w:t>
            </w:r>
          </w:p>
        </w:tc>
      </w:tr>
      <w:tr>
        <w:trPr>
          <w:cantSplit/>
        </w:trPr>
        <w:tc>
          <w:tcPr>
            <w:tcW w:type="dxa" w:w="2880"/>
            <w:vAlign w:val="top"/>
            <w:tcMar>
              <w:top w:w="60" w:type="dxa"/>
              <w:start w:w="70" w:type="dxa"/>
              <w:bottom w:w="60" w:type="dxa"/>
              <w:end w:w="70" w:type="dxa"/>
            </w:tcMar>
          </w:tcPr>
          <w:p>
            <w:pPr>
              <w:pStyle w:val="TableText"/>
            </w:pPr>
            <w:r>
              <w:rPr>
                <w:sz w:val="14"/>
              </w:rPr>
              <w:t>Beam BigQueryIO</w:t>
            </w:r>
          </w:p>
        </w:tc>
        <w:tc>
          <w:tcPr>
            <w:tcW w:type="dxa" w:w="7344"/>
            <w:vAlign w:val="top"/>
            <w:tcMar>
              <w:top w:w="60" w:type="dxa"/>
              <w:start w:w="70" w:type="dxa"/>
              <w:bottom w:w="60" w:type="dxa"/>
              <w:end w:w="70" w:type="dxa"/>
            </w:tcMar>
          </w:tcPr>
          <w:p>
            <w:pPr>
              <w:pStyle w:val="TableText"/>
            </w:pPr>
            <w:r>
              <w:rPr>
                <w:sz w:val="14"/>
              </w:rPr>
              <w:t>Preferred integration from Dataflow</w:t>
            </w:r>
          </w:p>
        </w:tc>
      </w:tr>
      <w:tr>
        <w:trPr>
          <w:cantSplit/>
        </w:trPr>
        <w:tc>
          <w:tcPr>
            <w:tcW w:type="dxa" w:w="2880"/>
            <w:vAlign w:val="top"/>
            <w:tcMar>
              <w:top w:w="60" w:type="dxa"/>
              <w:start w:w="70" w:type="dxa"/>
              <w:bottom w:w="60" w:type="dxa"/>
              <w:end w:w="70" w:type="dxa"/>
            </w:tcMar>
            <w:shd w:fill="F8F9FA"/>
          </w:tcPr>
          <w:p>
            <w:pPr>
              <w:pStyle w:val="TableText"/>
            </w:pPr>
            <w:r>
              <w:rPr>
                <w:sz w:val="14"/>
              </w:rPr>
              <w:t>Validation</w:t>
            </w:r>
          </w:p>
        </w:tc>
        <w:tc>
          <w:tcPr>
            <w:tcW w:type="dxa" w:w="7344"/>
            <w:vAlign w:val="top"/>
            <w:tcMar>
              <w:top w:w="60" w:type="dxa"/>
              <w:start w:w="70" w:type="dxa"/>
              <w:bottom w:w="60" w:type="dxa"/>
              <w:end w:w="70" w:type="dxa"/>
            </w:tcMar>
            <w:shd w:fill="F8F9FA"/>
          </w:tcPr>
          <w:p>
            <w:pPr>
              <w:pStyle w:val="TableText"/>
            </w:pPr>
            <w:r>
              <w:rPr>
                <w:sz w:val="14"/>
              </w:rPr>
              <w:t>End-to-end duplicates and recovery tests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25. Orchestration, Dependency and Pipeline Metadata</w:t>
      </w:r>
    </w:p>
    <w:p>
      <w:r>
        <w:t>Dependencies are represented as data availability and contract conditions, not arbitrary sleeps. A central run ledger records pipeline ID, product, run ID, interval, source version, code artifact, configuration, timestamps, status, row counts, quality outcome, lineage reference and cost attribution.</w:t>
      </w:r>
    </w:p>
    <w:p>
      <w:pPr>
        <w:pStyle w:val="Heading2"/>
      </w:pPr>
      <w:r>
        <w:t>Mandatory design controls</w:t>
      </w:r>
    </w:p>
    <w:p>
      <w:pPr>
        <w:pStyle w:val="ListBullet"/>
        <w:spacing w:after="30"/>
      </w:pPr>
      <w:r>
        <w:t>Use data intervals and event triggers rather than wall-clock assumptions.</w:t>
      </w:r>
    </w:p>
    <w:p>
      <w:pPr>
        <w:pStyle w:val="ListBullet"/>
        <w:spacing w:after="30"/>
      </w:pPr>
      <w:r>
        <w:t>Do not create cyclic product dependencies.</w:t>
      </w:r>
    </w:p>
    <w:p>
      <w:pPr>
        <w:pStyle w:val="ListBullet"/>
        <w:spacing w:after="30"/>
      </w:pPr>
      <w:r>
        <w:t>Publish technical lineage and business run evidence.</w:t>
      </w:r>
    </w:p>
    <w:p>
      <w:pPr>
        <w:pStyle w:val="ListBullet"/>
        <w:spacing w:after="30"/>
      </w:pPr>
      <w:r>
        <w:t>Metadata writes must not expose sensitive payloads.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Metadata</w:t>
            </w:r>
          </w:p>
        </w:tc>
        <w:tc>
          <w:tcPr>
            <w:tcW w:type="dxa" w:w="7344"/>
            <w:vAlign w:val="top"/>
            <w:tcMar>
              <w:top w:w="60" w:type="dxa"/>
              <w:start w:w="70" w:type="dxa"/>
              <w:bottom w:w="60" w:type="dxa"/>
              <w:end w:w="70" w:type="dxa"/>
            </w:tcMar>
          </w:tcPr>
          <w:p>
            <w:pPr>
              <w:pStyle w:val="TableText"/>
            </w:pPr>
            <w:r>
              <w:rPr>
                <w:sz w:val="14"/>
              </w:rPr>
              <w:t>Purpose</w:t>
            </w:r>
          </w:p>
        </w:tc>
      </w:tr>
      <w:tr>
        <w:trPr>
          <w:cantSplit/>
        </w:trPr>
        <w:tc>
          <w:tcPr>
            <w:tcW w:type="dxa" w:w="2880"/>
            <w:vAlign w:val="top"/>
            <w:tcMar>
              <w:top w:w="60" w:type="dxa"/>
              <w:start w:w="70" w:type="dxa"/>
              <w:bottom w:w="60" w:type="dxa"/>
              <w:end w:w="70" w:type="dxa"/>
            </w:tcMar>
            <w:shd w:fill="F8F9FA"/>
          </w:tcPr>
          <w:p>
            <w:pPr>
              <w:pStyle w:val="TableText"/>
            </w:pPr>
            <w:r>
              <w:rPr>
                <w:sz w:val="14"/>
              </w:rPr>
              <w:t>Pipeline registry</w:t>
            </w:r>
          </w:p>
        </w:tc>
        <w:tc>
          <w:tcPr>
            <w:tcW w:type="dxa" w:w="7344"/>
            <w:vAlign w:val="top"/>
            <w:tcMar>
              <w:top w:w="60" w:type="dxa"/>
              <w:start w:w="70" w:type="dxa"/>
              <w:bottom w:w="60" w:type="dxa"/>
              <w:end w:w="70" w:type="dxa"/>
            </w:tcMar>
            <w:shd w:fill="F8F9FA"/>
          </w:tcPr>
          <w:p>
            <w:pPr>
              <w:pStyle w:val="TableText"/>
            </w:pPr>
            <w:r>
              <w:rPr>
                <w:sz w:val="14"/>
              </w:rPr>
              <w:t>Owner, tier, contract, runtime and dependencies</w:t>
            </w:r>
          </w:p>
        </w:tc>
      </w:tr>
      <w:tr>
        <w:trPr>
          <w:cantSplit/>
        </w:trPr>
        <w:tc>
          <w:tcPr>
            <w:tcW w:type="dxa" w:w="2880"/>
            <w:vAlign w:val="top"/>
            <w:tcMar>
              <w:top w:w="60" w:type="dxa"/>
              <w:start w:w="70" w:type="dxa"/>
              <w:bottom w:w="60" w:type="dxa"/>
              <w:end w:w="70" w:type="dxa"/>
            </w:tcMar>
          </w:tcPr>
          <w:p>
            <w:pPr>
              <w:pStyle w:val="TableText"/>
            </w:pPr>
            <w:r>
              <w:rPr>
                <w:sz w:val="14"/>
              </w:rPr>
              <w:t>Run ledger</w:t>
            </w:r>
          </w:p>
        </w:tc>
        <w:tc>
          <w:tcPr>
            <w:tcW w:type="dxa" w:w="7344"/>
            <w:vAlign w:val="top"/>
            <w:tcMar>
              <w:top w:w="60" w:type="dxa"/>
              <w:start w:w="70" w:type="dxa"/>
              <w:bottom w:w="60" w:type="dxa"/>
              <w:end w:w="70" w:type="dxa"/>
            </w:tcMar>
          </w:tcPr>
          <w:p>
            <w:pPr>
              <w:pStyle w:val="TableText"/>
            </w:pPr>
            <w:r>
              <w:rPr>
                <w:sz w:val="14"/>
              </w:rPr>
              <w:t>Audit, recovery and operational truth</w:t>
            </w:r>
          </w:p>
        </w:tc>
      </w:tr>
      <w:tr>
        <w:trPr>
          <w:cantSplit/>
        </w:trPr>
        <w:tc>
          <w:tcPr>
            <w:tcW w:type="dxa" w:w="2880"/>
            <w:vAlign w:val="top"/>
            <w:tcMar>
              <w:top w:w="60" w:type="dxa"/>
              <w:start w:w="70" w:type="dxa"/>
              <w:bottom w:w="60" w:type="dxa"/>
              <w:end w:w="70" w:type="dxa"/>
            </w:tcMar>
            <w:shd w:fill="F8F9FA"/>
          </w:tcPr>
          <w:p>
            <w:pPr>
              <w:pStyle w:val="TableText"/>
            </w:pPr>
            <w:r>
              <w:rPr>
                <w:sz w:val="14"/>
              </w:rPr>
              <w:t>Quality results</w:t>
            </w:r>
          </w:p>
        </w:tc>
        <w:tc>
          <w:tcPr>
            <w:tcW w:type="dxa" w:w="7344"/>
            <w:vAlign w:val="top"/>
            <w:tcMar>
              <w:top w:w="60" w:type="dxa"/>
              <w:start w:w="70" w:type="dxa"/>
              <w:bottom w:w="60" w:type="dxa"/>
              <w:end w:w="70" w:type="dxa"/>
            </w:tcMar>
            <w:shd w:fill="F8F9FA"/>
          </w:tcPr>
          <w:p>
            <w:pPr>
              <w:pStyle w:val="TableText"/>
            </w:pPr>
            <w:r>
              <w:rPr>
                <w:sz w:val="14"/>
              </w:rPr>
              <w:t>Certification and exception workflow</w:t>
            </w:r>
          </w:p>
        </w:tc>
      </w:tr>
      <w:tr>
        <w:trPr>
          <w:cantSplit/>
        </w:trPr>
        <w:tc>
          <w:tcPr>
            <w:tcW w:type="dxa" w:w="2880"/>
            <w:vAlign w:val="top"/>
            <w:tcMar>
              <w:top w:w="60" w:type="dxa"/>
              <w:start w:w="70" w:type="dxa"/>
              <w:bottom w:w="60" w:type="dxa"/>
              <w:end w:w="70" w:type="dxa"/>
            </w:tcMar>
          </w:tcPr>
          <w:p>
            <w:pPr>
              <w:pStyle w:val="TableText"/>
            </w:pPr>
            <w:r>
              <w:rPr>
                <w:sz w:val="14"/>
              </w:rPr>
              <w:t>Lineage</w:t>
            </w:r>
          </w:p>
        </w:tc>
        <w:tc>
          <w:tcPr>
            <w:tcW w:type="dxa" w:w="7344"/>
            <w:vAlign w:val="top"/>
            <w:tcMar>
              <w:top w:w="60" w:type="dxa"/>
              <w:start w:w="70" w:type="dxa"/>
              <w:bottom w:w="60" w:type="dxa"/>
              <w:end w:w="70" w:type="dxa"/>
            </w:tcMar>
          </w:tcPr>
          <w:p>
            <w:pPr>
              <w:pStyle w:val="TableText"/>
            </w:pPr>
            <w:r>
              <w:rPr>
                <w:sz w:val="14"/>
              </w:rPr>
              <w:t>Source-to-output impact analysis</w:t>
            </w:r>
          </w:p>
        </w:tc>
      </w:tr>
      <w:tr>
        <w:trPr>
          <w:cantSplit/>
        </w:trPr>
        <w:tc>
          <w:tcPr>
            <w:tcW w:type="dxa" w:w="2880"/>
            <w:vAlign w:val="top"/>
            <w:tcMar>
              <w:top w:w="60" w:type="dxa"/>
              <w:start w:w="70" w:type="dxa"/>
              <w:bottom w:w="60" w:type="dxa"/>
              <w:end w:w="70" w:type="dxa"/>
            </w:tcMar>
            <w:shd w:fill="F8F9FA"/>
          </w:tcPr>
          <w:p>
            <w:pPr>
              <w:pStyle w:val="TableText"/>
            </w:pPr>
            <w:r>
              <w:rPr>
                <w:sz w:val="14"/>
              </w:rPr>
              <w:t>Cost labels</w:t>
            </w:r>
          </w:p>
        </w:tc>
        <w:tc>
          <w:tcPr>
            <w:tcW w:type="dxa" w:w="7344"/>
            <w:vAlign w:val="top"/>
            <w:tcMar>
              <w:top w:w="60" w:type="dxa"/>
              <w:start w:w="70" w:type="dxa"/>
              <w:bottom w:w="60" w:type="dxa"/>
              <w:end w:w="70" w:type="dxa"/>
            </w:tcMar>
            <w:shd w:fill="F8F9FA"/>
          </w:tcPr>
          <w:p>
            <w:pPr>
              <w:pStyle w:val="TableText"/>
            </w:pPr>
            <w:r>
              <w:rPr>
                <w:sz w:val="14"/>
              </w:rPr>
              <w:t>Product/domain/environment allocation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26. Templates, Reusable Components and Standard Connectors</w:t>
      </w:r>
    </w:p>
    <w:p>
      <w:r>
        <w:t>Golden templates provide secure defaults for networking, identities, logging, labels, DLQ, run metadata and deployment. Reusable libraries implement contract parsing, standard error envelopes, metrics, tracing and BigQuery/Cloud Storage conventions. Teams can extend templates without forking the control surface.</w:t>
      </w:r>
    </w:p>
    <w:p>
      <w:pPr>
        <w:pStyle w:val="Heading2"/>
      </w:pPr>
      <w:r>
        <w:t>Mandatory design controls</w:t>
      </w:r>
    </w:p>
    <w:p>
      <w:pPr>
        <w:pStyle w:val="ListBullet"/>
        <w:spacing w:after="30"/>
      </w:pPr>
      <w:r>
        <w:t>Version templates semantically and publish migration notes.</w:t>
      </w:r>
    </w:p>
    <w:p>
      <w:pPr>
        <w:pStyle w:val="ListBullet"/>
        <w:spacing w:after="30"/>
      </w:pPr>
      <w:r>
        <w:t>Keep business transformation code outside platform plumbing where practical.</w:t>
      </w:r>
    </w:p>
    <w:p>
      <w:pPr>
        <w:pStyle w:val="ListBullet"/>
        <w:spacing w:after="30"/>
      </w:pPr>
      <w:r>
        <w:t>Test connector retry and schema behavior.</w:t>
      </w:r>
    </w:p>
    <w:p>
      <w:pPr>
        <w:pStyle w:val="ListBullet"/>
        <w:spacing w:after="30"/>
      </w:pPr>
      <w:r>
        <w:t>Retire unsupported template versions through a managed lifecycle.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Asset</w:t>
            </w:r>
          </w:p>
        </w:tc>
        <w:tc>
          <w:tcPr>
            <w:tcW w:type="dxa" w:w="7344"/>
            <w:vAlign w:val="top"/>
            <w:tcMar>
              <w:top w:w="60" w:type="dxa"/>
              <w:start w:w="70" w:type="dxa"/>
              <w:bottom w:w="60" w:type="dxa"/>
              <w:end w:w="70" w:type="dxa"/>
            </w:tcMar>
          </w:tcPr>
          <w:p>
            <w:pPr>
              <w:pStyle w:val="TableText"/>
            </w:pPr>
            <w:r>
              <w:rPr>
                <w:sz w:val="14"/>
              </w:rPr>
              <w:t>Ownership</w:t>
            </w:r>
          </w:p>
        </w:tc>
      </w:tr>
      <w:tr>
        <w:trPr>
          <w:cantSplit/>
        </w:trPr>
        <w:tc>
          <w:tcPr>
            <w:tcW w:type="dxa" w:w="2880"/>
            <w:vAlign w:val="top"/>
            <w:tcMar>
              <w:top w:w="60" w:type="dxa"/>
              <w:start w:w="70" w:type="dxa"/>
              <w:bottom w:w="60" w:type="dxa"/>
              <w:end w:w="70" w:type="dxa"/>
            </w:tcMar>
            <w:shd w:fill="F8F9FA"/>
          </w:tcPr>
          <w:p>
            <w:pPr>
              <w:pStyle w:val="TableText"/>
            </w:pPr>
            <w:r>
              <w:rPr>
                <w:sz w:val="14"/>
              </w:rPr>
              <w:t>Terraform module</w:t>
            </w:r>
          </w:p>
        </w:tc>
        <w:tc>
          <w:tcPr>
            <w:tcW w:type="dxa" w:w="7344"/>
            <w:vAlign w:val="top"/>
            <w:tcMar>
              <w:top w:w="60" w:type="dxa"/>
              <w:start w:w="70" w:type="dxa"/>
              <w:bottom w:w="60" w:type="dxa"/>
              <w:end w:w="70" w:type="dxa"/>
            </w:tcMar>
            <w:shd w:fill="F8F9FA"/>
          </w:tcPr>
          <w:p>
            <w:pPr>
              <w:pStyle w:val="TableText"/>
            </w:pPr>
            <w:r>
              <w:rPr>
                <w:sz w:val="14"/>
              </w:rPr>
              <w:t>Platform engineering</w:t>
            </w:r>
          </w:p>
        </w:tc>
      </w:tr>
      <w:tr>
        <w:trPr>
          <w:cantSplit/>
        </w:trPr>
        <w:tc>
          <w:tcPr>
            <w:tcW w:type="dxa" w:w="2880"/>
            <w:vAlign w:val="top"/>
            <w:tcMar>
              <w:top w:w="60" w:type="dxa"/>
              <w:start w:w="70" w:type="dxa"/>
              <w:bottom w:w="60" w:type="dxa"/>
              <w:end w:w="70" w:type="dxa"/>
            </w:tcMar>
          </w:tcPr>
          <w:p>
            <w:pPr>
              <w:pStyle w:val="TableText"/>
            </w:pPr>
            <w:r>
              <w:rPr>
                <w:sz w:val="14"/>
              </w:rPr>
              <w:t>Beam/Spark library</w:t>
            </w:r>
          </w:p>
        </w:tc>
        <w:tc>
          <w:tcPr>
            <w:tcW w:type="dxa" w:w="7344"/>
            <w:vAlign w:val="top"/>
            <w:tcMar>
              <w:top w:w="60" w:type="dxa"/>
              <w:start w:w="70" w:type="dxa"/>
              <w:bottom w:w="60" w:type="dxa"/>
              <w:end w:w="70" w:type="dxa"/>
            </w:tcMar>
          </w:tcPr>
          <w:p>
            <w:pPr>
              <w:pStyle w:val="TableText"/>
            </w:pPr>
            <w:r>
              <w:rPr>
                <w:sz w:val="14"/>
              </w:rPr>
              <w:t>Platform engineering with domain contributors</w:t>
            </w:r>
          </w:p>
        </w:tc>
      </w:tr>
      <w:tr>
        <w:trPr>
          <w:cantSplit/>
        </w:trPr>
        <w:tc>
          <w:tcPr>
            <w:tcW w:type="dxa" w:w="2880"/>
            <w:vAlign w:val="top"/>
            <w:tcMar>
              <w:top w:w="60" w:type="dxa"/>
              <w:start w:w="70" w:type="dxa"/>
              <w:bottom w:w="60" w:type="dxa"/>
              <w:end w:w="70" w:type="dxa"/>
            </w:tcMar>
            <w:shd w:fill="F8F9FA"/>
          </w:tcPr>
          <w:p>
            <w:pPr>
              <w:pStyle w:val="TableText"/>
            </w:pPr>
            <w:r>
              <w:rPr>
                <w:sz w:val="14"/>
              </w:rPr>
              <w:t>Pipeline template</w:t>
            </w:r>
          </w:p>
        </w:tc>
        <w:tc>
          <w:tcPr>
            <w:tcW w:type="dxa" w:w="7344"/>
            <w:vAlign w:val="top"/>
            <w:tcMar>
              <w:top w:w="60" w:type="dxa"/>
              <w:start w:w="70" w:type="dxa"/>
              <w:bottom w:w="60" w:type="dxa"/>
              <w:end w:w="70" w:type="dxa"/>
            </w:tcMar>
            <w:shd w:fill="F8F9FA"/>
          </w:tcPr>
          <w:p>
            <w:pPr>
              <w:pStyle w:val="TableText"/>
            </w:pPr>
            <w:r>
              <w:rPr>
                <w:sz w:val="14"/>
              </w:rPr>
              <w:t>Platform product team</w:t>
            </w:r>
          </w:p>
        </w:tc>
      </w:tr>
      <w:tr>
        <w:trPr>
          <w:cantSplit/>
        </w:trPr>
        <w:tc>
          <w:tcPr>
            <w:tcW w:type="dxa" w:w="2880"/>
            <w:vAlign w:val="top"/>
            <w:tcMar>
              <w:top w:w="60" w:type="dxa"/>
              <w:start w:w="70" w:type="dxa"/>
              <w:bottom w:w="60" w:type="dxa"/>
              <w:end w:w="70" w:type="dxa"/>
            </w:tcMar>
          </w:tcPr>
          <w:p>
            <w:pPr>
              <w:pStyle w:val="TableText"/>
            </w:pPr>
            <w:r>
              <w:rPr>
                <w:sz w:val="14"/>
              </w:rPr>
              <w:t>Business transform</w:t>
            </w:r>
          </w:p>
        </w:tc>
        <w:tc>
          <w:tcPr>
            <w:tcW w:type="dxa" w:w="7344"/>
            <w:vAlign w:val="top"/>
            <w:tcMar>
              <w:top w:w="60" w:type="dxa"/>
              <w:start w:w="70" w:type="dxa"/>
              <w:bottom w:w="60" w:type="dxa"/>
              <w:end w:w="70" w:type="dxa"/>
            </w:tcMar>
          </w:tcPr>
          <w:p>
            <w:pPr>
              <w:pStyle w:val="TableText"/>
            </w:pPr>
            <w:r>
              <w:rPr>
                <w:sz w:val="14"/>
              </w:rPr>
              <w:t>Domain product team</w:t>
            </w:r>
          </w:p>
        </w:tc>
      </w:tr>
      <w:tr>
        <w:trPr>
          <w:cantSplit/>
        </w:trPr>
        <w:tc>
          <w:tcPr>
            <w:tcW w:type="dxa" w:w="2880"/>
            <w:vAlign w:val="top"/>
            <w:tcMar>
              <w:top w:w="60" w:type="dxa"/>
              <w:start w:w="70" w:type="dxa"/>
              <w:bottom w:w="60" w:type="dxa"/>
              <w:end w:w="70" w:type="dxa"/>
            </w:tcMar>
            <w:shd w:fill="F8F9FA"/>
          </w:tcPr>
          <w:p>
            <w:pPr>
              <w:pStyle w:val="TableText"/>
            </w:pPr>
            <w:r>
              <w:rPr>
                <w:sz w:val="14"/>
              </w:rPr>
              <w:t>Connector certification</w:t>
            </w:r>
          </w:p>
        </w:tc>
        <w:tc>
          <w:tcPr>
            <w:tcW w:type="dxa" w:w="7344"/>
            <w:vAlign w:val="top"/>
            <w:tcMar>
              <w:top w:w="60" w:type="dxa"/>
              <w:start w:w="70" w:type="dxa"/>
              <w:bottom w:w="60" w:type="dxa"/>
              <w:end w:w="70" w:type="dxa"/>
            </w:tcMar>
            <w:shd w:fill="F8F9FA"/>
          </w:tcPr>
          <w:p>
            <w:pPr>
              <w:pStyle w:val="TableText"/>
            </w:pPr>
            <w:r>
              <w:rPr>
                <w:sz w:val="14"/>
              </w:rPr>
              <w:t>Platform, security and SRE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27. Error Handling, Retry, Dead Letter and Quarantine</w:t>
      </w:r>
    </w:p>
    <w:p>
      <w:r>
        <w:t>Errors are classified as transient, poison data, contract violation, dependency failure, capacity failure or security event. Only transient failures are blindly retryable. Non-retryable records are stored in restricted quarantine with reason code, contract version, source reference, checksum and replay status.</w:t>
      </w:r>
    </w:p>
    <w:p>
      <w:pPr>
        <w:pStyle w:val="Heading2"/>
      </w:pPr>
      <w:r>
        <w:t>Mandatory design controls</w:t>
      </w:r>
    </w:p>
    <w:p>
      <w:pPr>
        <w:pStyle w:val="ListBullet"/>
        <w:spacing w:after="30"/>
      </w:pPr>
      <w:r>
        <w:t>Use bounded exponential backoff with jitter and deadlines.</w:t>
      </w:r>
    </w:p>
    <w:p>
      <w:pPr>
        <w:pStyle w:val="ListBullet"/>
        <w:spacing w:after="30"/>
      </w:pPr>
      <w:r>
        <w:t>Preserve original record/object when policy permits; never log full sensitive payloads.</w:t>
      </w:r>
    </w:p>
    <w:p>
      <w:pPr>
        <w:pStyle w:val="ListBullet"/>
        <w:spacing w:after="30"/>
      </w:pPr>
      <w:r>
        <w:t>Alert on DLQ age and growth.</w:t>
      </w:r>
    </w:p>
    <w:p>
      <w:pPr>
        <w:pStyle w:val="ListBullet"/>
        <w:spacing w:after="30"/>
      </w:pPr>
      <w:r>
        <w:t>Quarantine access is more restrictive than normal landing access.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Class</w:t>
            </w:r>
          </w:p>
        </w:tc>
        <w:tc>
          <w:tcPr>
            <w:tcW w:type="dxa" w:w="7344"/>
            <w:vAlign w:val="top"/>
            <w:tcMar>
              <w:top w:w="60" w:type="dxa"/>
              <w:start w:w="70" w:type="dxa"/>
              <w:bottom w:w="60" w:type="dxa"/>
              <w:end w:w="70" w:type="dxa"/>
            </w:tcMar>
          </w:tcPr>
          <w:p>
            <w:pPr>
              <w:pStyle w:val="TableText"/>
            </w:pPr>
            <w:r>
              <w:rPr>
                <w:sz w:val="14"/>
              </w:rPr>
              <w:t>Response</w:t>
            </w:r>
          </w:p>
        </w:tc>
      </w:tr>
      <w:tr>
        <w:trPr>
          <w:cantSplit/>
        </w:trPr>
        <w:tc>
          <w:tcPr>
            <w:tcW w:type="dxa" w:w="2880"/>
            <w:vAlign w:val="top"/>
            <w:tcMar>
              <w:top w:w="60" w:type="dxa"/>
              <w:start w:w="70" w:type="dxa"/>
              <w:bottom w:w="60" w:type="dxa"/>
              <w:end w:w="70" w:type="dxa"/>
            </w:tcMar>
            <w:shd w:fill="F8F9FA"/>
          </w:tcPr>
          <w:p>
            <w:pPr>
              <w:pStyle w:val="TableText"/>
            </w:pPr>
            <w:r>
              <w:rPr>
                <w:sz w:val="14"/>
              </w:rPr>
              <w:t>Transient</w:t>
            </w:r>
          </w:p>
        </w:tc>
        <w:tc>
          <w:tcPr>
            <w:tcW w:type="dxa" w:w="7344"/>
            <w:vAlign w:val="top"/>
            <w:tcMar>
              <w:top w:w="60" w:type="dxa"/>
              <w:start w:w="70" w:type="dxa"/>
              <w:bottom w:w="60" w:type="dxa"/>
              <w:end w:w="70" w:type="dxa"/>
            </w:tcMar>
            <w:shd w:fill="F8F9FA"/>
          </w:tcPr>
          <w:p>
            <w:pPr>
              <w:pStyle w:val="TableText"/>
            </w:pPr>
            <w:r>
              <w:rPr>
                <w:sz w:val="14"/>
              </w:rPr>
              <w:t>Retry with bounded policy</w:t>
            </w:r>
          </w:p>
        </w:tc>
      </w:tr>
      <w:tr>
        <w:trPr>
          <w:cantSplit/>
        </w:trPr>
        <w:tc>
          <w:tcPr>
            <w:tcW w:type="dxa" w:w="2880"/>
            <w:vAlign w:val="top"/>
            <w:tcMar>
              <w:top w:w="60" w:type="dxa"/>
              <w:start w:w="70" w:type="dxa"/>
              <w:bottom w:w="60" w:type="dxa"/>
              <w:end w:w="70" w:type="dxa"/>
            </w:tcMar>
          </w:tcPr>
          <w:p>
            <w:pPr>
              <w:pStyle w:val="TableText"/>
            </w:pPr>
            <w:r>
              <w:rPr>
                <w:sz w:val="14"/>
              </w:rPr>
              <w:t>Poison record</w:t>
            </w:r>
          </w:p>
        </w:tc>
        <w:tc>
          <w:tcPr>
            <w:tcW w:type="dxa" w:w="7344"/>
            <w:vAlign w:val="top"/>
            <w:tcMar>
              <w:top w:w="60" w:type="dxa"/>
              <w:start w:w="70" w:type="dxa"/>
              <w:bottom w:w="60" w:type="dxa"/>
              <w:end w:w="70" w:type="dxa"/>
            </w:tcMar>
          </w:tcPr>
          <w:p>
            <w:pPr>
              <w:pStyle w:val="TableText"/>
            </w:pPr>
            <w:r>
              <w:rPr>
                <w:sz w:val="14"/>
              </w:rPr>
              <w:t>Quarantine/DLQ and acknowledge</w:t>
            </w:r>
          </w:p>
        </w:tc>
      </w:tr>
      <w:tr>
        <w:trPr>
          <w:cantSplit/>
        </w:trPr>
        <w:tc>
          <w:tcPr>
            <w:tcW w:type="dxa" w:w="2880"/>
            <w:vAlign w:val="top"/>
            <w:tcMar>
              <w:top w:w="60" w:type="dxa"/>
              <w:start w:w="70" w:type="dxa"/>
              <w:bottom w:w="60" w:type="dxa"/>
              <w:end w:w="70" w:type="dxa"/>
            </w:tcMar>
            <w:shd w:fill="F8F9FA"/>
          </w:tcPr>
          <w:p>
            <w:pPr>
              <w:pStyle w:val="TableText"/>
            </w:pPr>
            <w:r>
              <w:rPr>
                <w:sz w:val="14"/>
              </w:rPr>
              <w:t>Contract break</w:t>
            </w:r>
          </w:p>
        </w:tc>
        <w:tc>
          <w:tcPr>
            <w:tcW w:type="dxa" w:w="7344"/>
            <w:vAlign w:val="top"/>
            <w:tcMar>
              <w:top w:w="60" w:type="dxa"/>
              <w:start w:w="70" w:type="dxa"/>
              <w:bottom w:w="60" w:type="dxa"/>
              <w:end w:w="70" w:type="dxa"/>
            </w:tcMar>
            <w:shd w:fill="F8F9FA"/>
          </w:tcPr>
          <w:p>
            <w:pPr>
              <w:pStyle w:val="TableText"/>
            </w:pPr>
            <w:r>
              <w:rPr>
                <w:sz w:val="14"/>
              </w:rPr>
              <w:t>Stop affected path and notify producer</w:t>
            </w:r>
          </w:p>
        </w:tc>
      </w:tr>
      <w:tr>
        <w:trPr>
          <w:cantSplit/>
        </w:trPr>
        <w:tc>
          <w:tcPr>
            <w:tcW w:type="dxa" w:w="2880"/>
            <w:vAlign w:val="top"/>
            <w:tcMar>
              <w:top w:w="60" w:type="dxa"/>
              <w:start w:w="70" w:type="dxa"/>
              <w:bottom w:w="60" w:type="dxa"/>
              <w:end w:w="70" w:type="dxa"/>
            </w:tcMar>
          </w:tcPr>
          <w:p>
            <w:pPr>
              <w:pStyle w:val="TableText"/>
            </w:pPr>
            <w:r>
              <w:rPr>
                <w:sz w:val="14"/>
              </w:rPr>
              <w:t>Capacity/quota</w:t>
            </w:r>
          </w:p>
        </w:tc>
        <w:tc>
          <w:tcPr>
            <w:tcW w:type="dxa" w:w="7344"/>
            <w:vAlign w:val="top"/>
            <w:tcMar>
              <w:top w:w="60" w:type="dxa"/>
              <w:start w:w="70" w:type="dxa"/>
              <w:bottom w:w="60" w:type="dxa"/>
              <w:end w:w="70" w:type="dxa"/>
            </w:tcMar>
          </w:tcPr>
          <w:p>
            <w:pPr>
              <w:pStyle w:val="TableText"/>
            </w:pPr>
            <w:r>
              <w:rPr>
                <w:sz w:val="14"/>
              </w:rPr>
              <w:t>Throttle, scale or approved quota change</w:t>
            </w:r>
          </w:p>
        </w:tc>
      </w:tr>
      <w:tr>
        <w:trPr>
          <w:cantSplit/>
        </w:trPr>
        <w:tc>
          <w:tcPr>
            <w:tcW w:type="dxa" w:w="2880"/>
            <w:vAlign w:val="top"/>
            <w:tcMar>
              <w:top w:w="60" w:type="dxa"/>
              <w:start w:w="70" w:type="dxa"/>
              <w:bottom w:w="60" w:type="dxa"/>
              <w:end w:w="70" w:type="dxa"/>
            </w:tcMar>
            <w:shd w:fill="F8F9FA"/>
          </w:tcPr>
          <w:p>
            <w:pPr>
              <w:pStyle w:val="TableText"/>
            </w:pPr>
            <w:r>
              <w:rPr>
                <w:sz w:val="14"/>
              </w:rPr>
              <w:t>Security anomaly</w:t>
            </w:r>
          </w:p>
        </w:tc>
        <w:tc>
          <w:tcPr>
            <w:tcW w:type="dxa" w:w="7344"/>
            <w:vAlign w:val="top"/>
            <w:tcMar>
              <w:top w:w="60" w:type="dxa"/>
              <w:start w:w="70" w:type="dxa"/>
              <w:bottom w:w="60" w:type="dxa"/>
              <w:end w:w="70" w:type="dxa"/>
            </w:tcMar>
            <w:shd w:fill="F8F9FA"/>
          </w:tcPr>
          <w:p>
            <w:pPr>
              <w:pStyle w:val="TableText"/>
            </w:pPr>
            <w:r>
              <w:rPr>
                <w:sz w:val="14"/>
              </w:rPr>
              <w:t>Stop, preserve evidence and invoke incident process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28. Checkpointing, Schema Validation and Data Quality</w:t>
      </w:r>
    </w:p>
    <w:p>
      <w:r>
        <w:t>Checkpointing is handled by the execution engine where possible, while business checkpoints such as high-water marks and committed partitions are stored transactionally. Schema validation occurs at the boundary before broad propagation. Data-quality rules are layered from technical validity to business reconciliation and certification.</w:t>
      </w:r>
    </w:p>
    <w:p>
      <w:pPr>
        <w:pStyle w:val="Heading2"/>
      </w:pPr>
      <w:r>
        <w:t>Mandatory design controls</w:t>
      </w:r>
    </w:p>
    <w:p>
      <w:pPr>
        <w:pStyle w:val="ListBullet"/>
        <w:spacing w:after="30"/>
      </w:pPr>
      <w:r>
        <w:t>Schema compatibility policy is explicit: backward, forward or full.</w:t>
      </w:r>
    </w:p>
    <w:p>
      <w:pPr>
        <w:pStyle w:val="ListBullet"/>
        <w:spacing w:after="30"/>
      </w:pPr>
      <w:r>
        <w:t>Critical quality rules fail publication, not merely alert.</w:t>
      </w:r>
    </w:p>
    <w:p>
      <w:pPr>
        <w:pStyle w:val="ListBullet"/>
        <w:spacing w:after="30"/>
      </w:pPr>
      <w:r>
        <w:t>Reference datasets are versioned and included in lineage.</w:t>
      </w:r>
    </w:p>
    <w:p>
      <w:pPr>
        <w:pStyle w:val="ListBullet"/>
        <w:spacing w:after="30"/>
      </w:pPr>
      <w:r>
        <w:t>Quality exceptions have owner, expiry and consumer disclosure.</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Layer</w:t>
            </w:r>
          </w:p>
        </w:tc>
        <w:tc>
          <w:tcPr>
            <w:tcW w:type="dxa" w:w="7344"/>
            <w:vAlign w:val="top"/>
            <w:tcMar>
              <w:top w:w="60" w:type="dxa"/>
              <w:start w:w="70" w:type="dxa"/>
              <w:bottom w:w="60" w:type="dxa"/>
              <w:end w:w="70" w:type="dxa"/>
            </w:tcMar>
          </w:tcPr>
          <w:p>
            <w:pPr>
              <w:pStyle w:val="TableText"/>
            </w:pPr>
            <w:r>
              <w:rPr>
                <w:sz w:val="14"/>
              </w:rPr>
              <w:t>Examples</w:t>
            </w:r>
          </w:p>
        </w:tc>
      </w:tr>
      <w:tr>
        <w:trPr>
          <w:cantSplit/>
        </w:trPr>
        <w:tc>
          <w:tcPr>
            <w:tcW w:type="dxa" w:w="2880"/>
            <w:vAlign w:val="top"/>
            <w:tcMar>
              <w:top w:w="60" w:type="dxa"/>
              <w:start w:w="70" w:type="dxa"/>
              <w:bottom w:w="60" w:type="dxa"/>
              <w:end w:w="70" w:type="dxa"/>
            </w:tcMar>
            <w:shd w:fill="F8F9FA"/>
          </w:tcPr>
          <w:p>
            <w:pPr>
              <w:pStyle w:val="TableText"/>
            </w:pPr>
            <w:r>
              <w:rPr>
                <w:sz w:val="14"/>
              </w:rPr>
              <w:t>Boundary</w:t>
            </w:r>
          </w:p>
        </w:tc>
        <w:tc>
          <w:tcPr>
            <w:tcW w:type="dxa" w:w="7344"/>
            <w:vAlign w:val="top"/>
            <w:tcMar>
              <w:top w:w="60" w:type="dxa"/>
              <w:start w:w="70" w:type="dxa"/>
              <w:bottom w:w="60" w:type="dxa"/>
              <w:end w:w="70" w:type="dxa"/>
            </w:tcMar>
            <w:shd w:fill="F8F9FA"/>
          </w:tcPr>
          <w:p>
            <w:pPr>
              <w:pStyle w:val="TableText"/>
            </w:pPr>
            <w:r>
              <w:rPr>
                <w:sz w:val="14"/>
              </w:rPr>
              <w:t>Parse, types, required fields and contract version</w:t>
            </w:r>
          </w:p>
        </w:tc>
      </w:tr>
      <w:tr>
        <w:trPr>
          <w:cantSplit/>
        </w:trPr>
        <w:tc>
          <w:tcPr>
            <w:tcW w:type="dxa" w:w="2880"/>
            <w:vAlign w:val="top"/>
            <w:tcMar>
              <w:top w:w="60" w:type="dxa"/>
              <w:start w:w="70" w:type="dxa"/>
              <w:bottom w:w="60" w:type="dxa"/>
              <w:end w:w="70" w:type="dxa"/>
            </w:tcMar>
          </w:tcPr>
          <w:p>
            <w:pPr>
              <w:pStyle w:val="TableText"/>
            </w:pPr>
            <w:r>
              <w:rPr>
                <w:sz w:val="14"/>
              </w:rPr>
              <w:t>Standardized</w:t>
            </w:r>
          </w:p>
        </w:tc>
        <w:tc>
          <w:tcPr>
            <w:tcW w:type="dxa" w:w="7344"/>
            <w:vAlign w:val="top"/>
            <w:tcMar>
              <w:top w:w="60" w:type="dxa"/>
              <w:start w:w="70" w:type="dxa"/>
              <w:bottom w:w="60" w:type="dxa"/>
              <w:end w:w="70" w:type="dxa"/>
            </w:tcMar>
          </w:tcPr>
          <w:p>
            <w:pPr>
              <w:pStyle w:val="TableText"/>
            </w:pPr>
            <w:r>
              <w:rPr>
                <w:sz w:val="14"/>
              </w:rPr>
              <w:t>Domain formats, reference values and duplicate keys</w:t>
            </w:r>
          </w:p>
        </w:tc>
      </w:tr>
      <w:tr>
        <w:trPr>
          <w:cantSplit/>
        </w:trPr>
        <w:tc>
          <w:tcPr>
            <w:tcW w:type="dxa" w:w="2880"/>
            <w:vAlign w:val="top"/>
            <w:tcMar>
              <w:top w:w="60" w:type="dxa"/>
              <w:start w:w="70" w:type="dxa"/>
              <w:bottom w:w="60" w:type="dxa"/>
              <w:end w:w="70" w:type="dxa"/>
            </w:tcMar>
            <w:shd w:fill="F8F9FA"/>
          </w:tcPr>
          <w:p>
            <w:pPr>
              <w:pStyle w:val="TableText"/>
            </w:pPr>
            <w:r>
              <w:rPr>
                <w:sz w:val="14"/>
              </w:rPr>
              <w:t>Curated</w:t>
            </w:r>
          </w:p>
        </w:tc>
        <w:tc>
          <w:tcPr>
            <w:tcW w:type="dxa" w:w="7344"/>
            <w:vAlign w:val="top"/>
            <w:tcMar>
              <w:top w:w="60" w:type="dxa"/>
              <w:start w:w="70" w:type="dxa"/>
              <w:bottom w:w="60" w:type="dxa"/>
              <w:end w:w="70" w:type="dxa"/>
            </w:tcMar>
            <w:shd w:fill="F8F9FA"/>
          </w:tcPr>
          <w:p>
            <w:pPr>
              <w:pStyle w:val="TableText"/>
            </w:pPr>
            <w:r>
              <w:rPr>
                <w:sz w:val="14"/>
              </w:rPr>
              <w:t>Grain, uniqueness, relationships and business calculations</w:t>
            </w:r>
          </w:p>
        </w:tc>
      </w:tr>
      <w:tr>
        <w:trPr>
          <w:cantSplit/>
        </w:trPr>
        <w:tc>
          <w:tcPr>
            <w:tcW w:type="dxa" w:w="2880"/>
            <w:vAlign w:val="top"/>
            <w:tcMar>
              <w:top w:w="60" w:type="dxa"/>
              <w:start w:w="70" w:type="dxa"/>
              <w:bottom w:w="60" w:type="dxa"/>
              <w:end w:w="70" w:type="dxa"/>
            </w:tcMar>
          </w:tcPr>
          <w:p>
            <w:pPr>
              <w:pStyle w:val="TableText"/>
            </w:pPr>
            <w:r>
              <w:rPr>
                <w:sz w:val="14"/>
              </w:rPr>
              <w:t>Published</w:t>
            </w:r>
          </w:p>
        </w:tc>
        <w:tc>
          <w:tcPr>
            <w:tcW w:type="dxa" w:w="7344"/>
            <w:vAlign w:val="top"/>
            <w:tcMar>
              <w:top w:w="60" w:type="dxa"/>
              <w:start w:w="70" w:type="dxa"/>
              <w:bottom w:w="60" w:type="dxa"/>
              <w:end w:w="70" w:type="dxa"/>
            </w:tcMar>
          </w:tcPr>
          <w:p>
            <w:pPr>
              <w:pStyle w:val="TableText"/>
            </w:pPr>
            <w:r>
              <w:rPr>
                <w:sz w:val="14"/>
              </w:rPr>
              <w:t>Freshness, completeness, reconciliation and certification</w:t>
            </w:r>
          </w:p>
        </w:tc>
      </w:tr>
      <w:tr>
        <w:trPr>
          <w:cantSplit/>
        </w:trPr>
        <w:tc>
          <w:tcPr>
            <w:tcW w:type="dxa" w:w="2880"/>
            <w:vAlign w:val="top"/>
            <w:tcMar>
              <w:top w:w="60" w:type="dxa"/>
              <w:start w:w="70" w:type="dxa"/>
              <w:bottom w:w="60" w:type="dxa"/>
              <w:end w:w="70" w:type="dxa"/>
            </w:tcMar>
            <w:shd w:fill="F8F9FA"/>
          </w:tcPr>
          <w:p>
            <w:pPr>
              <w:pStyle w:val="TableText"/>
            </w:pPr>
            <w:r>
              <w:rPr>
                <w:sz w:val="14"/>
              </w:rPr>
              <w:t>Operational</w:t>
            </w:r>
          </w:p>
        </w:tc>
        <w:tc>
          <w:tcPr>
            <w:tcW w:type="dxa" w:w="7344"/>
            <w:vAlign w:val="top"/>
            <w:tcMar>
              <w:top w:w="60" w:type="dxa"/>
              <w:start w:w="70" w:type="dxa"/>
              <w:bottom w:w="60" w:type="dxa"/>
              <w:end w:w="70" w:type="dxa"/>
            </w:tcMar>
            <w:shd w:fill="F8F9FA"/>
          </w:tcPr>
          <w:p>
            <w:pPr>
              <w:pStyle w:val="TableText"/>
            </w:pPr>
            <w:r>
              <w:rPr>
                <w:sz w:val="14"/>
              </w:rPr>
              <w:t>Quarantine age, exception backlog and rule runtime</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29. Pipeline Observability and SLOs</w:t>
      </w:r>
    </w:p>
    <w:p>
      <w:r>
        <w:t>Observability combines infrastructure, execution, data and product signals. Job success alone is insufficient. The platform measures input arrival, backlog, watermark, processing latency, output freshness, completeness, quality, reconciliation, failed records, resource saturation and unit cost.</w:t>
      </w:r>
    </w:p>
    <w:p>
      <w:pPr>
        <w:pStyle w:val="Heading2"/>
      </w:pPr>
      <w:r>
        <w:t>Mandatory design controls</w:t>
      </w:r>
    </w:p>
    <w:p>
      <w:pPr>
        <w:pStyle w:val="ListBullet"/>
        <w:spacing w:after="30"/>
      </w:pPr>
      <w:r>
        <w:t>Every alert maps to a runbook and named owner.</w:t>
      </w:r>
    </w:p>
    <w:p>
      <w:pPr>
        <w:pStyle w:val="ListBullet"/>
        <w:spacing w:after="30"/>
      </w:pPr>
      <w:r>
        <w:t>Page only on user-impacting or rapidly worsening conditions.</w:t>
      </w:r>
    </w:p>
    <w:p>
      <w:pPr>
        <w:pStyle w:val="ListBullet"/>
        <w:spacing w:after="30"/>
      </w:pPr>
      <w:r>
        <w:t>Use error budgets to govern release pace and reliability work.</w:t>
      </w:r>
    </w:p>
    <w:p>
      <w:pPr>
        <w:pStyle w:val="ListBullet"/>
        <w:spacing w:after="30"/>
      </w:pPr>
      <w:r>
        <w:t>Correlate run ID and trace context across orchestration and processing.</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SLI</w:t>
            </w:r>
          </w:p>
        </w:tc>
        <w:tc>
          <w:tcPr>
            <w:tcW w:type="dxa" w:w="7344"/>
            <w:vAlign w:val="top"/>
            <w:tcMar>
              <w:top w:w="60" w:type="dxa"/>
              <w:start w:w="70" w:type="dxa"/>
              <w:bottom w:w="60" w:type="dxa"/>
              <w:end w:w="70" w:type="dxa"/>
            </w:tcMar>
          </w:tcPr>
          <w:p>
            <w:pPr>
              <w:pStyle w:val="TableText"/>
            </w:pPr>
            <w:r>
              <w:rPr>
                <w:sz w:val="14"/>
              </w:rPr>
              <w:t>Example</w:t>
            </w:r>
          </w:p>
        </w:tc>
      </w:tr>
      <w:tr>
        <w:trPr>
          <w:cantSplit/>
        </w:trPr>
        <w:tc>
          <w:tcPr>
            <w:tcW w:type="dxa" w:w="2880"/>
            <w:vAlign w:val="top"/>
            <w:tcMar>
              <w:top w:w="60" w:type="dxa"/>
              <w:start w:w="70" w:type="dxa"/>
              <w:bottom w:w="60" w:type="dxa"/>
              <w:end w:w="70" w:type="dxa"/>
            </w:tcMar>
            <w:shd w:fill="F8F9FA"/>
          </w:tcPr>
          <w:p>
            <w:pPr>
              <w:pStyle w:val="TableText"/>
            </w:pPr>
            <w:r>
              <w:rPr>
                <w:sz w:val="14"/>
              </w:rPr>
              <w:t>Availability</w:t>
            </w:r>
          </w:p>
        </w:tc>
        <w:tc>
          <w:tcPr>
            <w:tcW w:type="dxa" w:w="7344"/>
            <w:vAlign w:val="top"/>
            <w:tcMar>
              <w:top w:w="60" w:type="dxa"/>
              <w:start w:w="70" w:type="dxa"/>
              <w:bottom w:w="60" w:type="dxa"/>
              <w:end w:w="70" w:type="dxa"/>
            </w:tcMar>
            <w:shd w:fill="F8F9FA"/>
          </w:tcPr>
          <w:p>
            <w:pPr>
              <w:pStyle w:val="TableText"/>
            </w:pPr>
            <w:r>
              <w:rPr>
                <w:sz w:val="14"/>
              </w:rPr>
              <w:t>Successful publication windows / expected windows</w:t>
            </w:r>
          </w:p>
        </w:tc>
      </w:tr>
      <w:tr>
        <w:trPr>
          <w:cantSplit/>
        </w:trPr>
        <w:tc>
          <w:tcPr>
            <w:tcW w:type="dxa" w:w="2880"/>
            <w:vAlign w:val="top"/>
            <w:tcMar>
              <w:top w:w="60" w:type="dxa"/>
              <w:start w:w="70" w:type="dxa"/>
              <w:bottom w:w="60" w:type="dxa"/>
              <w:end w:w="70" w:type="dxa"/>
            </w:tcMar>
          </w:tcPr>
          <w:p>
            <w:pPr>
              <w:pStyle w:val="TableText"/>
            </w:pPr>
            <w:r>
              <w:rPr>
                <w:sz w:val="14"/>
              </w:rPr>
              <w:t>Freshness</w:t>
            </w:r>
          </w:p>
        </w:tc>
        <w:tc>
          <w:tcPr>
            <w:tcW w:type="dxa" w:w="7344"/>
            <w:vAlign w:val="top"/>
            <w:tcMar>
              <w:top w:w="60" w:type="dxa"/>
              <w:start w:w="70" w:type="dxa"/>
              <w:bottom w:w="60" w:type="dxa"/>
              <w:end w:w="70" w:type="dxa"/>
            </w:tcMar>
          </w:tcPr>
          <w:p>
            <w:pPr>
              <w:pStyle w:val="TableText"/>
            </w:pPr>
            <w:r>
              <w:rPr>
                <w:sz w:val="14"/>
              </w:rPr>
              <w:t>Publication time minus source event/change time</w:t>
            </w:r>
          </w:p>
        </w:tc>
      </w:tr>
      <w:tr>
        <w:trPr>
          <w:cantSplit/>
        </w:trPr>
        <w:tc>
          <w:tcPr>
            <w:tcW w:type="dxa" w:w="2880"/>
            <w:vAlign w:val="top"/>
            <w:tcMar>
              <w:top w:w="60" w:type="dxa"/>
              <w:start w:w="70" w:type="dxa"/>
              <w:bottom w:w="60" w:type="dxa"/>
              <w:end w:w="70" w:type="dxa"/>
            </w:tcMar>
            <w:shd w:fill="F8F9FA"/>
          </w:tcPr>
          <w:p>
            <w:pPr>
              <w:pStyle w:val="TableText"/>
            </w:pPr>
            <w:r>
              <w:rPr>
                <w:sz w:val="14"/>
              </w:rPr>
              <w:t>Completeness</w:t>
            </w:r>
          </w:p>
        </w:tc>
        <w:tc>
          <w:tcPr>
            <w:tcW w:type="dxa" w:w="7344"/>
            <w:vAlign w:val="top"/>
            <w:tcMar>
              <w:top w:w="60" w:type="dxa"/>
              <w:start w:w="70" w:type="dxa"/>
              <w:bottom w:w="60" w:type="dxa"/>
              <w:end w:w="70" w:type="dxa"/>
            </w:tcMar>
            <w:shd w:fill="F8F9FA"/>
          </w:tcPr>
          <w:p>
            <w:pPr>
              <w:pStyle w:val="TableText"/>
            </w:pPr>
            <w:r>
              <w:rPr>
                <w:sz w:val="14"/>
              </w:rPr>
              <w:t>Accepted expected records or control total ratio</w:t>
            </w:r>
          </w:p>
        </w:tc>
      </w:tr>
      <w:tr>
        <w:trPr>
          <w:cantSplit/>
        </w:trPr>
        <w:tc>
          <w:tcPr>
            <w:tcW w:type="dxa" w:w="2880"/>
            <w:vAlign w:val="top"/>
            <w:tcMar>
              <w:top w:w="60" w:type="dxa"/>
              <w:start w:w="70" w:type="dxa"/>
              <w:bottom w:w="60" w:type="dxa"/>
              <w:end w:w="70" w:type="dxa"/>
            </w:tcMar>
          </w:tcPr>
          <w:p>
            <w:pPr>
              <w:pStyle w:val="TableText"/>
            </w:pPr>
            <w:r>
              <w:rPr>
                <w:sz w:val="14"/>
              </w:rPr>
              <w:t>Quality</w:t>
            </w:r>
          </w:p>
        </w:tc>
        <w:tc>
          <w:tcPr>
            <w:tcW w:type="dxa" w:w="7344"/>
            <w:vAlign w:val="top"/>
            <w:tcMar>
              <w:top w:w="60" w:type="dxa"/>
              <w:start w:w="70" w:type="dxa"/>
              <w:bottom w:w="60" w:type="dxa"/>
              <w:end w:w="70" w:type="dxa"/>
            </w:tcMar>
          </w:tcPr>
          <w:p>
            <w:pPr>
              <w:pStyle w:val="TableText"/>
            </w:pPr>
            <w:r>
              <w:rPr>
                <w:sz w:val="14"/>
              </w:rPr>
              <w:t>Critical rule pass ratio</w:t>
            </w:r>
          </w:p>
        </w:tc>
      </w:tr>
      <w:tr>
        <w:trPr>
          <w:cantSplit/>
        </w:trPr>
        <w:tc>
          <w:tcPr>
            <w:tcW w:type="dxa" w:w="2880"/>
            <w:vAlign w:val="top"/>
            <w:tcMar>
              <w:top w:w="60" w:type="dxa"/>
              <w:start w:w="70" w:type="dxa"/>
              <w:bottom w:w="60" w:type="dxa"/>
              <w:end w:w="70" w:type="dxa"/>
            </w:tcMar>
            <w:shd w:fill="F8F9FA"/>
          </w:tcPr>
          <w:p>
            <w:pPr>
              <w:pStyle w:val="TableText"/>
            </w:pPr>
            <w:r>
              <w:rPr>
                <w:sz w:val="14"/>
              </w:rPr>
              <w:t>Recovery</w:t>
            </w:r>
          </w:p>
        </w:tc>
        <w:tc>
          <w:tcPr>
            <w:tcW w:type="dxa" w:w="7344"/>
            <w:vAlign w:val="top"/>
            <w:tcMar>
              <w:top w:w="60" w:type="dxa"/>
              <w:start w:w="70" w:type="dxa"/>
              <w:bottom w:w="60" w:type="dxa"/>
              <w:end w:w="70" w:type="dxa"/>
            </w:tcMar>
            <w:shd w:fill="F8F9FA"/>
          </w:tcPr>
          <w:p>
            <w:pPr>
              <w:pStyle w:val="TableText"/>
            </w:pPr>
            <w:r>
              <w:rPr>
                <w:sz w:val="14"/>
              </w:rPr>
              <w:t>Time from incident declaration to certified restoration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30. Performance and Cost Optimization</w:t>
      </w:r>
    </w:p>
    <w:p>
      <w:r>
        <w:t>Performance tuning starts with data shape, partitioning, skew and connector semantics. Cost optimization preserves SLO and correctness; it does not disable necessary controls. Each pipeline reports units such as cost per GB processed, per million events, per completed partition or per certified product refresh.</w:t>
      </w:r>
    </w:p>
    <w:p>
      <w:pPr>
        <w:pStyle w:val="Heading2"/>
      </w:pPr>
      <w:r>
        <w:t>Mandatory design controls</w:t>
      </w:r>
    </w:p>
    <w:p>
      <w:pPr>
        <w:pStyle w:val="ListBullet"/>
        <w:spacing w:after="30"/>
      </w:pPr>
      <w:r>
        <w:t>Benchmark representative production distributions, not small uniform samples.</w:t>
      </w:r>
    </w:p>
    <w:p>
      <w:pPr>
        <w:pStyle w:val="ListBullet"/>
        <w:spacing w:after="30"/>
      </w:pPr>
      <w:r>
        <w:t>Separate live streaming capacity from backfill capacity.</w:t>
      </w:r>
    </w:p>
    <w:p>
      <w:pPr>
        <w:pStyle w:val="ListBullet"/>
        <w:spacing w:after="30"/>
      </w:pPr>
      <w:r>
        <w:t>Prune columns/partitions early and avoid repeated serialization.</w:t>
      </w:r>
    </w:p>
    <w:p>
      <w:pPr>
        <w:pStyle w:val="ListBullet"/>
        <w:spacing w:after="30"/>
      </w:pPr>
      <w:r>
        <w:t>Control logging volume and metric cardinality.</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Service</w:t>
            </w:r>
          </w:p>
        </w:tc>
        <w:tc>
          <w:tcPr>
            <w:tcW w:type="dxa" w:w="7344"/>
            <w:vAlign w:val="top"/>
            <w:tcMar>
              <w:top w:w="60" w:type="dxa"/>
              <w:start w:w="70" w:type="dxa"/>
              <w:bottom w:w="60" w:type="dxa"/>
              <w:end w:w="70" w:type="dxa"/>
            </w:tcMar>
          </w:tcPr>
          <w:p>
            <w:pPr>
              <w:pStyle w:val="TableText"/>
            </w:pPr>
            <w:r>
              <w:rPr>
                <w:sz w:val="14"/>
              </w:rPr>
              <w:t>Primary tuning</w:t>
            </w:r>
          </w:p>
        </w:tc>
      </w:tr>
      <w:tr>
        <w:trPr>
          <w:cantSplit/>
        </w:trPr>
        <w:tc>
          <w:tcPr>
            <w:tcW w:type="dxa" w:w="2880"/>
            <w:vAlign w:val="top"/>
            <w:tcMar>
              <w:top w:w="60" w:type="dxa"/>
              <w:start w:w="70" w:type="dxa"/>
              <w:bottom w:w="60" w:type="dxa"/>
              <w:end w:w="70" w:type="dxa"/>
            </w:tcMar>
            <w:shd w:fill="F8F9FA"/>
          </w:tcPr>
          <w:p>
            <w:pPr>
              <w:pStyle w:val="TableText"/>
            </w:pPr>
            <w:r>
              <w:rPr>
                <w:sz w:val="14"/>
              </w:rPr>
              <w:t>Dataflow</w:t>
            </w:r>
          </w:p>
        </w:tc>
        <w:tc>
          <w:tcPr>
            <w:tcW w:type="dxa" w:w="7344"/>
            <w:vAlign w:val="top"/>
            <w:tcMar>
              <w:top w:w="60" w:type="dxa"/>
              <w:start w:w="70" w:type="dxa"/>
              <w:bottom w:w="60" w:type="dxa"/>
              <w:end w:w="70" w:type="dxa"/>
            </w:tcMar>
            <w:shd w:fill="F8F9FA"/>
          </w:tcPr>
          <w:p>
            <w:pPr>
              <w:pStyle w:val="TableText"/>
            </w:pPr>
            <w:r>
              <w:rPr>
                <w:sz w:val="14"/>
              </w:rPr>
              <w:t>Autoscaling, worker type, hot keys, shuffle, connector mode</w:t>
            </w:r>
          </w:p>
        </w:tc>
      </w:tr>
      <w:tr>
        <w:trPr>
          <w:cantSplit/>
        </w:trPr>
        <w:tc>
          <w:tcPr>
            <w:tcW w:type="dxa" w:w="2880"/>
            <w:vAlign w:val="top"/>
            <w:tcMar>
              <w:top w:w="60" w:type="dxa"/>
              <w:start w:w="70" w:type="dxa"/>
              <w:bottom w:w="60" w:type="dxa"/>
              <w:end w:w="70" w:type="dxa"/>
            </w:tcMar>
          </w:tcPr>
          <w:p>
            <w:pPr>
              <w:pStyle w:val="TableText"/>
            </w:pPr>
            <w:r>
              <w:rPr>
                <w:sz w:val="14"/>
              </w:rPr>
              <w:t>Spark</w:t>
            </w:r>
          </w:p>
        </w:tc>
        <w:tc>
          <w:tcPr>
            <w:tcW w:type="dxa" w:w="7344"/>
            <w:vAlign w:val="top"/>
            <w:tcMar>
              <w:top w:w="60" w:type="dxa"/>
              <w:start w:w="70" w:type="dxa"/>
              <w:bottom w:w="60" w:type="dxa"/>
              <w:end w:w="70" w:type="dxa"/>
            </w:tcMar>
          </w:tcPr>
          <w:p>
            <w:pPr>
              <w:pStyle w:val="TableText"/>
            </w:pPr>
            <w:r>
              <w:rPr>
                <w:sz w:val="14"/>
              </w:rPr>
              <w:t>Executor sizing, partitions, shuffle, skew and caching</w:t>
            </w:r>
          </w:p>
        </w:tc>
      </w:tr>
      <w:tr>
        <w:trPr>
          <w:cantSplit/>
        </w:trPr>
        <w:tc>
          <w:tcPr>
            <w:tcW w:type="dxa" w:w="2880"/>
            <w:vAlign w:val="top"/>
            <w:tcMar>
              <w:top w:w="60" w:type="dxa"/>
              <w:start w:w="70" w:type="dxa"/>
              <w:bottom w:w="60" w:type="dxa"/>
              <w:end w:w="70" w:type="dxa"/>
            </w:tcMar>
            <w:shd w:fill="F8F9FA"/>
          </w:tcPr>
          <w:p>
            <w:pPr>
              <w:pStyle w:val="TableText"/>
            </w:pPr>
            <w:r>
              <w:rPr>
                <w:sz w:val="14"/>
              </w:rPr>
              <w:t>BigQuery</w:t>
            </w:r>
          </w:p>
        </w:tc>
        <w:tc>
          <w:tcPr>
            <w:tcW w:type="dxa" w:w="7344"/>
            <w:vAlign w:val="top"/>
            <w:tcMar>
              <w:top w:w="60" w:type="dxa"/>
              <w:start w:w="70" w:type="dxa"/>
              <w:bottom w:w="60" w:type="dxa"/>
              <w:end w:w="70" w:type="dxa"/>
            </w:tcMar>
            <w:shd w:fill="F8F9FA"/>
          </w:tcPr>
          <w:p>
            <w:pPr>
              <w:pStyle w:val="TableText"/>
            </w:pPr>
            <w:r>
              <w:rPr>
                <w:sz w:val="14"/>
              </w:rPr>
              <w:t>Partition/cluster, incremental SQL, slots/reservations</w:t>
            </w:r>
          </w:p>
        </w:tc>
      </w:tr>
      <w:tr>
        <w:trPr>
          <w:cantSplit/>
        </w:trPr>
        <w:tc>
          <w:tcPr>
            <w:tcW w:type="dxa" w:w="2880"/>
            <w:vAlign w:val="top"/>
            <w:tcMar>
              <w:top w:w="60" w:type="dxa"/>
              <w:start w:w="70" w:type="dxa"/>
              <w:bottom w:w="60" w:type="dxa"/>
              <w:end w:w="70" w:type="dxa"/>
            </w:tcMar>
          </w:tcPr>
          <w:p>
            <w:pPr>
              <w:pStyle w:val="TableText"/>
            </w:pPr>
            <w:r>
              <w:rPr>
                <w:sz w:val="14"/>
              </w:rPr>
              <w:t>Pub/Sub</w:t>
            </w:r>
          </w:p>
        </w:tc>
        <w:tc>
          <w:tcPr>
            <w:tcW w:type="dxa" w:w="7344"/>
            <w:vAlign w:val="top"/>
            <w:tcMar>
              <w:top w:w="60" w:type="dxa"/>
              <w:start w:w="70" w:type="dxa"/>
              <w:bottom w:w="60" w:type="dxa"/>
              <w:end w:w="70" w:type="dxa"/>
            </w:tcMar>
          </w:tcPr>
          <w:p>
            <w:pPr>
              <w:pStyle w:val="TableText"/>
            </w:pPr>
            <w:r>
              <w:rPr>
                <w:sz w:val="14"/>
              </w:rPr>
              <w:t>Batching, flow control, retention and fan-out</w:t>
            </w:r>
          </w:p>
        </w:tc>
      </w:tr>
      <w:tr>
        <w:trPr>
          <w:cantSplit/>
        </w:trPr>
        <w:tc>
          <w:tcPr>
            <w:tcW w:type="dxa" w:w="2880"/>
            <w:vAlign w:val="top"/>
            <w:tcMar>
              <w:top w:w="60" w:type="dxa"/>
              <w:start w:w="70" w:type="dxa"/>
              <w:bottom w:w="60" w:type="dxa"/>
              <w:end w:w="70" w:type="dxa"/>
            </w:tcMar>
            <w:shd w:fill="F8F9FA"/>
          </w:tcPr>
          <w:p>
            <w:pPr>
              <w:pStyle w:val="TableText"/>
            </w:pPr>
            <w:r>
              <w:rPr>
                <w:sz w:val="14"/>
              </w:rPr>
              <w:t>Airflow</w:t>
            </w:r>
          </w:p>
        </w:tc>
        <w:tc>
          <w:tcPr>
            <w:tcW w:type="dxa" w:w="7344"/>
            <w:vAlign w:val="top"/>
            <w:tcMar>
              <w:top w:w="60" w:type="dxa"/>
              <w:start w:w="70" w:type="dxa"/>
              <w:bottom w:w="60" w:type="dxa"/>
              <w:end w:w="70" w:type="dxa"/>
            </w:tcMar>
            <w:shd w:fill="F8F9FA"/>
          </w:tcPr>
          <w:p>
            <w:pPr>
              <w:pStyle w:val="TableText"/>
            </w:pPr>
            <w:r>
              <w:rPr>
                <w:sz w:val="14"/>
              </w:rPr>
              <w:t>Scheduler/worker size, pools, deferrable waits</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31. Security, Privacy and Compliance</w:t>
      </w:r>
    </w:p>
    <w:p>
      <w:r>
        <w:t>Pipeline security applies Zero Trust to human, workload, network and data access. Each runtime uses a dedicated identity with only required source and target permissions. Sensitive data is minimized, tokenized or masked before broad exposure. Service perimeters and private access restrict exfiltration paths where supported.</w:t>
      </w:r>
    </w:p>
    <w:p>
      <w:pPr>
        <w:pStyle w:val="Heading2"/>
      </w:pPr>
      <w:r>
        <w:t>Mandatory design controls</w:t>
      </w:r>
    </w:p>
    <w:p>
      <w:pPr>
        <w:pStyle w:val="ListBullet"/>
        <w:spacing w:after="30"/>
      </w:pPr>
      <w:r>
        <w:t>No user-managed service account keys.</w:t>
      </w:r>
    </w:p>
    <w:p>
      <w:pPr>
        <w:pStyle w:val="ListBullet"/>
        <w:spacing w:after="30"/>
      </w:pPr>
      <w:r>
        <w:t>Secrets are resolved from Secret Manager at runtime.</w:t>
      </w:r>
    </w:p>
    <w:p>
      <w:pPr>
        <w:pStyle w:val="ListBullet"/>
        <w:spacing w:after="30"/>
      </w:pPr>
      <w:r>
        <w:t>CMEK is applied by classification and validated service support.</w:t>
      </w:r>
    </w:p>
    <w:p>
      <w:pPr>
        <w:pStyle w:val="ListBullet"/>
        <w:spacing w:after="30"/>
      </w:pPr>
      <w:r>
        <w:t>Audit logs, code approvals and run evidence support regulated review.</w:t>
      </w:r>
    </w:p>
    <w:p>
      <w:pPr>
        <w:pStyle w:val="ListBullet"/>
        <w:spacing w:after="30"/>
      </w:pPr>
      <w:r>
        <w:t>Privacy deletion and legal hold propagate through derived products and replay stores.</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Boundary</w:t>
            </w:r>
          </w:p>
        </w:tc>
        <w:tc>
          <w:tcPr>
            <w:tcW w:type="dxa" w:w="7344"/>
            <w:vAlign w:val="top"/>
            <w:tcMar>
              <w:top w:w="60" w:type="dxa"/>
              <w:start w:w="70" w:type="dxa"/>
              <w:bottom w:w="60" w:type="dxa"/>
              <w:end w:w="70" w:type="dxa"/>
            </w:tcMar>
          </w:tcPr>
          <w:p>
            <w:pPr>
              <w:pStyle w:val="TableText"/>
            </w:pPr>
            <w:r>
              <w:rPr>
                <w:sz w:val="14"/>
              </w:rPr>
              <w:t>Control</w:t>
            </w:r>
          </w:p>
        </w:tc>
      </w:tr>
      <w:tr>
        <w:trPr>
          <w:cantSplit/>
        </w:trPr>
        <w:tc>
          <w:tcPr>
            <w:tcW w:type="dxa" w:w="2880"/>
            <w:vAlign w:val="top"/>
            <w:tcMar>
              <w:top w:w="60" w:type="dxa"/>
              <w:start w:w="70" w:type="dxa"/>
              <w:bottom w:w="60" w:type="dxa"/>
              <w:end w:w="70" w:type="dxa"/>
            </w:tcMar>
            <w:shd w:fill="F8F9FA"/>
          </w:tcPr>
          <w:p>
            <w:pPr>
              <w:pStyle w:val="TableText"/>
            </w:pPr>
            <w:r>
              <w:rPr>
                <w:sz w:val="14"/>
              </w:rPr>
              <w:t>Identity</w:t>
            </w:r>
          </w:p>
        </w:tc>
        <w:tc>
          <w:tcPr>
            <w:tcW w:type="dxa" w:w="7344"/>
            <w:vAlign w:val="top"/>
            <w:tcMar>
              <w:top w:w="60" w:type="dxa"/>
              <w:start w:w="70" w:type="dxa"/>
              <w:bottom w:w="60" w:type="dxa"/>
              <w:end w:w="70" w:type="dxa"/>
            </w:tcMar>
            <w:shd w:fill="F8F9FA"/>
          </w:tcPr>
          <w:p>
            <w:pPr>
              <w:pStyle w:val="TableText"/>
            </w:pPr>
            <w:r>
              <w:rPr>
                <w:sz w:val="14"/>
              </w:rPr>
              <w:t>Federation, impersonation and dedicated runtime SA</w:t>
            </w:r>
          </w:p>
        </w:tc>
      </w:tr>
      <w:tr>
        <w:trPr>
          <w:cantSplit/>
        </w:trPr>
        <w:tc>
          <w:tcPr>
            <w:tcW w:type="dxa" w:w="2880"/>
            <w:vAlign w:val="top"/>
            <w:tcMar>
              <w:top w:w="60" w:type="dxa"/>
              <w:start w:w="70" w:type="dxa"/>
              <w:bottom w:w="60" w:type="dxa"/>
              <w:end w:w="70" w:type="dxa"/>
            </w:tcMar>
          </w:tcPr>
          <w:p>
            <w:pPr>
              <w:pStyle w:val="TableText"/>
            </w:pPr>
            <w:r>
              <w:rPr>
                <w:sz w:val="14"/>
              </w:rPr>
              <w:t>Network</w:t>
            </w:r>
          </w:p>
        </w:tc>
        <w:tc>
          <w:tcPr>
            <w:tcW w:type="dxa" w:w="7344"/>
            <w:vAlign w:val="top"/>
            <w:tcMar>
              <w:top w:w="60" w:type="dxa"/>
              <w:start w:w="70" w:type="dxa"/>
              <w:bottom w:w="60" w:type="dxa"/>
              <w:end w:w="70" w:type="dxa"/>
            </w:tcMar>
          </w:tcPr>
          <w:p>
            <w:pPr>
              <w:pStyle w:val="TableText"/>
            </w:pPr>
            <w:r>
              <w:rPr>
                <w:sz w:val="14"/>
              </w:rPr>
              <w:t>Private IP/API access, egress policy, VPC SC</w:t>
            </w:r>
          </w:p>
        </w:tc>
      </w:tr>
      <w:tr>
        <w:trPr>
          <w:cantSplit/>
        </w:trPr>
        <w:tc>
          <w:tcPr>
            <w:tcW w:type="dxa" w:w="2880"/>
            <w:vAlign w:val="top"/>
            <w:tcMar>
              <w:top w:w="60" w:type="dxa"/>
              <w:start w:w="70" w:type="dxa"/>
              <w:bottom w:w="60" w:type="dxa"/>
              <w:end w:w="70" w:type="dxa"/>
            </w:tcMar>
            <w:shd w:fill="F8F9FA"/>
          </w:tcPr>
          <w:p>
            <w:pPr>
              <w:pStyle w:val="TableText"/>
            </w:pPr>
            <w:r>
              <w:rPr>
                <w:sz w:val="14"/>
              </w:rPr>
              <w:t>Data</w:t>
            </w:r>
          </w:p>
        </w:tc>
        <w:tc>
          <w:tcPr>
            <w:tcW w:type="dxa" w:w="7344"/>
            <w:vAlign w:val="top"/>
            <w:tcMar>
              <w:top w:w="60" w:type="dxa"/>
              <w:start w:w="70" w:type="dxa"/>
              <w:bottom w:w="60" w:type="dxa"/>
              <w:end w:w="70" w:type="dxa"/>
            </w:tcMar>
            <w:shd w:fill="F8F9FA"/>
          </w:tcPr>
          <w:p>
            <w:pPr>
              <w:pStyle w:val="TableText"/>
            </w:pPr>
            <w:r>
              <w:rPr>
                <w:sz w:val="14"/>
              </w:rPr>
              <w:t>Classification, least privilege, RLS/CLS/masking downstream</w:t>
            </w:r>
          </w:p>
        </w:tc>
      </w:tr>
      <w:tr>
        <w:trPr>
          <w:cantSplit/>
        </w:trPr>
        <w:tc>
          <w:tcPr>
            <w:tcW w:type="dxa" w:w="2880"/>
            <w:vAlign w:val="top"/>
            <w:tcMar>
              <w:top w:w="60" w:type="dxa"/>
              <w:start w:w="70" w:type="dxa"/>
              <w:bottom w:w="60" w:type="dxa"/>
              <w:end w:w="70" w:type="dxa"/>
            </w:tcMar>
          </w:tcPr>
          <w:p>
            <w:pPr>
              <w:pStyle w:val="TableText"/>
            </w:pPr>
            <w:r>
              <w:rPr>
                <w:sz w:val="14"/>
              </w:rPr>
              <w:t>Encryption</w:t>
            </w:r>
          </w:p>
        </w:tc>
        <w:tc>
          <w:tcPr>
            <w:tcW w:type="dxa" w:w="7344"/>
            <w:vAlign w:val="top"/>
            <w:tcMar>
              <w:top w:w="60" w:type="dxa"/>
              <w:start w:w="70" w:type="dxa"/>
              <w:bottom w:w="60" w:type="dxa"/>
              <w:end w:w="70" w:type="dxa"/>
            </w:tcMar>
          </w:tcPr>
          <w:p>
            <w:pPr>
              <w:pStyle w:val="TableText"/>
            </w:pPr>
            <w:r>
              <w:rPr>
                <w:sz w:val="14"/>
              </w:rPr>
              <w:t>Google-managed default; CMEK/Cloud HSM where mandated</w:t>
            </w:r>
          </w:p>
        </w:tc>
      </w:tr>
      <w:tr>
        <w:trPr>
          <w:cantSplit/>
        </w:trPr>
        <w:tc>
          <w:tcPr>
            <w:tcW w:type="dxa" w:w="2880"/>
            <w:vAlign w:val="top"/>
            <w:tcMar>
              <w:top w:w="60" w:type="dxa"/>
              <w:start w:w="70" w:type="dxa"/>
              <w:bottom w:w="60" w:type="dxa"/>
              <w:end w:w="70" w:type="dxa"/>
            </w:tcMar>
            <w:shd w:fill="F8F9FA"/>
          </w:tcPr>
          <w:p>
            <w:pPr>
              <w:pStyle w:val="TableText"/>
            </w:pPr>
            <w:r>
              <w:rPr>
                <w:sz w:val="14"/>
              </w:rPr>
              <w:t>Evidence</w:t>
            </w:r>
          </w:p>
        </w:tc>
        <w:tc>
          <w:tcPr>
            <w:tcW w:type="dxa" w:w="7344"/>
            <w:vAlign w:val="top"/>
            <w:tcMar>
              <w:top w:w="60" w:type="dxa"/>
              <w:start w:w="70" w:type="dxa"/>
              <w:bottom w:w="60" w:type="dxa"/>
              <w:end w:w="70" w:type="dxa"/>
            </w:tcMar>
            <w:shd w:fill="F8F9FA"/>
          </w:tcPr>
          <w:p>
            <w:pPr>
              <w:pStyle w:val="TableText"/>
            </w:pPr>
            <w:r>
              <w:rPr>
                <w:sz w:val="14"/>
              </w:rPr>
              <w:t>Audit logs, lineage, approvals and retention</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32. Development, Testing, Deployment and Support Standards</w:t>
      </w:r>
    </w:p>
    <w:p>
      <w:r>
        <w:t>Engineering follows trunk-based or short-lived branch development, peer review, automated tests, immutable artifacts and staged promotion. Production support requires operational ownership, documentation, dashboards, alerts, runbooks, capacity limits, rollback and dependency contacts. Console changes are emergency exceptions and must be reconciled to code.</w:t>
      </w:r>
    </w:p>
    <w:p>
      <w:pPr>
        <w:pStyle w:val="Heading2"/>
      </w:pPr>
      <w:r>
        <w:t>Mandatory design controls</w:t>
      </w:r>
    </w:p>
    <w:p>
      <w:pPr>
        <w:pStyle w:val="ListBullet"/>
        <w:spacing w:after="30"/>
      </w:pPr>
      <w:r>
        <w:t>Unit-test pure transforms and parsing independently from services.</w:t>
      </w:r>
    </w:p>
    <w:p>
      <w:pPr>
        <w:pStyle w:val="ListBullet"/>
        <w:spacing w:after="30"/>
      </w:pPr>
      <w:r>
        <w:t>Use isolated integration projects and masked/synthetic data.</w:t>
      </w:r>
    </w:p>
    <w:p>
      <w:pPr>
        <w:pStyle w:val="ListBullet"/>
        <w:spacing w:after="30"/>
      </w:pPr>
      <w:r>
        <w:t>Test duplicates, late data, poison records, worker loss, replay and rollback.</w:t>
      </w:r>
    </w:p>
    <w:p>
      <w:pPr>
        <w:pStyle w:val="ListBullet"/>
        <w:spacing w:after="30"/>
      </w:pPr>
      <w:r>
        <w:t>Promote the same artifact digest from staging to production.</w:t>
      </w:r>
    </w:p>
    <w:p>
      <w:pPr>
        <w:pStyle w:val="Heading2"/>
      </w:pPr>
      <w:r>
        <w:t>Reference implementation standard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1A73E8"/>
            <w:vAlign w:val="center"/>
            <w:tcMar>
              <w:top w:w="60" w:type="dxa"/>
              <w:start w:w="70" w:type="dxa"/>
              <w:bottom w:w="60" w:type="dxa"/>
              <w:end w:w="70" w:type="dxa"/>
            </w:tcMar>
          </w:tcPr>
          <w:p>
            <w:r>
              <w:rPr>
                <w:b/>
                <w:color w:val="FFFFFF"/>
                <w:sz w:val="14"/>
              </w:rPr>
              <w:t>Area</w:t>
            </w:r>
          </w:p>
        </w:tc>
        <w:tc>
          <w:tcPr>
            <w:tcW w:type="dxa" w:w="7344"/>
            <w:shd w:fill="1A73E8"/>
            <w:vAlign w:val="center"/>
            <w:tcMar>
              <w:top w:w="60" w:type="dxa"/>
              <w:start w:w="70" w:type="dxa"/>
              <w:bottom w:w="60" w:type="dxa"/>
              <w:end w:w="70" w:type="dxa"/>
            </w:tcMar>
          </w:tcPr>
          <w:p>
            <w:r>
              <w:rPr>
                <w:b/>
                <w:color w:val="FFFFFF"/>
                <w:sz w:val="14"/>
              </w:rPr>
              <w:t>Standard</w:t>
            </w:r>
          </w:p>
        </w:tc>
      </w:tr>
      <w:tr>
        <w:trPr>
          <w:cantSplit/>
        </w:trPr>
        <w:tc>
          <w:tcPr>
            <w:tcW w:type="dxa" w:w="2880"/>
            <w:vAlign w:val="top"/>
            <w:tcMar>
              <w:top w:w="60" w:type="dxa"/>
              <w:start w:w="70" w:type="dxa"/>
              <w:bottom w:w="60" w:type="dxa"/>
              <w:end w:w="70" w:type="dxa"/>
            </w:tcMar>
          </w:tcPr>
          <w:p>
            <w:pPr>
              <w:pStyle w:val="TableText"/>
            </w:pPr>
            <w:r>
              <w:rPr>
                <w:sz w:val="14"/>
              </w:rPr>
              <w:t>Lifecycle</w:t>
            </w:r>
          </w:p>
        </w:tc>
        <w:tc>
          <w:tcPr>
            <w:tcW w:type="dxa" w:w="7344"/>
            <w:vAlign w:val="top"/>
            <w:tcMar>
              <w:top w:w="60" w:type="dxa"/>
              <w:start w:w="70" w:type="dxa"/>
              <w:bottom w:w="60" w:type="dxa"/>
              <w:end w:w="70" w:type="dxa"/>
            </w:tcMar>
          </w:tcPr>
          <w:p>
            <w:pPr>
              <w:pStyle w:val="TableText"/>
            </w:pPr>
            <w:r>
              <w:rPr>
                <w:sz w:val="14"/>
              </w:rPr>
              <w:t>Gate</w:t>
            </w:r>
          </w:p>
        </w:tc>
      </w:tr>
      <w:tr>
        <w:trPr>
          <w:cantSplit/>
        </w:trPr>
        <w:tc>
          <w:tcPr>
            <w:tcW w:type="dxa" w:w="2880"/>
            <w:vAlign w:val="top"/>
            <w:tcMar>
              <w:top w:w="60" w:type="dxa"/>
              <w:start w:w="70" w:type="dxa"/>
              <w:bottom w:w="60" w:type="dxa"/>
              <w:end w:w="70" w:type="dxa"/>
            </w:tcMar>
            <w:shd w:fill="F8F9FA"/>
          </w:tcPr>
          <w:p>
            <w:pPr>
              <w:pStyle w:val="TableText"/>
            </w:pPr>
            <w:r>
              <w:rPr>
                <w:sz w:val="14"/>
              </w:rPr>
              <w:t>Develop</w:t>
            </w:r>
          </w:p>
        </w:tc>
        <w:tc>
          <w:tcPr>
            <w:tcW w:type="dxa" w:w="7344"/>
            <w:vAlign w:val="top"/>
            <w:tcMar>
              <w:top w:w="60" w:type="dxa"/>
              <w:start w:w="70" w:type="dxa"/>
              <w:bottom w:w="60" w:type="dxa"/>
              <w:end w:w="70" w:type="dxa"/>
            </w:tcMar>
            <w:shd w:fill="F8F9FA"/>
          </w:tcPr>
          <w:p>
            <w:pPr>
              <w:pStyle w:val="TableText"/>
            </w:pPr>
            <w:r>
              <w:rPr>
                <w:sz w:val="14"/>
              </w:rPr>
              <w:t>Lint, unit tests and contract fixtures</w:t>
            </w:r>
          </w:p>
        </w:tc>
      </w:tr>
      <w:tr>
        <w:trPr>
          <w:cantSplit/>
        </w:trPr>
        <w:tc>
          <w:tcPr>
            <w:tcW w:type="dxa" w:w="2880"/>
            <w:vAlign w:val="top"/>
            <w:tcMar>
              <w:top w:w="60" w:type="dxa"/>
              <w:start w:w="70" w:type="dxa"/>
              <w:bottom w:w="60" w:type="dxa"/>
              <w:end w:w="70" w:type="dxa"/>
            </w:tcMar>
          </w:tcPr>
          <w:p>
            <w:pPr>
              <w:pStyle w:val="TableText"/>
            </w:pPr>
            <w:r>
              <w:rPr>
                <w:sz w:val="14"/>
              </w:rPr>
              <w:t>Build</w:t>
            </w:r>
          </w:p>
        </w:tc>
        <w:tc>
          <w:tcPr>
            <w:tcW w:type="dxa" w:w="7344"/>
            <w:vAlign w:val="top"/>
            <w:tcMar>
              <w:top w:w="60" w:type="dxa"/>
              <w:start w:w="70" w:type="dxa"/>
              <w:bottom w:w="60" w:type="dxa"/>
              <w:end w:w="70" w:type="dxa"/>
            </w:tcMar>
          </w:tcPr>
          <w:p>
            <w:pPr>
              <w:pStyle w:val="TableText"/>
            </w:pPr>
            <w:r>
              <w:rPr>
                <w:sz w:val="14"/>
              </w:rPr>
              <w:t>Dependency, container, IaC and policy scans</w:t>
            </w:r>
          </w:p>
        </w:tc>
      </w:tr>
      <w:tr>
        <w:trPr>
          <w:cantSplit/>
        </w:trPr>
        <w:tc>
          <w:tcPr>
            <w:tcW w:type="dxa" w:w="2880"/>
            <w:vAlign w:val="top"/>
            <w:tcMar>
              <w:top w:w="60" w:type="dxa"/>
              <w:start w:w="70" w:type="dxa"/>
              <w:bottom w:w="60" w:type="dxa"/>
              <w:end w:w="70" w:type="dxa"/>
            </w:tcMar>
            <w:shd w:fill="F8F9FA"/>
          </w:tcPr>
          <w:p>
            <w:pPr>
              <w:pStyle w:val="TableText"/>
            </w:pPr>
            <w:r>
              <w:rPr>
                <w:sz w:val="14"/>
              </w:rPr>
              <w:t>Test</w:t>
            </w:r>
          </w:p>
        </w:tc>
        <w:tc>
          <w:tcPr>
            <w:tcW w:type="dxa" w:w="7344"/>
            <w:vAlign w:val="top"/>
            <w:tcMar>
              <w:top w:w="60" w:type="dxa"/>
              <w:start w:w="70" w:type="dxa"/>
              <w:bottom w:w="60" w:type="dxa"/>
              <w:end w:w="70" w:type="dxa"/>
            </w:tcMar>
            <w:shd w:fill="F8F9FA"/>
          </w:tcPr>
          <w:p>
            <w:pPr>
              <w:pStyle w:val="TableText"/>
            </w:pPr>
            <w:r>
              <w:rPr>
                <w:sz w:val="14"/>
              </w:rPr>
              <w:t>Integration, DQ, performance, resilience and security</w:t>
            </w:r>
          </w:p>
        </w:tc>
      </w:tr>
      <w:tr>
        <w:trPr>
          <w:cantSplit/>
        </w:trPr>
        <w:tc>
          <w:tcPr>
            <w:tcW w:type="dxa" w:w="2880"/>
            <w:vAlign w:val="top"/>
            <w:tcMar>
              <w:top w:w="60" w:type="dxa"/>
              <w:start w:w="70" w:type="dxa"/>
              <w:bottom w:w="60" w:type="dxa"/>
              <w:end w:w="70" w:type="dxa"/>
            </w:tcMar>
          </w:tcPr>
          <w:p>
            <w:pPr>
              <w:pStyle w:val="TableText"/>
            </w:pPr>
            <w:r>
              <w:rPr>
                <w:sz w:val="14"/>
              </w:rPr>
              <w:t>Promote</w:t>
            </w:r>
          </w:p>
        </w:tc>
        <w:tc>
          <w:tcPr>
            <w:tcW w:type="dxa" w:w="7344"/>
            <w:vAlign w:val="top"/>
            <w:tcMar>
              <w:top w:w="60" w:type="dxa"/>
              <w:start w:w="70" w:type="dxa"/>
              <w:bottom w:w="60" w:type="dxa"/>
              <w:end w:w="70" w:type="dxa"/>
            </w:tcMar>
          </w:tcPr>
          <w:p>
            <w:pPr>
              <w:pStyle w:val="TableText"/>
            </w:pPr>
            <w:r>
              <w:rPr>
                <w:sz w:val="14"/>
              </w:rPr>
              <w:t>Approvals and immutable artifact evidence</w:t>
            </w:r>
          </w:p>
        </w:tc>
      </w:tr>
      <w:tr>
        <w:trPr>
          <w:cantSplit/>
        </w:trPr>
        <w:tc>
          <w:tcPr>
            <w:tcW w:type="dxa" w:w="2880"/>
            <w:vAlign w:val="top"/>
            <w:tcMar>
              <w:top w:w="60" w:type="dxa"/>
              <w:start w:w="70" w:type="dxa"/>
              <w:bottom w:w="60" w:type="dxa"/>
              <w:end w:w="70" w:type="dxa"/>
            </w:tcMar>
            <w:shd w:fill="F8F9FA"/>
          </w:tcPr>
          <w:p>
            <w:pPr>
              <w:pStyle w:val="TableText"/>
            </w:pPr>
            <w:r>
              <w:rPr>
                <w:sz w:val="14"/>
              </w:rPr>
              <w:t>Operate</w:t>
            </w:r>
          </w:p>
        </w:tc>
        <w:tc>
          <w:tcPr>
            <w:tcW w:type="dxa" w:w="7344"/>
            <w:vAlign w:val="top"/>
            <w:tcMar>
              <w:top w:w="60" w:type="dxa"/>
              <w:start w:w="70" w:type="dxa"/>
              <w:bottom w:w="60" w:type="dxa"/>
              <w:end w:w="70" w:type="dxa"/>
            </w:tcMar>
            <w:shd w:fill="F8F9FA"/>
          </w:tcPr>
          <w:p>
            <w:pPr>
              <w:pStyle w:val="TableText"/>
            </w:pPr>
            <w:r>
              <w:rPr>
                <w:sz w:val="14"/>
              </w:rPr>
              <w:t>SLOs, support handoff and production review</w:t>
            </w:r>
          </w:p>
        </w:tc>
      </w:tr>
    </w:tbl>
    <w:p>
      <w:pPr>
        <w:pStyle w:val="Small"/>
      </w:pPr>
      <w:r>
        <w:t>Implementation teams must validate current service regions, quotas, lifecycle status, IAM roles, networking, CMEK and VPC Service Controls support before production. Any deviation from this baseline requires an owner, rationale, risk assessment, compensating controls and review date.</w:t>
      </w:r>
    </w:p>
    <w:p>
      <w:r>
        <w:br w:type="page"/>
      </w:r>
    </w:p>
    <w:p>
      <w:pPr>
        <w:pStyle w:val="Heading1"/>
        <w:keepNext/>
      </w:pPr>
      <w:r>
        <w:t>Figure 5-1 Architecture View</w:t>
      </w:r>
    </w:p>
    <w:p>
      <w:pPr>
        <w:jc w:val="center"/>
      </w:pPr>
      <w:r>
        <w:drawing>
          <wp:inline xmlns:a="http://schemas.openxmlformats.org/drawingml/2006/main" xmlns:pic="http://schemas.openxmlformats.org/drawingml/2006/picture">
            <wp:extent cx="6400800" cy="1432609"/>
            <wp:docPr id="2" name="Picture 2" descr="Figure 5-1. End-to-end data engineering architecture and cross-cutting planes." title="Figure 5-1. End-to-end data engineering architecture and cross-cutting planes."/>
            <wp:cNvGraphicFramePr>
              <a:graphicFrameLocks noChangeAspect="1"/>
            </wp:cNvGraphicFramePr>
            <a:graphic>
              <a:graphicData uri="http://schemas.openxmlformats.org/drawingml/2006/picture">
                <pic:pic>
                  <pic:nvPicPr>
                    <pic:cNvPr id="0" name="01_end_to_end_pipeline_architecture.png"/>
                    <pic:cNvPicPr/>
                  </pic:nvPicPr>
                  <pic:blipFill>
                    <a:blip r:embed="rId11"/>
                    <a:stretch>
                      <a:fillRect/>
                    </a:stretch>
                  </pic:blipFill>
                  <pic:spPr>
                    <a:xfrm>
                      <a:off x="0" y="0"/>
                      <a:ext cx="6400800" cy="1432609"/>
                    </a:xfrm>
                    <a:prstGeom prst="rect"/>
                  </pic:spPr>
                </pic:pic>
              </a:graphicData>
            </a:graphic>
          </wp:inline>
        </w:drawing>
      </w:r>
    </w:p>
    <w:p>
      <w:pPr>
        <w:pStyle w:val="Small"/>
        <w:jc w:val="center"/>
      </w:pPr>
      <w:r>
        <w:rPr>
          <w:i/>
        </w:rPr>
        <w:t>Figure 5-1. End-to-end data engineering architecture and cross-cutting planes.</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9-1 Architecture View</w:t>
      </w:r>
    </w:p>
    <w:p>
      <w:pPr>
        <w:jc w:val="center"/>
      </w:pPr>
      <w:r>
        <w:drawing>
          <wp:inline xmlns:a="http://schemas.openxmlformats.org/drawingml/2006/main" xmlns:pic="http://schemas.openxmlformats.org/drawingml/2006/picture">
            <wp:extent cx="6400800" cy="935052"/>
            <wp:docPr id="3" name="Picture 3" descr="Figure 9-1. Streaming event-time, late-data and correction pattern." title="Figure 9-1. Streaming event-time, late-data and correction pattern."/>
            <wp:cNvGraphicFramePr>
              <a:graphicFrameLocks noChangeAspect="1"/>
            </wp:cNvGraphicFramePr>
            <a:graphic>
              <a:graphicData uri="http://schemas.openxmlformats.org/drawingml/2006/picture">
                <pic:pic>
                  <pic:nvPicPr>
                    <pic:cNvPr id="0" name="02_streaming_event_time.png"/>
                    <pic:cNvPicPr/>
                  </pic:nvPicPr>
                  <pic:blipFill>
                    <a:blip r:embed="rId12"/>
                    <a:stretch>
                      <a:fillRect/>
                    </a:stretch>
                  </pic:blipFill>
                  <pic:spPr>
                    <a:xfrm>
                      <a:off x="0" y="0"/>
                      <a:ext cx="6400800" cy="935052"/>
                    </a:xfrm>
                    <a:prstGeom prst="rect"/>
                  </pic:spPr>
                </pic:pic>
              </a:graphicData>
            </a:graphic>
          </wp:inline>
        </w:drawing>
      </w:r>
    </w:p>
    <w:p>
      <w:pPr>
        <w:pStyle w:val="Small"/>
        <w:jc w:val="center"/>
      </w:pPr>
      <w:r>
        <w:rPr>
          <w:i/>
        </w:rPr>
        <w:t>Figure 9-1. Streaming event-time, late-data and correction pattern.</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7-1 Architecture View</w:t>
      </w:r>
    </w:p>
    <w:p>
      <w:pPr>
        <w:jc w:val="center"/>
      </w:pPr>
      <w:r>
        <w:drawing>
          <wp:inline xmlns:a="http://schemas.openxmlformats.org/drawingml/2006/main" xmlns:pic="http://schemas.openxmlformats.org/drawingml/2006/picture">
            <wp:extent cx="6400800" cy="347809"/>
            <wp:docPr id="4" name="Picture 4" descr="Figure 7-1. Batch and micro-batch validation, staging and publication pattern." title="Figure 7-1. Batch and micro-batch validation, staging and publication pattern."/>
            <wp:cNvGraphicFramePr>
              <a:graphicFrameLocks noChangeAspect="1"/>
            </wp:cNvGraphicFramePr>
            <a:graphic>
              <a:graphicData uri="http://schemas.openxmlformats.org/drawingml/2006/picture">
                <pic:pic>
                  <pic:nvPicPr>
                    <pic:cNvPr id="0" name="03_batch_microbatch.png"/>
                    <pic:cNvPicPr/>
                  </pic:nvPicPr>
                  <pic:blipFill>
                    <a:blip r:embed="rId13"/>
                    <a:stretch>
                      <a:fillRect/>
                    </a:stretch>
                  </pic:blipFill>
                  <pic:spPr>
                    <a:xfrm>
                      <a:off x="0" y="0"/>
                      <a:ext cx="6400800" cy="347809"/>
                    </a:xfrm>
                    <a:prstGeom prst="rect"/>
                  </pic:spPr>
                </pic:pic>
              </a:graphicData>
            </a:graphic>
          </wp:inline>
        </w:drawing>
      </w:r>
    </w:p>
    <w:p>
      <w:pPr>
        <w:pStyle w:val="Small"/>
        <w:jc w:val="center"/>
      </w:pPr>
      <w:r>
        <w:rPr>
          <w:i/>
        </w:rPr>
        <w:t>Figure 7-1. Batch and micro-batch validation, staging and publication pattern.</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23-1 Architecture View</w:t>
      </w:r>
    </w:p>
    <w:p>
      <w:pPr>
        <w:jc w:val="center"/>
      </w:pPr>
      <w:r>
        <w:drawing>
          <wp:inline xmlns:a="http://schemas.openxmlformats.org/drawingml/2006/main" xmlns:pic="http://schemas.openxmlformats.org/drawingml/2006/picture">
            <wp:extent cx="6400800" cy="890767"/>
            <wp:docPr id="5" name="Picture 5" descr="Figure 23-1. Datastream-to-BigQuery CDC and reconciliation pattern." title="Figure 23-1. Datastream-to-BigQuery CDC and reconciliation pattern."/>
            <wp:cNvGraphicFramePr>
              <a:graphicFrameLocks noChangeAspect="1"/>
            </wp:cNvGraphicFramePr>
            <a:graphic>
              <a:graphicData uri="http://schemas.openxmlformats.org/drawingml/2006/picture">
                <pic:pic>
                  <pic:nvPicPr>
                    <pic:cNvPr id="0" name="04_cdc_datastream_bigquery.png"/>
                    <pic:cNvPicPr/>
                  </pic:nvPicPr>
                  <pic:blipFill>
                    <a:blip r:embed="rId14"/>
                    <a:stretch>
                      <a:fillRect/>
                    </a:stretch>
                  </pic:blipFill>
                  <pic:spPr>
                    <a:xfrm>
                      <a:off x="0" y="0"/>
                      <a:ext cx="6400800" cy="890767"/>
                    </a:xfrm>
                    <a:prstGeom prst="rect"/>
                  </pic:spPr>
                </pic:pic>
              </a:graphicData>
            </a:graphic>
          </wp:inline>
        </w:drawing>
      </w:r>
    </w:p>
    <w:p>
      <w:pPr>
        <w:pStyle w:val="Small"/>
        <w:jc w:val="center"/>
      </w:pPr>
      <w:r>
        <w:rPr>
          <w:i/>
        </w:rPr>
        <w:t>Figure 23-1. Datastream-to-BigQuery CDC and reconciliation pattern.</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20-1 Architecture View</w:t>
      </w:r>
    </w:p>
    <w:p>
      <w:pPr>
        <w:jc w:val="center"/>
      </w:pPr>
      <w:r>
        <w:drawing>
          <wp:inline xmlns:a="http://schemas.openxmlformats.org/drawingml/2006/main" xmlns:pic="http://schemas.openxmlformats.org/drawingml/2006/picture">
            <wp:extent cx="6400800" cy="958862"/>
            <wp:docPr id="6" name="Picture 6" descr="Figure 20-1. Orchestration, immutable artifacts and run metadata control plane." title="Figure 20-1. Orchestration, immutable artifacts and run metadata control plane."/>
            <wp:cNvGraphicFramePr>
              <a:graphicFrameLocks noChangeAspect="1"/>
            </wp:cNvGraphicFramePr>
            <a:graphic>
              <a:graphicData uri="http://schemas.openxmlformats.org/drawingml/2006/picture">
                <pic:pic>
                  <pic:nvPicPr>
                    <pic:cNvPr id="0" name="05_orchestration_control_plane.png"/>
                    <pic:cNvPicPr/>
                  </pic:nvPicPr>
                  <pic:blipFill>
                    <a:blip r:embed="rId15"/>
                    <a:stretch>
                      <a:fillRect/>
                    </a:stretch>
                  </pic:blipFill>
                  <pic:spPr>
                    <a:xfrm>
                      <a:off x="0" y="0"/>
                      <a:ext cx="6400800" cy="958862"/>
                    </a:xfrm>
                    <a:prstGeom prst="rect"/>
                  </pic:spPr>
                </pic:pic>
              </a:graphicData>
            </a:graphic>
          </wp:inline>
        </w:drawing>
      </w:r>
    </w:p>
    <w:p>
      <w:pPr>
        <w:pStyle w:val="Small"/>
        <w:jc w:val="center"/>
      </w:pPr>
      <w:r>
        <w:rPr>
          <w:i/>
        </w:rPr>
        <w:t>Figure 20-1. Orchestration, immutable artifacts and run metadata control plane.</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27-1 Architecture View</w:t>
      </w:r>
    </w:p>
    <w:p>
      <w:pPr>
        <w:jc w:val="center"/>
      </w:pPr>
      <w:r>
        <w:drawing>
          <wp:inline xmlns:a="http://schemas.openxmlformats.org/drawingml/2006/main" xmlns:pic="http://schemas.openxmlformats.org/drawingml/2006/picture">
            <wp:extent cx="6400800" cy="287052"/>
            <wp:docPr id="7" name="Picture 7" descr="Figure 27-1. Classified error, repair, replay and reconciliation workflow." title="Figure 27-1. Classified error, repair, replay and reconciliation workflow."/>
            <wp:cNvGraphicFramePr>
              <a:graphicFrameLocks noChangeAspect="1"/>
            </wp:cNvGraphicFramePr>
            <a:graphic>
              <a:graphicData uri="http://schemas.openxmlformats.org/drawingml/2006/picture">
                <pic:pic>
                  <pic:nvPicPr>
                    <pic:cNvPr id="0" name="06_error_replay_recovery.png"/>
                    <pic:cNvPicPr/>
                  </pic:nvPicPr>
                  <pic:blipFill>
                    <a:blip r:embed="rId16"/>
                    <a:stretch>
                      <a:fillRect/>
                    </a:stretch>
                  </pic:blipFill>
                  <pic:spPr>
                    <a:xfrm>
                      <a:off x="0" y="0"/>
                      <a:ext cx="6400800" cy="287052"/>
                    </a:xfrm>
                    <a:prstGeom prst="rect"/>
                  </pic:spPr>
                </pic:pic>
              </a:graphicData>
            </a:graphic>
          </wp:inline>
        </w:drawing>
      </w:r>
    </w:p>
    <w:p>
      <w:pPr>
        <w:pStyle w:val="Small"/>
        <w:jc w:val="center"/>
      </w:pPr>
      <w:r>
        <w:rPr>
          <w:i/>
        </w:rPr>
        <w:t>Figure 27-1. Classified error, repair, replay and reconciliation workflow.</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Figure 32-1 Architecture View</w:t>
      </w:r>
    </w:p>
    <w:p>
      <w:pPr>
        <w:jc w:val="center"/>
      </w:pPr>
      <w:r>
        <w:drawing>
          <wp:inline xmlns:a="http://schemas.openxmlformats.org/drawingml/2006/main" xmlns:pic="http://schemas.openxmlformats.org/drawingml/2006/picture">
            <wp:extent cx="6400800" cy="548889"/>
            <wp:docPr id="8" name="Picture 8" descr="Figure 32-1. Pipeline engineering and production lifecycle." title="Figure 32-1. Pipeline engineering and production lifecycle."/>
            <wp:cNvGraphicFramePr>
              <a:graphicFrameLocks noChangeAspect="1"/>
            </wp:cNvGraphicFramePr>
            <a:graphic>
              <a:graphicData uri="http://schemas.openxmlformats.org/drawingml/2006/picture">
                <pic:pic>
                  <pic:nvPicPr>
                    <pic:cNvPr id="0" name="07_pipeline_delivery_lifecycle.png"/>
                    <pic:cNvPicPr/>
                  </pic:nvPicPr>
                  <pic:blipFill>
                    <a:blip r:embed="rId17"/>
                    <a:stretch>
                      <a:fillRect/>
                    </a:stretch>
                  </pic:blipFill>
                  <pic:spPr>
                    <a:xfrm>
                      <a:off x="0" y="0"/>
                      <a:ext cx="6400800" cy="548889"/>
                    </a:xfrm>
                    <a:prstGeom prst="rect"/>
                  </pic:spPr>
                </pic:pic>
              </a:graphicData>
            </a:graphic>
          </wp:inline>
        </w:drawing>
      </w:r>
    </w:p>
    <w:p>
      <w:pPr>
        <w:pStyle w:val="Small"/>
        <w:jc w:val="center"/>
      </w:pPr>
      <w:r>
        <w:rPr>
          <w:i/>
        </w:rPr>
        <w:t>Figure 32-1. Pipeline engineering and production lifecycle.</w:t>
      </w:r>
    </w:p>
    <w:p>
      <w:r>
        <w:t>Companion sources are provided in Mermaid, PlantUML, Graphviz DOT, SVG and editable draw.io formats. Connectors indicate logical flow; implementation must add region, project, service perimeter, environment and trust-boundary detail appropriate to the workload.</w:t>
      </w:r>
    </w:p>
    <w:p>
      <w:r>
        <w:br w:type="page"/>
      </w:r>
    </w:p>
    <w:p>
      <w:pPr>
        <w:pStyle w:val="Heading1"/>
        <w:keepNext/>
      </w:pPr>
      <w:r>
        <w:t>27. Service Assessments</w:t>
      </w:r>
    </w:p>
    <w:p>
      <w:r>
        <w:t>The following structured assessments cover only services selected for the reference architecture. Product behavior changes over time; implementation teams must revalidate official documentation and record material findings in solution ADRs.</w:t>
      </w:r>
    </w:p>
    <w:p>
      <w:pPr>
        <w:pStyle w:val="Heading2"/>
      </w:pPr>
      <w:r>
        <w:t>27.1 Dataflow</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Dataflow</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execution for Apache Beam batch and streaming pipelines</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Primary unified processing engine</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Autoscaling workers, Streaming Engine, shuffle, templates, update/drain and managed connectors</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Serverless operations and unified event-time model</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Pipeline design, connector semantics, hot keys and dependency compatibility</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27.2 Apache Beam</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Apache Beam</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Portable programming model for batch and streaming</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Reusable engineering SDK and transform standard</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PCollections, transforms, event time, windows, triggers, state, timers and testing</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Portability, common semantics and reusable libraries</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Runner-specific behavior, SDK/version compatibility and state growth</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27.3 Managed Service for Apache Spark - Serverless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Managed Service for Apache Spark - Serverless</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serverless Spark batch execution</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Conditional Spark engine for episodic/migration workloads</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PySpark/Spark batches, autoscaled resources, private networking and connectors</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No cluster lifecycle and rapid isolation</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Runtime/library constraints, startup latency, quotas and migration inefficiency</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27.4 Managed Service for Apache Spark - Clusters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Managed Service for Apache Spark - Clusters</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persistent Spark/Hadoop clusters</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Conditional engine for persistent specialized workloads</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Clusters, autoscaling, initialization and ecosystem compatibility</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Control for specialized runtimes and long-running jobs</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Operational overhead, idle cost and cluster hardening</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27.5 Dataform</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Dataform</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Versioned BigQuery SQL workflow development</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Default SQL ELT engineering layer</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SQLX, dependencies, incremental tables, assertions, release/workflow configurations</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Governed SQL development and native BigQuery execution</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BigQuery-centric scope and careful incremental design</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27.6 BigQuery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BigQuery</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Primary analytical storage and SQL execution</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Curated data product store and ELT engine</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Partitioning, clustering, MERGE, transactions, reservations, snapshots and audit</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Serverless scale, governance integration and high concurrency</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Location discipline, scan/slot cost and complex mutation patterns</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27.7 Managed Service for Apache Airflow</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Managed Service for Apache Airflow</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Apache Airflow orchestration</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Complex dependency and schedule control plane</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DAGs, operators, sensors, pools, retries, UI and monitoring</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Rich ecosystem and operational workflow visibility</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Environment cost, DAG quality, scheduler constraints and upgrades</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27.8 Workflows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Workflows</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serverless API orchestration</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Bounded control-flow and compensation</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Connectors, expressions, retries, callbacks and execution history</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Low-operations orchestration for APIs</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Not a data-processing engine; execution/state limits</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27.9 Cloud Run Jobs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Cloud Run Jobs</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execution for bounded containers</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Control-plane utilities and small bounded processing</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Versioned containers, tasks, environment variables, IAM and scheduling integration</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Simple immutable utilities without servers</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Not suited to large distributed/stateful processing</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27.10 Pub/Sub</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Pub/Sub</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messaging and event delivery</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Enterprise event backbone and buffering layer</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Topics, subscriptions, retention, ordering, retry, dead letter, schemas and replay</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Scalable decoupling and fan-out</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End-to-end idempotency, ordering constraints and retention bounds</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27.11 Datastream</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Datastream</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Managed change data capture</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Supported operational database CDC and backfill</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Connection profiles, streams, object selection, backfill and BigQuery/Cloud Storage destinations</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Managed log-based replication</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Source/version coverage, schema changes, connectivity and lag</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2"/>
      </w:pPr>
      <w:r>
        <w:t>27.12 BigQuery Storage Write API</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c>
          <w:tcPr>
            <w:tcW w:type="dxa" w:w="1656"/>
            <w:shd w:fill="1A73E8"/>
            <w:vAlign w:val="center"/>
            <w:tcMar>
              <w:top w:w="60" w:type="dxa"/>
              <w:start w:w="70" w:type="dxa"/>
              <w:bottom w:w="60" w:type="dxa"/>
              <w:end w:w="70" w:type="dxa"/>
            </w:tcMar>
          </w:tcPr>
          <w:p>
            <w:r>
              <w:rPr>
                <w:b/>
                <w:color w:val="FFFFFF"/>
                <w:sz w:val="11"/>
              </w:rPr>
              <w:t>Assessment field</w:t>
            </w:r>
          </w:p>
        </w:tc>
        <w:tc>
          <w:tcPr>
            <w:tcW w:type="dxa" w:w="3384"/>
            <w:shd w:fill="1A73E8"/>
            <w:vAlign w:val="center"/>
            <w:tcMar>
              <w:top w:w="60" w:type="dxa"/>
              <w:start w:w="70" w:type="dxa"/>
              <w:bottom w:w="60" w:type="dxa"/>
              <w:end w:w="70" w:type="dxa"/>
            </w:tcMar>
          </w:tcPr>
          <w:p>
            <w:r>
              <w:rPr>
                <w:b/>
                <w:color w:val="FFFFFF"/>
                <w:sz w:val="11"/>
              </w:rPr>
              <w:t>Enterprise assessment</w:t>
            </w:r>
          </w:p>
        </w:tc>
      </w:tr>
      <w:tr>
        <w:trPr>
          <w:cantSplit/>
        </w:trPr>
        <w:tc>
          <w:tcPr>
            <w:tcW w:type="dxa" w:w="1656"/>
            <w:vAlign w:val="top"/>
            <w:tcMar>
              <w:top w:w="60" w:type="dxa"/>
              <w:start w:w="70" w:type="dxa"/>
              <w:bottom w:w="60" w:type="dxa"/>
              <w:end w:w="70" w:type="dxa"/>
            </w:tcMar>
          </w:tcPr>
          <w:p>
            <w:pPr>
              <w:pStyle w:val="TableText"/>
            </w:pPr>
            <w:r>
              <w:rPr>
                <w:sz w:val="11"/>
              </w:rPr>
              <w:t>Service name</w:t>
            </w:r>
          </w:p>
        </w:tc>
        <w:tc>
          <w:tcPr>
            <w:tcW w:type="dxa" w:w="3384"/>
            <w:vAlign w:val="top"/>
            <w:tcMar>
              <w:top w:w="60" w:type="dxa"/>
              <w:start w:w="70" w:type="dxa"/>
              <w:bottom w:w="60" w:type="dxa"/>
              <w:end w:w="70" w:type="dxa"/>
            </w:tcMar>
          </w:tcPr>
          <w:p>
            <w:pPr>
              <w:pStyle w:val="TableText"/>
            </w:pPr>
            <w:r>
              <w:rPr>
                <w:sz w:val="11"/>
              </w:rPr>
              <w:t>BigQuery Storage Write API</w:t>
            </w:r>
          </w:p>
        </w:tc>
        <w:tc>
          <w:tcPr>
            <w:tcW w:type="dxa" w:w="1656"/>
            <w:vAlign w:val="top"/>
            <w:tcMar>
              <w:top w:w="60" w:type="dxa"/>
              <w:start w:w="70" w:type="dxa"/>
              <w:bottom w:w="60" w:type="dxa"/>
              <w:end w:w="70" w:type="dxa"/>
            </w:tcMar>
          </w:tcPr>
          <w:p>
            <w:pPr>
              <w:pStyle w:val="TableText"/>
            </w:pPr>
            <w:r>
              <w:rPr>
                <w:sz w:val="11"/>
              </w:rPr>
              <w:t>Purpose</w:t>
            </w:r>
          </w:p>
        </w:tc>
        <w:tc>
          <w:tcPr>
            <w:tcW w:type="dxa" w:w="3384"/>
            <w:vAlign w:val="top"/>
            <w:tcMar>
              <w:top w:w="60" w:type="dxa"/>
              <w:start w:w="70" w:type="dxa"/>
              <w:bottom w:w="60" w:type="dxa"/>
              <w:end w:w="70" w:type="dxa"/>
            </w:tcMar>
          </w:tcPr>
          <w:p>
            <w:pPr>
              <w:pStyle w:val="TableText"/>
            </w:pPr>
            <w:r>
              <w:rPr>
                <w:sz w:val="11"/>
              </w:rPr>
              <w:t>High-throughput BigQuery write interface</w:t>
            </w:r>
          </w:p>
        </w:tc>
      </w:tr>
      <w:tr>
        <w:trPr>
          <w:cantSplit/>
        </w:trPr>
        <w:tc>
          <w:tcPr>
            <w:tcW w:type="dxa" w:w="1656"/>
            <w:vAlign w:val="top"/>
            <w:tcMar>
              <w:top w:w="60" w:type="dxa"/>
              <w:start w:w="70" w:type="dxa"/>
              <w:bottom w:w="60" w:type="dxa"/>
              <w:end w:w="70" w:type="dxa"/>
            </w:tcMar>
            <w:shd w:fill="F8F9FA"/>
          </w:tcPr>
          <w:p>
            <w:pPr>
              <w:pStyle w:val="TableText"/>
            </w:pPr>
            <w:r>
              <w:rPr>
                <w:sz w:val="11"/>
              </w:rPr>
              <w:t>Enterprise architecture role</w:t>
            </w:r>
          </w:p>
        </w:tc>
        <w:tc>
          <w:tcPr>
            <w:tcW w:type="dxa" w:w="3384"/>
            <w:vAlign w:val="top"/>
            <w:tcMar>
              <w:top w:w="60" w:type="dxa"/>
              <w:start w:w="70" w:type="dxa"/>
              <w:bottom w:w="60" w:type="dxa"/>
              <w:end w:w="70" w:type="dxa"/>
            </w:tcMar>
            <w:shd w:fill="F8F9FA"/>
          </w:tcPr>
          <w:p>
            <w:pPr>
              <w:pStyle w:val="TableText"/>
            </w:pPr>
            <w:r>
              <w:rPr>
                <w:sz w:val="11"/>
              </w:rPr>
              <w:t>Direct streaming/batch write boundary</w:t>
            </w:r>
          </w:p>
        </w:tc>
        <w:tc>
          <w:tcPr>
            <w:tcW w:type="dxa" w:w="1656"/>
            <w:vAlign w:val="top"/>
            <w:tcMar>
              <w:top w:w="60" w:type="dxa"/>
              <w:start w:w="70" w:type="dxa"/>
              <w:bottom w:w="60" w:type="dxa"/>
              <w:end w:w="70" w:type="dxa"/>
            </w:tcMar>
            <w:shd w:fill="F8F9FA"/>
          </w:tcPr>
          <w:p>
            <w:pPr>
              <w:pStyle w:val="TableText"/>
            </w:pPr>
            <w:r>
              <w:rPr>
                <w:sz w:val="11"/>
              </w:rPr>
              <w:t>Business capabilities supported</w:t>
            </w:r>
          </w:p>
        </w:tc>
        <w:tc>
          <w:tcPr>
            <w:tcW w:type="dxa" w:w="3384"/>
            <w:vAlign w:val="top"/>
            <w:tcMar>
              <w:top w:w="60" w:type="dxa"/>
              <w:start w:w="70" w:type="dxa"/>
              <w:bottom w:w="60" w:type="dxa"/>
              <w:end w:w="70" w:type="dxa"/>
            </w:tcMar>
            <w:shd w:fill="F8F9FA"/>
          </w:tcPr>
          <w:p>
            <w:pPr>
              <w:pStyle w:val="TableText"/>
            </w:pPr>
            <w:r>
              <w:rPr>
                <w:sz w:val="11"/>
              </w:rPr>
              <w:t>Reliable ingestion, transformation, publication, recovery and governed data-product delivery.</w:t>
            </w:r>
          </w:p>
        </w:tc>
      </w:tr>
      <w:tr>
        <w:trPr>
          <w:cantSplit/>
        </w:trPr>
        <w:tc>
          <w:tcPr>
            <w:tcW w:type="dxa" w:w="1656"/>
            <w:vAlign w:val="top"/>
            <w:tcMar>
              <w:top w:w="60" w:type="dxa"/>
              <w:start w:w="70" w:type="dxa"/>
              <w:bottom w:w="60" w:type="dxa"/>
              <w:end w:w="70" w:type="dxa"/>
            </w:tcMar>
          </w:tcPr>
          <w:p>
            <w:pPr>
              <w:pStyle w:val="TableText"/>
            </w:pPr>
            <w:r>
              <w:rPr>
                <w:sz w:val="11"/>
              </w:rPr>
              <w:t>Technical capabilities</w:t>
            </w:r>
          </w:p>
        </w:tc>
        <w:tc>
          <w:tcPr>
            <w:tcW w:type="dxa" w:w="3384"/>
            <w:vAlign w:val="top"/>
            <w:tcMar>
              <w:top w:w="60" w:type="dxa"/>
              <w:start w:w="70" w:type="dxa"/>
              <w:bottom w:w="60" w:type="dxa"/>
              <w:end w:w="70" w:type="dxa"/>
            </w:tcMar>
          </w:tcPr>
          <w:p>
            <w:pPr>
              <w:pStyle w:val="TableText"/>
            </w:pPr>
            <w:r>
              <w:rPr>
                <w:sz w:val="11"/>
              </w:rPr>
              <w:t>Default, committed, buffered/pending streams, offsets and schemas</w:t>
            </w:r>
          </w:p>
        </w:tc>
        <w:tc>
          <w:tcPr>
            <w:tcW w:type="dxa" w:w="1656"/>
            <w:vAlign w:val="top"/>
            <w:tcMar>
              <w:top w:w="60" w:type="dxa"/>
              <w:start w:w="70" w:type="dxa"/>
              <w:bottom w:w="60" w:type="dxa"/>
              <w:end w:w="70" w:type="dxa"/>
            </w:tcMar>
          </w:tcPr>
          <w:p>
            <w:pPr>
              <w:pStyle w:val="TableText"/>
            </w:pPr>
            <w:r>
              <w:rPr>
                <w:sz w:val="11"/>
              </w:rPr>
              <w:t>Benefits</w:t>
            </w:r>
          </w:p>
        </w:tc>
        <w:tc>
          <w:tcPr>
            <w:tcW w:type="dxa" w:w="3384"/>
            <w:vAlign w:val="top"/>
            <w:tcMar>
              <w:top w:w="60" w:type="dxa"/>
              <w:start w:w="70" w:type="dxa"/>
              <w:bottom w:w="60" w:type="dxa"/>
              <w:end w:w="70" w:type="dxa"/>
            </w:tcMar>
          </w:tcPr>
          <w:p>
            <w:pPr>
              <w:pStyle w:val="TableText"/>
            </w:pPr>
            <w:r>
              <w:rPr>
                <w:sz w:val="11"/>
              </w:rPr>
              <w:t>Low-latency writes and optional exactly-once offsets</w:t>
            </w:r>
          </w:p>
        </w:tc>
      </w:tr>
      <w:tr>
        <w:trPr>
          <w:cantSplit/>
        </w:trPr>
        <w:tc>
          <w:tcPr>
            <w:tcW w:type="dxa" w:w="1656"/>
            <w:vAlign w:val="top"/>
            <w:tcMar>
              <w:top w:w="60" w:type="dxa"/>
              <w:start w:w="70" w:type="dxa"/>
              <w:bottom w:w="60" w:type="dxa"/>
              <w:end w:w="70" w:type="dxa"/>
            </w:tcMar>
            <w:shd w:fill="F8F9FA"/>
          </w:tcPr>
          <w:p>
            <w:pPr>
              <w:pStyle w:val="TableText"/>
            </w:pPr>
            <w:r>
              <w:rPr>
                <w:sz w:val="11"/>
              </w:rPr>
              <w:t>Limitations</w:t>
            </w:r>
          </w:p>
        </w:tc>
        <w:tc>
          <w:tcPr>
            <w:tcW w:type="dxa" w:w="3384"/>
            <w:vAlign w:val="top"/>
            <w:tcMar>
              <w:top w:w="60" w:type="dxa"/>
              <w:start w:w="70" w:type="dxa"/>
              <w:bottom w:w="60" w:type="dxa"/>
              <w:end w:w="70" w:type="dxa"/>
            </w:tcMar>
            <w:shd w:fill="F8F9FA"/>
          </w:tcPr>
          <w:p>
            <w:pPr>
              <w:pStyle w:val="TableText"/>
            </w:pPr>
            <w:r>
              <w:rPr>
                <w:sz w:val="11"/>
              </w:rPr>
              <w:t>Client offset management, quotas and poison-record handling</w:t>
            </w:r>
          </w:p>
        </w:tc>
        <w:tc>
          <w:tcPr>
            <w:tcW w:type="dxa" w:w="1656"/>
            <w:vAlign w:val="top"/>
            <w:tcMar>
              <w:top w:w="60" w:type="dxa"/>
              <w:start w:w="70" w:type="dxa"/>
              <w:bottom w:w="60" w:type="dxa"/>
              <w:end w:w="70" w:type="dxa"/>
            </w:tcMar>
            <w:shd w:fill="F8F9FA"/>
          </w:tcPr>
          <w:p>
            <w:pPr>
              <w:pStyle w:val="TableText"/>
            </w:pPr>
            <w:r>
              <w:rPr>
                <w:sz w:val="11"/>
              </w:rPr>
              <w:t>Service quotas</w:t>
            </w:r>
          </w:p>
        </w:tc>
        <w:tc>
          <w:tcPr>
            <w:tcW w:type="dxa" w:w="3384"/>
            <w:vAlign w:val="top"/>
            <w:tcMar>
              <w:top w:w="60" w:type="dxa"/>
              <w:start w:w="70" w:type="dxa"/>
              <w:bottom w:w="60" w:type="dxa"/>
              <w:end w:w="70" w:type="dxa"/>
            </w:tcMar>
            <w:shd w:fill="F8F9FA"/>
          </w:tcPr>
          <w:p>
            <w:pPr>
              <w:pStyle w:val="TableText"/>
            </w:pPr>
            <w:r>
              <w:rPr>
                <w:sz w:val="11"/>
              </w:rPr>
              <w:t>Validate project, region, API, worker/stream/job, throughput and control-plane quotas; request increases before representative scale tests.</w:t>
            </w:r>
          </w:p>
        </w:tc>
      </w:tr>
      <w:tr>
        <w:trPr>
          <w:cantSplit/>
        </w:trPr>
        <w:tc>
          <w:tcPr>
            <w:tcW w:type="dxa" w:w="1656"/>
            <w:vAlign w:val="top"/>
            <w:tcMar>
              <w:top w:w="60" w:type="dxa"/>
              <w:start w:w="70" w:type="dxa"/>
              <w:bottom w:w="60" w:type="dxa"/>
              <w:end w:w="70" w:type="dxa"/>
            </w:tcMar>
          </w:tcPr>
          <w:p>
            <w:pPr>
              <w:pStyle w:val="TableText"/>
            </w:pPr>
            <w:r>
              <w:rPr>
                <w:sz w:val="11"/>
              </w:rPr>
              <w:t>Regional availability considerations</w:t>
            </w:r>
          </w:p>
        </w:tc>
        <w:tc>
          <w:tcPr>
            <w:tcW w:type="dxa" w:w="3384"/>
            <w:vAlign w:val="top"/>
            <w:tcMar>
              <w:top w:w="60" w:type="dxa"/>
              <w:start w:w="70" w:type="dxa"/>
              <w:bottom w:w="60" w:type="dxa"/>
              <w:end w:w="70" w:type="dxa"/>
            </w:tcMar>
          </w:tcPr>
          <w:p>
            <w:pPr>
              <w:pStyle w:val="TableText"/>
            </w:pPr>
            <w:r>
              <w:rPr>
                <w:sz w:val="11"/>
              </w:rPr>
              <w:t>Deploy in the approved AMER, EMEA or APAC data plane; verify exact feature/runtime availability and avoid unapproved cross-region transfer.</w:t>
            </w:r>
          </w:p>
        </w:tc>
        <w:tc>
          <w:tcPr>
            <w:tcW w:type="dxa" w:w="1656"/>
            <w:vAlign w:val="top"/>
            <w:tcMar>
              <w:top w:w="60" w:type="dxa"/>
              <w:start w:w="70" w:type="dxa"/>
              <w:bottom w:w="60" w:type="dxa"/>
              <w:end w:w="70" w:type="dxa"/>
            </w:tcMar>
          </w:tcPr>
          <w:p>
            <w:pPr>
              <w:pStyle w:val="TableText"/>
            </w:pPr>
            <w:r>
              <w:rPr>
                <w:sz w:val="11"/>
              </w:rPr>
              <w:t>High-availability characteristics</w:t>
            </w:r>
          </w:p>
        </w:tc>
        <w:tc>
          <w:tcPr>
            <w:tcW w:type="dxa" w:w="3384"/>
            <w:vAlign w:val="top"/>
            <w:tcMar>
              <w:top w:w="60" w:type="dxa"/>
              <w:start w:w="70" w:type="dxa"/>
              <w:bottom w:w="60" w:type="dxa"/>
              <w:end w:w="70" w:type="dxa"/>
            </w:tcMar>
          </w:tcPr>
          <w:p>
            <w:pPr>
              <w:pStyle w:val="TableText"/>
            </w:pPr>
            <w:r>
              <w:rPr>
                <w:sz w:val="11"/>
              </w:rPr>
              <w:t>Use the managed service availability model and remove single points in orchestration, source access, staging, metadata and downstream dependencies.</w:t>
            </w:r>
          </w:p>
        </w:tc>
      </w:tr>
      <w:tr>
        <w:trPr>
          <w:cantSplit/>
        </w:trPr>
        <w:tc>
          <w:tcPr>
            <w:tcW w:type="dxa" w:w="1656"/>
            <w:vAlign w:val="top"/>
            <w:tcMar>
              <w:top w:w="60" w:type="dxa"/>
              <w:start w:w="70" w:type="dxa"/>
              <w:bottom w:w="60" w:type="dxa"/>
              <w:end w:w="70" w:type="dxa"/>
            </w:tcMar>
            <w:shd w:fill="F8F9FA"/>
          </w:tcPr>
          <w:p>
            <w:pPr>
              <w:pStyle w:val="TableText"/>
            </w:pPr>
            <w:r>
              <w:rPr>
                <w:sz w:val="11"/>
              </w:rPr>
              <w:t>Disaster-recovery considerations</w:t>
            </w:r>
          </w:p>
        </w:tc>
        <w:tc>
          <w:tcPr>
            <w:tcW w:type="dxa" w:w="3384"/>
            <w:vAlign w:val="top"/>
            <w:tcMar>
              <w:top w:w="60" w:type="dxa"/>
              <w:start w:w="70" w:type="dxa"/>
              <w:bottom w:w="60" w:type="dxa"/>
              <w:end w:w="70" w:type="dxa"/>
            </w:tcMar>
            <w:shd w:fill="F8F9FA"/>
          </w:tcPr>
          <w:p>
            <w:pPr>
              <w:pStyle w:val="TableText"/>
            </w:pPr>
            <w:r>
              <w:rPr>
                <w:sz w:val="11"/>
              </w:rPr>
              <w:t>Preserve immutable source, artifact, configuration, contract and run metadata; define rebuild/failover and test against the workload tier.</w:t>
            </w:r>
          </w:p>
        </w:tc>
        <w:tc>
          <w:tcPr>
            <w:tcW w:type="dxa" w:w="1656"/>
            <w:vAlign w:val="top"/>
            <w:tcMar>
              <w:top w:w="60" w:type="dxa"/>
              <w:start w:w="70" w:type="dxa"/>
              <w:bottom w:w="60" w:type="dxa"/>
              <w:end w:w="70" w:type="dxa"/>
            </w:tcMar>
            <w:shd w:fill="F8F9FA"/>
          </w:tcPr>
          <w:p>
            <w:pPr>
              <w:pStyle w:val="TableText"/>
            </w:pPr>
            <w:r>
              <w:rPr>
                <w:sz w:val="11"/>
              </w:rPr>
              <w:t>Security model</w:t>
            </w:r>
          </w:p>
        </w:tc>
        <w:tc>
          <w:tcPr>
            <w:tcW w:type="dxa" w:w="3384"/>
            <w:vAlign w:val="top"/>
            <w:tcMar>
              <w:top w:w="60" w:type="dxa"/>
              <w:start w:w="70" w:type="dxa"/>
              <w:bottom w:w="60" w:type="dxa"/>
              <w:end w:w="70" w:type="dxa"/>
            </w:tcMar>
            <w:shd w:fill="F8F9FA"/>
          </w:tcPr>
          <w:p>
            <w:pPr>
              <w:pStyle w:val="TableText"/>
            </w:pPr>
            <w:r>
              <w:rPr>
                <w:sz w:val="11"/>
              </w:rPr>
              <w:t>Dedicated runtime identity, least privilege, audit logging, private access and data controls by classification.</w:t>
            </w:r>
          </w:p>
        </w:tc>
      </w:tr>
      <w:tr>
        <w:trPr>
          <w:cantSplit/>
        </w:trPr>
        <w:tc>
          <w:tcPr>
            <w:tcW w:type="dxa" w:w="1656"/>
            <w:vAlign w:val="top"/>
            <w:tcMar>
              <w:top w:w="60" w:type="dxa"/>
              <w:start w:w="70" w:type="dxa"/>
              <w:bottom w:w="60" w:type="dxa"/>
              <w:end w:w="70" w:type="dxa"/>
            </w:tcMar>
          </w:tcPr>
          <w:p>
            <w:pPr>
              <w:pStyle w:val="TableText"/>
            </w:pPr>
            <w:r>
              <w:rPr>
                <w:sz w:val="11"/>
              </w:rPr>
              <w:t>IAM requirements</w:t>
            </w:r>
          </w:p>
        </w:tc>
        <w:tc>
          <w:tcPr>
            <w:tcW w:type="dxa" w:w="3384"/>
            <w:vAlign w:val="top"/>
            <w:tcMar>
              <w:top w:w="60" w:type="dxa"/>
              <w:start w:w="70" w:type="dxa"/>
              <w:bottom w:w="60" w:type="dxa"/>
              <w:end w:w="70" w:type="dxa"/>
            </w:tcMar>
          </w:tcPr>
          <w:p>
            <w:pPr>
              <w:pStyle w:val="TableText"/>
            </w:pPr>
            <w:r>
              <w:rPr>
                <w:sz w:val="11"/>
              </w:rPr>
              <w:t>Separate deployer, orchestrator and runtime roles; group-based human access; no broad primitive roles or user-managed keys.</w:t>
            </w:r>
          </w:p>
        </w:tc>
        <w:tc>
          <w:tcPr>
            <w:tcW w:type="dxa" w:w="1656"/>
            <w:vAlign w:val="top"/>
            <w:tcMar>
              <w:top w:w="60" w:type="dxa"/>
              <w:start w:w="70" w:type="dxa"/>
              <w:bottom w:w="60" w:type="dxa"/>
              <w:end w:w="70" w:type="dxa"/>
            </w:tcMar>
          </w:tcPr>
          <w:p>
            <w:pPr>
              <w:pStyle w:val="TableText"/>
            </w:pPr>
            <w:r>
              <w:rPr>
                <w:sz w:val="11"/>
              </w:rPr>
              <w:t>Network requirements</w:t>
            </w:r>
          </w:p>
        </w:tc>
        <w:tc>
          <w:tcPr>
            <w:tcW w:type="dxa" w:w="3384"/>
            <w:vAlign w:val="top"/>
            <w:tcMar>
              <w:top w:w="60" w:type="dxa"/>
              <w:start w:w="70" w:type="dxa"/>
              <w:bottom w:w="60" w:type="dxa"/>
              <w:end w:w="70" w:type="dxa"/>
            </w:tcMar>
          </w:tcPr>
          <w:p>
            <w:pPr>
              <w:pStyle w:val="TableText"/>
            </w:pPr>
            <w:r>
              <w:rPr>
                <w:sz w:val="11"/>
              </w:rPr>
              <w:t>Private IP/private Google access or approved private APIs; controlled egress, DNS and hybrid routes where required.</w:t>
            </w:r>
          </w:p>
        </w:tc>
      </w:tr>
      <w:tr>
        <w:trPr>
          <w:cantSplit/>
        </w:trPr>
        <w:tc>
          <w:tcPr>
            <w:tcW w:type="dxa" w:w="1656"/>
            <w:vAlign w:val="top"/>
            <w:tcMar>
              <w:top w:w="60" w:type="dxa"/>
              <w:start w:w="70" w:type="dxa"/>
              <w:bottom w:w="60" w:type="dxa"/>
              <w:end w:w="70" w:type="dxa"/>
            </w:tcMar>
            <w:shd w:fill="F8F9FA"/>
          </w:tcPr>
          <w:p>
            <w:pPr>
              <w:pStyle w:val="TableText"/>
            </w:pPr>
            <w:r>
              <w:rPr>
                <w:sz w:val="11"/>
              </w:rPr>
              <w:t>VPC Service Controls considerations</w:t>
            </w:r>
          </w:p>
        </w:tc>
        <w:tc>
          <w:tcPr>
            <w:tcW w:type="dxa" w:w="3384"/>
            <w:vAlign w:val="top"/>
            <w:tcMar>
              <w:top w:w="60" w:type="dxa"/>
              <w:start w:w="70" w:type="dxa"/>
              <w:bottom w:w="60" w:type="dxa"/>
              <w:end w:w="70" w:type="dxa"/>
            </w:tcMar>
            <w:shd w:fill="F8F9FA"/>
          </w:tcPr>
          <w:p>
            <w:pPr>
              <w:pStyle w:val="TableText"/>
            </w:pPr>
            <w:r>
              <w:rPr>
                <w:sz w:val="11"/>
              </w:rPr>
              <w:t>Validate current service support and ingress/egress rules; test CI/CD, orchestration and operational access across perimeters.</w:t>
            </w:r>
          </w:p>
        </w:tc>
        <w:tc>
          <w:tcPr>
            <w:tcW w:type="dxa" w:w="1656"/>
            <w:vAlign w:val="top"/>
            <w:tcMar>
              <w:top w:w="60" w:type="dxa"/>
              <w:start w:w="70" w:type="dxa"/>
              <w:bottom w:w="60" w:type="dxa"/>
              <w:end w:w="70" w:type="dxa"/>
            </w:tcMar>
            <w:shd w:fill="F8F9FA"/>
          </w:tcPr>
          <w:p>
            <w:pPr>
              <w:pStyle w:val="TableText"/>
            </w:pPr>
            <w:r>
              <w:rPr>
                <w:sz w:val="11"/>
              </w:rPr>
              <w:t>Encryption capabilities</w:t>
            </w:r>
          </w:p>
        </w:tc>
        <w:tc>
          <w:tcPr>
            <w:tcW w:type="dxa" w:w="3384"/>
            <w:vAlign w:val="top"/>
            <w:tcMar>
              <w:top w:w="60" w:type="dxa"/>
              <w:start w:w="70" w:type="dxa"/>
              <w:bottom w:w="60" w:type="dxa"/>
              <w:end w:w="70" w:type="dxa"/>
            </w:tcMar>
            <w:shd w:fill="F8F9FA"/>
          </w:tcPr>
          <w:p>
            <w:pPr>
              <w:pStyle w:val="TableText"/>
            </w:pPr>
            <w:r>
              <w:rPr>
                <w:sz w:val="11"/>
              </w:rPr>
              <w:t>Google-managed encryption by default; TLS in transit; protect staging, logs, metadata and error stores.</w:t>
            </w:r>
          </w:p>
        </w:tc>
      </w:tr>
      <w:tr>
        <w:trPr>
          <w:cantSplit/>
        </w:trPr>
        <w:tc>
          <w:tcPr>
            <w:tcW w:type="dxa" w:w="1656"/>
            <w:vAlign w:val="top"/>
            <w:tcMar>
              <w:top w:w="60" w:type="dxa"/>
              <w:start w:w="70" w:type="dxa"/>
              <w:bottom w:w="60" w:type="dxa"/>
              <w:end w:w="70" w:type="dxa"/>
            </w:tcMar>
          </w:tcPr>
          <w:p>
            <w:pPr>
              <w:pStyle w:val="TableText"/>
            </w:pPr>
            <w:r>
              <w:rPr>
                <w:sz w:val="11"/>
              </w:rPr>
              <w:t>CMEK support</w:t>
            </w:r>
          </w:p>
        </w:tc>
        <w:tc>
          <w:tcPr>
            <w:tcW w:type="dxa" w:w="3384"/>
            <w:vAlign w:val="top"/>
            <w:tcMar>
              <w:top w:w="60" w:type="dxa"/>
              <w:start w:w="70" w:type="dxa"/>
              <w:bottom w:w="60" w:type="dxa"/>
              <w:end w:w="70" w:type="dxa"/>
            </w:tcMar>
          </w:tcPr>
          <w:p>
            <w:pPr>
              <w:pStyle w:val="TableText"/>
            </w:pPr>
            <w:r>
              <w:rPr>
                <w:sz w:val="11"/>
              </w:rPr>
              <w:t>Apply where supported and required by Restricted/Regulated classification; validate region, service agent and rotation behavior.</w:t>
            </w:r>
          </w:p>
        </w:tc>
        <w:tc>
          <w:tcPr>
            <w:tcW w:type="dxa" w:w="1656"/>
            <w:vAlign w:val="top"/>
            <w:tcMar>
              <w:top w:w="60" w:type="dxa"/>
              <w:start w:w="70" w:type="dxa"/>
              <w:bottom w:w="60" w:type="dxa"/>
              <w:end w:w="70" w:type="dxa"/>
            </w:tcMar>
          </w:tcPr>
          <w:p>
            <w:pPr>
              <w:pStyle w:val="TableText"/>
            </w:pPr>
            <w:r>
              <w:rPr>
                <w:sz w:val="11"/>
              </w:rPr>
              <w:t>Logging</w:t>
            </w:r>
          </w:p>
        </w:tc>
        <w:tc>
          <w:tcPr>
            <w:tcW w:type="dxa" w:w="3384"/>
            <w:vAlign w:val="top"/>
            <w:tcMar>
              <w:top w:w="60" w:type="dxa"/>
              <w:start w:w="70" w:type="dxa"/>
              <w:bottom w:w="60" w:type="dxa"/>
              <w:end w:w="70" w:type="dxa"/>
            </w:tcMar>
          </w:tcPr>
          <w:p>
            <w:pPr>
              <w:pStyle w:val="TableText"/>
            </w:pPr>
            <w:r>
              <w:rPr>
                <w:sz w:val="11"/>
              </w:rPr>
              <w:t>Enable admin and required data-access audit logs plus structured application logs without sensitive payload leakage.</w:t>
            </w:r>
          </w:p>
        </w:tc>
      </w:tr>
      <w:tr>
        <w:trPr>
          <w:cantSplit/>
        </w:trPr>
        <w:tc>
          <w:tcPr>
            <w:tcW w:type="dxa" w:w="1656"/>
            <w:vAlign w:val="top"/>
            <w:tcMar>
              <w:top w:w="60" w:type="dxa"/>
              <w:start w:w="70" w:type="dxa"/>
              <w:bottom w:w="60" w:type="dxa"/>
              <w:end w:w="70" w:type="dxa"/>
            </w:tcMar>
            <w:shd w:fill="F8F9FA"/>
          </w:tcPr>
          <w:p>
            <w:pPr>
              <w:pStyle w:val="TableText"/>
            </w:pPr>
            <w:r>
              <w:rPr>
                <w:sz w:val="11"/>
              </w:rPr>
              <w:t>Monitoring</w:t>
            </w:r>
          </w:p>
        </w:tc>
        <w:tc>
          <w:tcPr>
            <w:tcW w:type="dxa" w:w="3384"/>
            <w:vAlign w:val="top"/>
            <w:tcMar>
              <w:top w:w="60" w:type="dxa"/>
              <w:start w:w="70" w:type="dxa"/>
              <w:bottom w:w="60" w:type="dxa"/>
              <w:end w:w="70" w:type="dxa"/>
            </w:tcMar>
            <w:shd w:fill="F8F9FA"/>
          </w:tcPr>
          <w:p>
            <w:pPr>
              <w:pStyle w:val="TableText"/>
            </w:pPr>
            <w:r>
              <w:rPr>
                <w:sz w:val="11"/>
              </w:rPr>
              <w:t>Track execution, latency, backlog/watermark, throughput, errors, resource saturation, quality, freshness and cost.</w:t>
            </w:r>
          </w:p>
        </w:tc>
        <w:tc>
          <w:tcPr>
            <w:tcW w:type="dxa" w:w="1656"/>
            <w:vAlign w:val="top"/>
            <w:tcMar>
              <w:top w:w="60" w:type="dxa"/>
              <w:start w:w="70" w:type="dxa"/>
              <w:bottom w:w="60" w:type="dxa"/>
              <w:end w:w="70" w:type="dxa"/>
            </w:tcMar>
            <w:shd w:fill="F8F9FA"/>
          </w:tcPr>
          <w:p>
            <w:pPr>
              <w:pStyle w:val="TableText"/>
            </w:pPr>
            <w:r>
              <w:rPr>
                <w:sz w:val="11"/>
              </w:rPr>
              <w:t>Alerting</w:t>
            </w:r>
          </w:p>
        </w:tc>
        <w:tc>
          <w:tcPr>
            <w:tcW w:type="dxa" w:w="3384"/>
            <w:vAlign w:val="top"/>
            <w:tcMar>
              <w:top w:w="60" w:type="dxa"/>
              <w:start w:w="70" w:type="dxa"/>
              <w:bottom w:w="60" w:type="dxa"/>
              <w:end w:w="70" w:type="dxa"/>
            </w:tcMar>
            <w:shd w:fill="F8F9FA"/>
          </w:tcPr>
          <w:p>
            <w:pPr>
              <w:pStyle w:val="TableText"/>
            </w:pPr>
            <w:r>
              <w:rPr>
                <w:sz w:val="11"/>
              </w:rPr>
              <w:t>Page on SLO/customer impact; ticket on trend/capacity; route to named product and platform owners with runbook links.</w:t>
            </w:r>
          </w:p>
        </w:tc>
      </w:tr>
      <w:tr>
        <w:trPr>
          <w:cantSplit/>
        </w:trPr>
        <w:tc>
          <w:tcPr>
            <w:tcW w:type="dxa" w:w="1656"/>
            <w:vAlign w:val="top"/>
            <w:tcMar>
              <w:top w:w="60" w:type="dxa"/>
              <w:start w:w="70" w:type="dxa"/>
              <w:bottom w:w="60" w:type="dxa"/>
              <w:end w:w="70" w:type="dxa"/>
            </w:tcMar>
          </w:tcPr>
          <w:p>
            <w:pPr>
              <w:pStyle w:val="TableText"/>
            </w:pPr>
            <w:r>
              <w:rPr>
                <w:sz w:val="11"/>
              </w:rPr>
              <w:t>Cost drivers</w:t>
            </w:r>
          </w:p>
        </w:tc>
        <w:tc>
          <w:tcPr>
            <w:tcW w:type="dxa" w:w="3384"/>
            <w:vAlign w:val="top"/>
            <w:tcMar>
              <w:top w:w="60" w:type="dxa"/>
              <w:start w:w="70" w:type="dxa"/>
              <w:bottom w:w="60" w:type="dxa"/>
              <w:end w:w="70" w:type="dxa"/>
            </w:tcMar>
          </w:tcPr>
          <w:p>
            <w:pPr>
              <w:pStyle w:val="TableText"/>
            </w:pPr>
            <w:r>
              <w:rPr>
                <w:sz w:val="11"/>
              </w:rPr>
              <w:t>Compute/runtime duration, data volume, storage/shuffle, API operations, retention, network movement and observability volume as applicable.</w:t>
            </w:r>
          </w:p>
        </w:tc>
        <w:tc>
          <w:tcPr>
            <w:tcW w:type="dxa" w:w="1656"/>
            <w:vAlign w:val="top"/>
            <w:tcMar>
              <w:top w:w="60" w:type="dxa"/>
              <w:start w:w="70" w:type="dxa"/>
              <w:bottom w:w="60" w:type="dxa"/>
              <w:end w:w="70" w:type="dxa"/>
            </w:tcMar>
          </w:tcPr>
          <w:p>
            <w:pPr>
              <w:pStyle w:val="TableText"/>
            </w:pPr>
            <w:r>
              <w:rPr>
                <w:sz w:val="11"/>
              </w:rPr>
              <w:t>Cost-optimization techniques</w:t>
            </w:r>
          </w:p>
        </w:tc>
        <w:tc>
          <w:tcPr>
            <w:tcW w:type="dxa" w:w="3384"/>
            <w:vAlign w:val="top"/>
            <w:tcMar>
              <w:top w:w="60" w:type="dxa"/>
              <w:start w:w="70" w:type="dxa"/>
              <w:bottom w:w="60" w:type="dxa"/>
              <w:end w:w="70" w:type="dxa"/>
            </w:tcMar>
          </w:tcPr>
          <w:p>
            <w:pPr>
              <w:pStyle w:val="TableText"/>
            </w:pPr>
            <w:r>
              <w:rPr>
                <w:sz w:val="11"/>
              </w:rPr>
              <w:t>Use the least-complex pattern, right-size/autoscale, prune early, reuse artifacts, control retention/logging and measure product-level unit cost.</w:t>
            </w:r>
          </w:p>
        </w:tc>
      </w:tr>
      <w:tr>
        <w:trPr>
          <w:cantSplit/>
        </w:trPr>
        <w:tc>
          <w:tcPr>
            <w:tcW w:type="dxa" w:w="1656"/>
            <w:vAlign w:val="top"/>
            <w:tcMar>
              <w:top w:w="60" w:type="dxa"/>
              <w:start w:w="70" w:type="dxa"/>
              <w:bottom w:w="60" w:type="dxa"/>
              <w:end w:w="70" w:type="dxa"/>
            </w:tcMar>
            <w:shd w:fill="F8F9FA"/>
          </w:tcPr>
          <w:p>
            <w:pPr>
              <w:pStyle w:val="TableText"/>
            </w:pPr>
            <w:r>
              <w:rPr>
                <w:sz w:val="11"/>
              </w:rPr>
              <w:t>Operational responsibilities</w:t>
            </w:r>
          </w:p>
        </w:tc>
        <w:tc>
          <w:tcPr>
            <w:tcW w:type="dxa" w:w="3384"/>
            <w:vAlign w:val="top"/>
            <w:tcMar>
              <w:top w:w="60" w:type="dxa"/>
              <w:start w:w="70" w:type="dxa"/>
              <w:bottom w:w="60" w:type="dxa"/>
              <w:end w:w="70" w:type="dxa"/>
            </w:tcMar>
            <w:shd w:fill="F8F9FA"/>
          </w:tcPr>
          <w:p>
            <w:pPr>
              <w:pStyle w:val="TableText"/>
            </w:pPr>
            <w:r>
              <w:rPr>
                <w:sz w:val="11"/>
              </w:rPr>
              <w:t>Platform owns paved road and service guardrails; domain owns logic, data correctness and product SLO; SRE owns operational framework.</w:t>
            </w:r>
          </w:p>
        </w:tc>
        <w:tc>
          <w:tcPr>
            <w:tcW w:type="dxa" w:w="1656"/>
            <w:vAlign w:val="top"/>
            <w:tcMar>
              <w:top w:w="60" w:type="dxa"/>
              <w:start w:w="70" w:type="dxa"/>
              <w:bottom w:w="60" w:type="dxa"/>
              <w:end w:w="70" w:type="dxa"/>
            </w:tcMar>
            <w:shd w:fill="F8F9FA"/>
          </w:tcPr>
          <w:p>
            <w:pPr>
              <w:pStyle w:val="TableText"/>
            </w:pPr>
            <w:r>
              <w:rPr>
                <w:sz w:val="11"/>
              </w:rPr>
              <w:t>Integration points</w:t>
            </w:r>
          </w:p>
        </w:tc>
        <w:tc>
          <w:tcPr>
            <w:tcW w:type="dxa" w:w="3384"/>
            <w:vAlign w:val="top"/>
            <w:tcMar>
              <w:top w:w="60" w:type="dxa"/>
              <w:start w:w="70" w:type="dxa"/>
              <w:bottom w:w="60" w:type="dxa"/>
              <w:end w:w="70" w:type="dxa"/>
            </w:tcMar>
            <w:shd w:fill="F8F9FA"/>
          </w:tcPr>
          <w:p>
            <w:pPr>
              <w:pStyle w:val="TableText"/>
            </w:pPr>
            <w:r>
              <w:rPr>
                <w:sz w:val="11"/>
              </w:rPr>
              <w:t>Cloud Storage, BigQuery, Pub/Sub, orchestration, Knowledge Catalog, Monitoring, Logging, IAM, KMS, CI/CD and Terraform as applicable.</w:t>
            </w:r>
          </w:p>
        </w:tc>
      </w:tr>
      <w:tr>
        <w:trPr>
          <w:cantSplit/>
        </w:trPr>
        <w:tc>
          <w:tcPr>
            <w:tcW w:type="dxa" w:w="1656"/>
            <w:vAlign w:val="top"/>
            <w:tcMar>
              <w:top w:w="60" w:type="dxa"/>
              <w:start w:w="70" w:type="dxa"/>
              <w:bottom w:w="60" w:type="dxa"/>
              <w:end w:w="70" w:type="dxa"/>
            </w:tcMar>
          </w:tcPr>
          <w:p>
            <w:pPr>
              <w:pStyle w:val="TableText"/>
            </w:pPr>
            <w:r>
              <w:rPr>
                <w:sz w:val="11"/>
              </w:rPr>
              <w:t>Alternatives</w:t>
            </w:r>
          </w:p>
        </w:tc>
        <w:tc>
          <w:tcPr>
            <w:tcW w:type="dxa" w:w="3384"/>
            <w:vAlign w:val="top"/>
            <w:tcMar>
              <w:top w:w="60" w:type="dxa"/>
              <w:start w:w="70" w:type="dxa"/>
              <w:bottom w:w="60" w:type="dxa"/>
              <w:end w:w="70" w:type="dxa"/>
            </w:tcMar>
          </w:tcPr>
          <w:p>
            <w:pPr>
              <w:pStyle w:val="TableText"/>
            </w:pPr>
            <w:r>
              <w:rPr>
                <w:sz w:val="11"/>
              </w:rPr>
              <w:t>Evaluate adjacent services or self-managed options only against correctness, SLO, security, recovery, skills, cost and operational evidence.</w:t>
            </w:r>
          </w:p>
        </w:tc>
        <w:tc>
          <w:tcPr>
            <w:tcW w:type="dxa" w:w="1656"/>
            <w:vAlign w:val="top"/>
            <w:tcMar>
              <w:top w:w="60" w:type="dxa"/>
              <w:start w:w="70" w:type="dxa"/>
              <w:bottom w:w="60" w:type="dxa"/>
              <w:end w:w="70" w:type="dxa"/>
            </w:tcMar>
          </w:tcPr>
          <w:p>
            <w:pPr>
              <w:pStyle w:val="TableText"/>
            </w:pPr>
            <w:r>
              <w:rPr>
                <w:sz w:val="11"/>
              </w:rPr>
              <w:t>Selection criteria</w:t>
            </w:r>
          </w:p>
        </w:tc>
        <w:tc>
          <w:tcPr>
            <w:tcW w:type="dxa" w:w="3384"/>
            <w:vAlign w:val="top"/>
            <w:tcMar>
              <w:top w:w="60" w:type="dxa"/>
              <w:start w:w="70" w:type="dxa"/>
              <w:bottom w:w="60" w:type="dxa"/>
              <w:end w:w="70" w:type="dxa"/>
            </w:tcMar>
          </w:tcPr>
          <w:p>
            <w:pPr>
              <w:pStyle w:val="TableText"/>
            </w:pPr>
            <w:r>
              <w:rPr>
                <w:sz w:val="11"/>
              </w:rPr>
              <w:t>Workload boundedness, freshness, event semantics, library compatibility, scale, region, recovery, security and total operational cost.</w:t>
            </w:r>
          </w:p>
        </w:tc>
      </w:tr>
      <w:tr>
        <w:trPr>
          <w:cantSplit/>
        </w:trPr>
        <w:tc>
          <w:tcPr>
            <w:tcW w:type="dxa" w:w="1656"/>
            <w:vAlign w:val="top"/>
            <w:tcMar>
              <w:top w:w="60" w:type="dxa"/>
              <w:start w:w="70" w:type="dxa"/>
              <w:bottom w:w="60" w:type="dxa"/>
              <w:end w:w="70" w:type="dxa"/>
            </w:tcMar>
            <w:shd w:fill="F8F9FA"/>
          </w:tcPr>
          <w:p>
            <w:pPr>
              <w:pStyle w:val="TableText"/>
            </w:pPr>
            <w:r>
              <w:rPr>
                <w:sz w:val="11"/>
              </w:rPr>
              <w:t>Best practices</w:t>
            </w:r>
          </w:p>
        </w:tc>
        <w:tc>
          <w:tcPr>
            <w:tcW w:type="dxa" w:w="3384"/>
            <w:vAlign w:val="top"/>
            <w:tcMar>
              <w:top w:w="60" w:type="dxa"/>
              <w:start w:w="70" w:type="dxa"/>
              <w:bottom w:w="60" w:type="dxa"/>
              <w:end w:w="70" w:type="dxa"/>
            </w:tcMar>
            <w:shd w:fill="F8F9FA"/>
          </w:tcPr>
          <w:p>
            <w:pPr>
              <w:pStyle w:val="TableText"/>
            </w:pPr>
            <w:r>
              <w:rPr>
                <w:sz w:val="11"/>
              </w:rPr>
              <w:t>Use immutable artifacts, explicit schemas/contracts, idempotent writes, bounded retry, quarantine, SLOs, tests and run metadata.</w:t>
            </w:r>
          </w:p>
        </w:tc>
        <w:tc>
          <w:tcPr>
            <w:tcW w:type="dxa" w:w="1656"/>
            <w:vAlign w:val="top"/>
            <w:tcMar>
              <w:top w:w="60" w:type="dxa"/>
              <w:start w:w="70" w:type="dxa"/>
              <w:bottom w:w="60" w:type="dxa"/>
              <w:end w:w="70" w:type="dxa"/>
            </w:tcMar>
            <w:shd w:fill="F8F9FA"/>
          </w:tcPr>
          <w:p>
            <w:pPr>
              <w:pStyle w:val="TableText"/>
            </w:pPr>
            <w:r>
              <w:rPr>
                <w:sz w:val="11"/>
              </w:rPr>
              <w:t>Reference architecture</w:t>
            </w:r>
          </w:p>
        </w:tc>
        <w:tc>
          <w:tcPr>
            <w:tcW w:type="dxa" w:w="3384"/>
            <w:vAlign w:val="top"/>
            <w:tcMar>
              <w:top w:w="60" w:type="dxa"/>
              <w:start w:w="70" w:type="dxa"/>
              <w:bottom w:w="60" w:type="dxa"/>
              <w:end w:w="70" w:type="dxa"/>
            </w:tcMar>
            <w:shd w:fill="F8F9FA"/>
          </w:tcPr>
          <w:p>
            <w:pPr>
              <w:pStyle w:val="TableText"/>
            </w:pPr>
            <w:r>
              <w:rPr>
                <w:sz w:val="11"/>
              </w:rPr>
              <w:t>Use the service in the target pipeline architecture and applicable pattern diagrams in this volume.</w:t>
            </w:r>
          </w:p>
        </w:tc>
      </w:tr>
      <w:tr>
        <w:trPr>
          <w:cantSplit/>
        </w:trPr>
        <w:tc>
          <w:tcPr>
            <w:tcW w:type="dxa" w:w="1656"/>
            <w:vAlign w:val="top"/>
            <w:tcMar>
              <w:top w:w="60" w:type="dxa"/>
              <w:start w:w="70" w:type="dxa"/>
              <w:bottom w:w="60" w:type="dxa"/>
              <w:end w:w="70" w:type="dxa"/>
            </w:tcMar>
          </w:tcPr>
          <w:p>
            <w:pPr>
              <w:pStyle w:val="TableText"/>
            </w:pPr>
            <w:r>
              <w:rPr>
                <w:sz w:val="11"/>
              </w:rPr>
              <w:t>Sample configuration</w:t>
            </w:r>
          </w:p>
        </w:tc>
        <w:tc>
          <w:tcPr>
            <w:tcW w:type="dxa" w:w="3384"/>
            <w:vAlign w:val="top"/>
            <w:tcMar>
              <w:top w:w="60" w:type="dxa"/>
              <w:start w:w="70" w:type="dxa"/>
              <w:bottom w:w="60" w:type="dxa"/>
              <w:end w:w="70" w:type="dxa"/>
            </w:tcMar>
          </w:tcPr>
          <w:p>
            <w:pPr>
              <w:pStyle w:val="TableText"/>
            </w:pPr>
            <w:r>
              <w:rPr>
                <w:sz w:val="11"/>
              </w:rPr>
              <w:t>See the companion examples, Terraform, SQL, YAML and README files in the implementation package.</w:t>
            </w:r>
          </w:p>
        </w:tc>
        <w:tc>
          <w:tcPr>
            <w:tcW w:type="dxa" w:w="1656"/>
            <w:vAlign w:val="top"/>
            <w:tcMar>
              <w:top w:w="60" w:type="dxa"/>
              <w:start w:w="70" w:type="dxa"/>
              <w:bottom w:w="60" w:type="dxa"/>
              <w:end w:w="70" w:type="dxa"/>
            </w:tcMar>
          </w:tcPr>
          <w:p>
            <w:pPr>
              <w:pStyle w:val="TableText"/>
            </w:pPr>
            <w:r>
              <w:rPr>
                <w:sz w:val="11"/>
              </w:rPr>
              <w:t>Common pitfalls</w:t>
            </w:r>
          </w:p>
        </w:tc>
        <w:tc>
          <w:tcPr>
            <w:tcW w:type="dxa" w:w="3384"/>
            <w:vAlign w:val="top"/>
            <w:tcMar>
              <w:top w:w="60" w:type="dxa"/>
              <w:start w:w="70" w:type="dxa"/>
              <w:bottom w:w="60" w:type="dxa"/>
              <w:end w:w="70" w:type="dxa"/>
            </w:tcMar>
          </w:tcPr>
          <w:p>
            <w:pPr>
              <w:pStyle w:val="TableText"/>
            </w:pPr>
            <w:r>
              <w:rPr>
                <w:sz w:val="11"/>
              </w:rPr>
              <w:t>Assuming managed means no design, mixing orchestration and processing, ignoring quotas/regions and declaring exactly-once without end-to-end proof.</w:t>
            </w:r>
          </w:p>
        </w:tc>
      </w:tr>
      <w:tr>
        <w:trPr>
          <w:cantSplit/>
        </w:trPr>
        <w:tc>
          <w:tcPr>
            <w:tcW w:type="dxa" w:w="1656"/>
            <w:vAlign w:val="top"/>
            <w:tcMar>
              <w:top w:w="60" w:type="dxa"/>
              <w:start w:w="70" w:type="dxa"/>
              <w:bottom w:w="60" w:type="dxa"/>
              <w:end w:w="70" w:type="dxa"/>
            </w:tcMar>
            <w:shd w:fill="F8F9FA"/>
          </w:tcPr>
          <w:p>
            <w:pPr>
              <w:pStyle w:val="TableText"/>
            </w:pPr>
            <w:r>
              <w:rPr>
                <w:sz w:val="11"/>
              </w:rPr>
              <w:t>Anti-patterns</w:t>
            </w:r>
          </w:p>
        </w:tc>
        <w:tc>
          <w:tcPr>
            <w:tcW w:type="dxa" w:w="3384"/>
            <w:vAlign w:val="top"/>
            <w:tcMar>
              <w:top w:w="60" w:type="dxa"/>
              <w:start w:w="70" w:type="dxa"/>
              <w:bottom w:w="60" w:type="dxa"/>
              <w:end w:w="70" w:type="dxa"/>
            </w:tcMar>
            <w:shd w:fill="F8F9FA"/>
          </w:tcPr>
          <w:p>
            <w:pPr>
              <w:pStyle w:val="TableText"/>
            </w:pPr>
            <w:r>
              <w:rPr>
                <w:sz w:val="11"/>
              </w:rPr>
              <w:t>Console-authored production, shared broad service accounts, unbounded retries/state, ownerless DLQs, destructive reruns and missing reconciliation.</w:t>
            </w:r>
          </w:p>
        </w:tc>
        <w:tc>
          <w:tcPr>
            <w:tcW w:type="dxa" w:w="1656"/>
            <w:vAlign w:val="top"/>
            <w:tcMar>
              <w:top w:w="60" w:type="dxa"/>
              <w:start w:w="70" w:type="dxa"/>
              <w:bottom w:w="60" w:type="dxa"/>
              <w:end w:w="70" w:type="dxa"/>
            </w:tcMar>
            <w:shd w:fill="F8F9FA"/>
          </w:tcPr>
          <w:p>
            <w:pPr>
              <w:pStyle w:val="TableText"/>
            </w:pPr>
            <w:r>
              <w:rPr>
                <w:sz w:val="11"/>
              </w:rPr>
              <w:t>Production-readiness checklist</w:t>
            </w:r>
          </w:p>
        </w:tc>
        <w:tc>
          <w:tcPr>
            <w:tcW w:type="dxa" w:w="3384"/>
            <w:vAlign w:val="top"/>
            <w:tcMar>
              <w:top w:w="60" w:type="dxa"/>
              <w:start w:w="70" w:type="dxa"/>
              <w:bottom w:w="60" w:type="dxa"/>
              <w:end w:w="70" w:type="dxa"/>
            </w:tcMar>
            <w:shd w:fill="F8F9FA"/>
          </w:tcPr>
          <w:p>
            <w:pPr>
              <w:pStyle w:val="TableText"/>
            </w:pPr>
            <w:r>
              <w:rPr>
                <w:sz w:val="11"/>
              </w:rPr>
              <w:t>Current docs validated; owner/tier/contract set; IAM/network/KMS approved; load, failure, replay and rollback tests pass; dashboards/runbooks active.</w:t>
            </w:r>
          </w:p>
        </w:tc>
      </w:tr>
    </w:tbl>
    <w:p>
      <w:r>
        <w:br w:type="page"/>
      </w:r>
    </w:p>
    <w:p>
      <w:pPr>
        <w:pStyle w:val="Heading1"/>
        <w:keepNext/>
      </w:pPr>
      <w:r>
        <w:t>28. Architecture Decision Records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152"/>
            <w:shd w:fill="1A73E8"/>
            <w:vAlign w:val="center"/>
            <w:tcMar>
              <w:top w:w="60" w:type="dxa"/>
              <w:start w:w="70" w:type="dxa"/>
              <w:bottom w:w="60" w:type="dxa"/>
              <w:end w:w="70" w:type="dxa"/>
            </w:tcMar>
          </w:tcPr>
          <w:p>
            <w:r>
              <w:rPr>
                <w:b/>
                <w:color w:val="FFFFFF"/>
                <w:sz w:val="13"/>
              </w:rPr>
              <w:t>ADR</w:t>
            </w:r>
          </w:p>
        </w:tc>
        <w:tc>
          <w:tcPr>
            <w:tcW w:type="dxa" w:w="4032"/>
            <w:shd w:fill="1A73E8"/>
            <w:vAlign w:val="center"/>
            <w:tcMar>
              <w:top w:w="60" w:type="dxa"/>
              <w:start w:w="70" w:type="dxa"/>
              <w:bottom w:w="60" w:type="dxa"/>
              <w:end w:w="70" w:type="dxa"/>
            </w:tcMar>
          </w:tcPr>
          <w:p>
            <w:r>
              <w:rPr>
                <w:b/>
                <w:color w:val="FFFFFF"/>
                <w:sz w:val="13"/>
              </w:rPr>
              <w:t>Decision title</w:t>
            </w:r>
          </w:p>
        </w:tc>
        <w:tc>
          <w:tcPr>
            <w:tcW w:type="dxa" w:w="5472"/>
            <w:shd w:fill="1A73E8"/>
            <w:vAlign w:val="center"/>
            <w:tcMar>
              <w:top w:w="60" w:type="dxa"/>
              <w:start w:w="70" w:type="dxa"/>
              <w:bottom w:w="60" w:type="dxa"/>
              <w:end w:w="70" w:type="dxa"/>
            </w:tcMar>
          </w:tcPr>
          <w:p>
            <w:r>
              <w:rPr>
                <w:b/>
                <w:color w:val="FFFFFF"/>
                <w:sz w:val="13"/>
              </w:rPr>
              <w:t>Reference decision</w:t>
            </w:r>
          </w:p>
        </w:tc>
      </w:tr>
      <w:tr>
        <w:trPr>
          <w:cantSplit/>
        </w:trPr>
        <w:tc>
          <w:tcPr>
            <w:tcW w:type="dxa" w:w="1152"/>
            <w:vAlign w:val="top"/>
            <w:tcMar>
              <w:top w:w="60" w:type="dxa"/>
              <w:start w:w="70" w:type="dxa"/>
              <w:bottom w:w="60" w:type="dxa"/>
              <w:end w:w="70" w:type="dxa"/>
            </w:tcMar>
          </w:tcPr>
          <w:p>
            <w:pPr>
              <w:pStyle w:val="TableText"/>
            </w:pPr>
            <w:r>
              <w:rPr>
                <w:sz w:val="13"/>
              </w:rPr>
              <w:t>ADR-0401</w:t>
            </w:r>
          </w:p>
        </w:tc>
        <w:tc>
          <w:tcPr>
            <w:tcW w:type="dxa" w:w="4032"/>
            <w:vAlign w:val="top"/>
            <w:tcMar>
              <w:top w:w="60" w:type="dxa"/>
              <w:start w:w="70" w:type="dxa"/>
              <w:bottom w:w="60" w:type="dxa"/>
              <w:end w:w="70" w:type="dxa"/>
            </w:tcMar>
          </w:tcPr>
          <w:p>
            <w:pPr>
              <w:pStyle w:val="TableText"/>
            </w:pPr>
            <w:r>
              <w:rPr>
                <w:sz w:val="13"/>
              </w:rPr>
              <w:t>Select batch, micro-batch, CDC or streaming from measured freshness and recovery requirements</w:t>
            </w:r>
          </w:p>
        </w:tc>
        <w:tc>
          <w:tcPr>
            <w:tcW w:type="dxa" w:w="5472"/>
            <w:vAlign w:val="top"/>
            <w:tcMar>
              <w:top w:w="60" w:type="dxa"/>
              <w:start w:w="70" w:type="dxa"/>
              <w:bottom w:w="60" w:type="dxa"/>
              <w:end w:w="70" w:type="dxa"/>
            </w:tcMar>
          </w:tcPr>
          <w:p>
            <w:pPr>
              <w:pStyle w:val="TableText"/>
            </w:pPr>
            <w:r>
              <w:rPr>
                <w:sz w:val="13"/>
              </w:rPr>
              <w:t>Use the least complex pattern that meets business freshness, ordering, volume and RPO; streaming is not the default for all data.</w:t>
            </w:r>
          </w:p>
        </w:tc>
      </w:tr>
      <w:tr>
        <w:trPr>
          <w:cantSplit/>
        </w:trPr>
        <w:tc>
          <w:tcPr>
            <w:tcW w:type="dxa" w:w="1152"/>
            <w:vAlign w:val="top"/>
            <w:tcMar>
              <w:top w:w="60" w:type="dxa"/>
              <w:start w:w="70" w:type="dxa"/>
              <w:bottom w:w="60" w:type="dxa"/>
              <w:end w:w="70" w:type="dxa"/>
            </w:tcMar>
            <w:shd w:fill="F8F9FA"/>
          </w:tcPr>
          <w:p>
            <w:pPr>
              <w:pStyle w:val="TableText"/>
            </w:pPr>
            <w:r>
              <w:rPr>
                <w:sz w:val="13"/>
              </w:rPr>
              <w:t>ADR-0402</w:t>
            </w:r>
          </w:p>
        </w:tc>
        <w:tc>
          <w:tcPr>
            <w:tcW w:type="dxa" w:w="4032"/>
            <w:vAlign w:val="top"/>
            <w:tcMar>
              <w:top w:w="60" w:type="dxa"/>
              <w:start w:w="70" w:type="dxa"/>
              <w:bottom w:w="60" w:type="dxa"/>
              <w:end w:w="70" w:type="dxa"/>
            </w:tcMar>
            <w:shd w:fill="F8F9FA"/>
          </w:tcPr>
          <w:p>
            <w:pPr>
              <w:pStyle w:val="TableText"/>
            </w:pPr>
            <w:r>
              <w:rPr>
                <w:sz w:val="13"/>
              </w:rPr>
              <w:t>Adopt a hybrid ETL and ELT strategy</w:t>
            </w:r>
          </w:p>
        </w:tc>
        <w:tc>
          <w:tcPr>
            <w:tcW w:type="dxa" w:w="5472"/>
            <w:vAlign w:val="top"/>
            <w:tcMar>
              <w:top w:w="60" w:type="dxa"/>
              <w:start w:w="70" w:type="dxa"/>
              <w:bottom w:w="60" w:type="dxa"/>
              <w:end w:w="70" w:type="dxa"/>
            </w:tcMar>
            <w:shd w:fill="F8F9FA"/>
          </w:tcPr>
          <w:p>
            <w:pPr>
              <w:pStyle w:val="TableText"/>
            </w:pPr>
            <w:r>
              <w:rPr>
                <w:sz w:val="13"/>
              </w:rPr>
              <w:t>Use Dataflow/Managed Spark for ingestion and complex processing; use Dataform/BigQuery SQL for warehouse-native transformations.</w:t>
            </w:r>
          </w:p>
        </w:tc>
      </w:tr>
      <w:tr>
        <w:trPr>
          <w:cantSplit/>
        </w:trPr>
        <w:tc>
          <w:tcPr>
            <w:tcW w:type="dxa" w:w="1152"/>
            <w:vAlign w:val="top"/>
            <w:tcMar>
              <w:top w:w="60" w:type="dxa"/>
              <w:start w:w="70" w:type="dxa"/>
              <w:bottom w:w="60" w:type="dxa"/>
              <w:end w:w="70" w:type="dxa"/>
            </w:tcMar>
          </w:tcPr>
          <w:p>
            <w:pPr>
              <w:pStyle w:val="TableText"/>
            </w:pPr>
            <w:r>
              <w:rPr>
                <w:sz w:val="13"/>
              </w:rPr>
              <w:t>ADR-0403</w:t>
            </w:r>
          </w:p>
        </w:tc>
        <w:tc>
          <w:tcPr>
            <w:tcW w:type="dxa" w:w="4032"/>
            <w:vAlign w:val="top"/>
            <w:tcMar>
              <w:top w:w="60" w:type="dxa"/>
              <w:start w:w="70" w:type="dxa"/>
              <w:bottom w:w="60" w:type="dxa"/>
              <w:end w:w="70" w:type="dxa"/>
            </w:tcMar>
          </w:tcPr>
          <w:p>
            <w:pPr>
              <w:pStyle w:val="TableText"/>
            </w:pPr>
            <w:r>
              <w:rPr>
                <w:sz w:val="13"/>
              </w:rPr>
              <w:t>Use Dataflow and Apache Beam as the primary unified batch and streaming engine</w:t>
            </w:r>
          </w:p>
        </w:tc>
        <w:tc>
          <w:tcPr>
            <w:tcW w:type="dxa" w:w="5472"/>
            <w:vAlign w:val="top"/>
            <w:tcMar>
              <w:top w:w="60" w:type="dxa"/>
              <w:start w:w="70" w:type="dxa"/>
              <w:bottom w:w="60" w:type="dxa"/>
              <w:end w:w="70" w:type="dxa"/>
            </w:tcMar>
          </w:tcPr>
          <w:p>
            <w:pPr>
              <w:pStyle w:val="TableText"/>
            </w:pPr>
            <w:r>
              <w:rPr>
                <w:sz w:val="13"/>
              </w:rPr>
              <w:t>Standardize reusable Beam libraries and deploy immutable Dataflow Flex Templates.</w:t>
            </w:r>
          </w:p>
        </w:tc>
      </w:tr>
      <w:tr>
        <w:trPr>
          <w:cantSplit/>
        </w:trPr>
        <w:tc>
          <w:tcPr>
            <w:tcW w:type="dxa" w:w="1152"/>
            <w:vAlign w:val="top"/>
            <w:tcMar>
              <w:top w:w="60" w:type="dxa"/>
              <w:start w:w="70" w:type="dxa"/>
              <w:bottom w:w="60" w:type="dxa"/>
              <w:end w:w="70" w:type="dxa"/>
            </w:tcMar>
            <w:shd w:fill="F8F9FA"/>
          </w:tcPr>
          <w:p>
            <w:pPr>
              <w:pStyle w:val="TableText"/>
            </w:pPr>
            <w:r>
              <w:rPr>
                <w:sz w:val="13"/>
              </w:rPr>
              <w:t>ADR-0404</w:t>
            </w:r>
          </w:p>
        </w:tc>
        <w:tc>
          <w:tcPr>
            <w:tcW w:type="dxa" w:w="4032"/>
            <w:vAlign w:val="top"/>
            <w:tcMar>
              <w:top w:w="60" w:type="dxa"/>
              <w:start w:w="70" w:type="dxa"/>
              <w:bottom w:w="60" w:type="dxa"/>
              <w:end w:w="70" w:type="dxa"/>
            </w:tcMar>
            <w:shd w:fill="F8F9FA"/>
          </w:tcPr>
          <w:p>
            <w:pPr>
              <w:pStyle w:val="TableText"/>
            </w:pPr>
            <w:r>
              <w:rPr>
                <w:sz w:val="13"/>
              </w:rPr>
              <w:t>Use Managed Service for Apache Spark selectively with serverless-first execution</w:t>
            </w:r>
          </w:p>
        </w:tc>
        <w:tc>
          <w:tcPr>
            <w:tcW w:type="dxa" w:w="5472"/>
            <w:vAlign w:val="top"/>
            <w:tcMar>
              <w:top w:w="60" w:type="dxa"/>
              <w:start w:w="70" w:type="dxa"/>
              <w:bottom w:w="60" w:type="dxa"/>
              <w:end w:w="70" w:type="dxa"/>
            </w:tcMar>
            <w:shd w:fill="F8F9FA"/>
          </w:tcPr>
          <w:p>
            <w:pPr>
              <w:pStyle w:val="TableText"/>
            </w:pPr>
            <w:r>
              <w:rPr>
                <w:sz w:val="13"/>
              </w:rPr>
              <w:t>Choose serverless batches for episodic Spark; choose managed clusters only for persistent, specialized or migration constraints.</w:t>
            </w:r>
          </w:p>
        </w:tc>
      </w:tr>
      <w:tr>
        <w:trPr>
          <w:cantSplit/>
        </w:trPr>
        <w:tc>
          <w:tcPr>
            <w:tcW w:type="dxa" w:w="1152"/>
            <w:vAlign w:val="top"/>
            <w:tcMar>
              <w:top w:w="60" w:type="dxa"/>
              <w:start w:w="70" w:type="dxa"/>
              <w:bottom w:w="60" w:type="dxa"/>
              <w:end w:w="70" w:type="dxa"/>
            </w:tcMar>
          </w:tcPr>
          <w:p>
            <w:pPr>
              <w:pStyle w:val="TableText"/>
            </w:pPr>
            <w:r>
              <w:rPr>
                <w:sz w:val="13"/>
              </w:rPr>
              <w:t>ADR-0405</w:t>
            </w:r>
          </w:p>
        </w:tc>
        <w:tc>
          <w:tcPr>
            <w:tcW w:type="dxa" w:w="4032"/>
            <w:vAlign w:val="top"/>
            <w:tcMar>
              <w:top w:w="60" w:type="dxa"/>
              <w:start w:w="70" w:type="dxa"/>
              <w:bottom w:w="60" w:type="dxa"/>
              <w:end w:w="70" w:type="dxa"/>
            </w:tcMar>
          </w:tcPr>
          <w:p>
            <w:pPr>
              <w:pStyle w:val="TableText"/>
            </w:pPr>
            <w:r>
              <w:rPr>
                <w:sz w:val="13"/>
              </w:rPr>
              <w:t>Use Dataform as the default BigQuery SQL development and dependency framework</w:t>
            </w:r>
          </w:p>
        </w:tc>
        <w:tc>
          <w:tcPr>
            <w:tcW w:type="dxa" w:w="5472"/>
            <w:vAlign w:val="top"/>
            <w:tcMar>
              <w:top w:w="60" w:type="dxa"/>
              <w:start w:w="70" w:type="dxa"/>
              <w:bottom w:w="60" w:type="dxa"/>
              <w:end w:w="70" w:type="dxa"/>
            </w:tcMar>
          </w:tcPr>
          <w:p>
            <w:pPr>
              <w:pStyle w:val="TableText"/>
            </w:pPr>
            <w:r>
              <w:rPr>
                <w:sz w:val="13"/>
              </w:rPr>
              <w:t>Version SQLX, assertions, release configurations and workflow invocations.</w:t>
            </w:r>
          </w:p>
        </w:tc>
      </w:tr>
      <w:tr>
        <w:trPr>
          <w:cantSplit/>
        </w:trPr>
        <w:tc>
          <w:tcPr>
            <w:tcW w:type="dxa" w:w="1152"/>
            <w:vAlign w:val="top"/>
            <w:tcMar>
              <w:top w:w="60" w:type="dxa"/>
              <w:start w:w="70" w:type="dxa"/>
              <w:bottom w:w="60" w:type="dxa"/>
              <w:end w:w="70" w:type="dxa"/>
            </w:tcMar>
            <w:shd w:fill="F8F9FA"/>
          </w:tcPr>
          <w:p>
            <w:pPr>
              <w:pStyle w:val="TableText"/>
            </w:pPr>
            <w:r>
              <w:rPr>
                <w:sz w:val="13"/>
              </w:rPr>
              <w:t>ADR-0406</w:t>
            </w:r>
          </w:p>
        </w:tc>
        <w:tc>
          <w:tcPr>
            <w:tcW w:type="dxa" w:w="4032"/>
            <w:vAlign w:val="top"/>
            <w:tcMar>
              <w:top w:w="60" w:type="dxa"/>
              <w:start w:w="70" w:type="dxa"/>
              <w:bottom w:w="60" w:type="dxa"/>
              <w:end w:w="70" w:type="dxa"/>
            </w:tcMar>
            <w:shd w:fill="F8F9FA"/>
          </w:tcPr>
          <w:p>
            <w:pPr>
              <w:pStyle w:val="TableText"/>
            </w:pPr>
            <w:r>
              <w:rPr>
                <w:sz w:val="13"/>
              </w:rPr>
              <w:t>Use Managed Airflow for complex DAGs and Workflows for bounded API orchestration</w:t>
            </w:r>
          </w:p>
        </w:tc>
        <w:tc>
          <w:tcPr>
            <w:tcW w:type="dxa" w:w="5472"/>
            <w:vAlign w:val="top"/>
            <w:tcMar>
              <w:top w:w="60" w:type="dxa"/>
              <w:start w:w="70" w:type="dxa"/>
              <w:bottom w:w="60" w:type="dxa"/>
              <w:end w:w="70" w:type="dxa"/>
            </w:tcMar>
            <w:shd w:fill="F8F9FA"/>
          </w:tcPr>
          <w:p>
            <w:pPr>
              <w:pStyle w:val="TableText"/>
            </w:pPr>
            <w:r>
              <w:rPr>
                <w:sz w:val="13"/>
              </w:rPr>
              <w:t>Avoid centralizing all workflow logic in one orchestrator and avoid processing data in orchestration engines.</w:t>
            </w:r>
          </w:p>
        </w:tc>
      </w:tr>
      <w:tr>
        <w:trPr>
          <w:cantSplit/>
        </w:trPr>
        <w:tc>
          <w:tcPr>
            <w:tcW w:type="dxa" w:w="1152"/>
            <w:vAlign w:val="top"/>
            <w:tcMar>
              <w:top w:w="60" w:type="dxa"/>
              <w:start w:w="70" w:type="dxa"/>
              <w:bottom w:w="60" w:type="dxa"/>
              <w:end w:w="70" w:type="dxa"/>
            </w:tcMar>
          </w:tcPr>
          <w:p>
            <w:pPr>
              <w:pStyle w:val="TableText"/>
            </w:pPr>
            <w:r>
              <w:rPr>
                <w:sz w:val="13"/>
              </w:rPr>
              <w:t>ADR-0407</w:t>
            </w:r>
          </w:p>
        </w:tc>
        <w:tc>
          <w:tcPr>
            <w:tcW w:type="dxa" w:w="4032"/>
            <w:vAlign w:val="top"/>
            <w:tcMar>
              <w:top w:w="60" w:type="dxa"/>
              <w:start w:w="70" w:type="dxa"/>
              <w:bottom w:w="60" w:type="dxa"/>
              <w:end w:w="70" w:type="dxa"/>
            </w:tcMar>
          </w:tcPr>
          <w:p>
            <w:pPr>
              <w:pStyle w:val="TableText"/>
            </w:pPr>
            <w:r>
              <w:rPr>
                <w:sz w:val="13"/>
              </w:rPr>
              <w:t>Use Pub/Sub as the managed event backbone with idempotent consumers</w:t>
            </w:r>
          </w:p>
        </w:tc>
        <w:tc>
          <w:tcPr>
            <w:tcW w:type="dxa" w:w="5472"/>
            <w:vAlign w:val="top"/>
            <w:tcMar>
              <w:top w:w="60" w:type="dxa"/>
              <w:start w:w="70" w:type="dxa"/>
              <w:bottom w:w="60" w:type="dxa"/>
              <w:end w:w="70" w:type="dxa"/>
            </w:tcMar>
          </w:tcPr>
          <w:p>
            <w:pPr>
              <w:pStyle w:val="TableText"/>
            </w:pPr>
            <w:r>
              <w:rPr>
                <w:sz w:val="13"/>
              </w:rPr>
              <w:t>Require event IDs, schemas, bounded retry, DLQ, retention and explicit ordering decisions.</w:t>
            </w:r>
          </w:p>
        </w:tc>
      </w:tr>
      <w:tr>
        <w:trPr>
          <w:cantSplit/>
        </w:trPr>
        <w:tc>
          <w:tcPr>
            <w:tcW w:type="dxa" w:w="1152"/>
            <w:vAlign w:val="top"/>
            <w:tcMar>
              <w:top w:w="60" w:type="dxa"/>
              <w:start w:w="70" w:type="dxa"/>
              <w:bottom w:w="60" w:type="dxa"/>
              <w:end w:w="70" w:type="dxa"/>
            </w:tcMar>
            <w:shd w:fill="F8F9FA"/>
          </w:tcPr>
          <w:p>
            <w:pPr>
              <w:pStyle w:val="TableText"/>
            </w:pPr>
            <w:r>
              <w:rPr>
                <w:sz w:val="13"/>
              </w:rPr>
              <w:t>ADR-0408</w:t>
            </w:r>
          </w:p>
        </w:tc>
        <w:tc>
          <w:tcPr>
            <w:tcW w:type="dxa" w:w="4032"/>
            <w:vAlign w:val="top"/>
            <w:tcMar>
              <w:top w:w="60" w:type="dxa"/>
              <w:start w:w="70" w:type="dxa"/>
              <w:bottom w:w="60" w:type="dxa"/>
              <w:end w:w="70" w:type="dxa"/>
            </w:tcMar>
            <w:shd w:fill="F8F9FA"/>
          </w:tcPr>
          <w:p>
            <w:pPr>
              <w:pStyle w:val="TableText"/>
            </w:pPr>
            <w:r>
              <w:rPr>
                <w:sz w:val="13"/>
              </w:rPr>
              <w:t>Use Datastream for supported operational database CDC</w:t>
            </w:r>
          </w:p>
        </w:tc>
        <w:tc>
          <w:tcPr>
            <w:tcW w:type="dxa" w:w="5472"/>
            <w:vAlign w:val="top"/>
            <w:tcMar>
              <w:top w:w="60" w:type="dxa"/>
              <w:start w:w="70" w:type="dxa"/>
              <w:bottom w:w="60" w:type="dxa"/>
              <w:end w:w="70" w:type="dxa"/>
            </w:tcMar>
            <w:shd w:fill="F8F9FA"/>
          </w:tcPr>
          <w:p>
            <w:pPr>
              <w:pStyle w:val="TableText"/>
            </w:pPr>
            <w:r>
              <w:rPr>
                <w:sz w:val="13"/>
              </w:rPr>
              <w:t>Prefer managed backfill and continuous change capture over custom log readers.</w:t>
            </w:r>
          </w:p>
        </w:tc>
      </w:tr>
      <w:tr>
        <w:trPr>
          <w:cantSplit/>
        </w:trPr>
        <w:tc>
          <w:tcPr>
            <w:tcW w:type="dxa" w:w="1152"/>
            <w:vAlign w:val="top"/>
            <w:tcMar>
              <w:top w:w="60" w:type="dxa"/>
              <w:start w:w="70" w:type="dxa"/>
              <w:bottom w:w="60" w:type="dxa"/>
              <w:end w:w="70" w:type="dxa"/>
            </w:tcMar>
          </w:tcPr>
          <w:p>
            <w:pPr>
              <w:pStyle w:val="TableText"/>
            </w:pPr>
            <w:r>
              <w:rPr>
                <w:sz w:val="13"/>
              </w:rPr>
              <w:t>ADR-0409</w:t>
            </w:r>
          </w:p>
        </w:tc>
        <w:tc>
          <w:tcPr>
            <w:tcW w:type="dxa" w:w="4032"/>
            <w:vAlign w:val="top"/>
            <w:tcMar>
              <w:top w:w="60" w:type="dxa"/>
              <w:start w:w="70" w:type="dxa"/>
              <w:bottom w:w="60" w:type="dxa"/>
              <w:end w:w="70" w:type="dxa"/>
            </w:tcMar>
          </w:tcPr>
          <w:p>
            <w:pPr>
              <w:pStyle w:val="TableText"/>
            </w:pPr>
            <w:r>
              <w:rPr>
                <w:sz w:val="13"/>
              </w:rPr>
              <w:t>Use BigQuery Storage Write API for new high-scale direct streaming writes</w:t>
            </w:r>
          </w:p>
        </w:tc>
        <w:tc>
          <w:tcPr>
            <w:tcW w:type="dxa" w:w="5472"/>
            <w:vAlign w:val="top"/>
            <w:tcMar>
              <w:top w:w="60" w:type="dxa"/>
              <w:start w:w="70" w:type="dxa"/>
              <w:bottom w:w="60" w:type="dxa"/>
              <w:end w:w="70" w:type="dxa"/>
            </w:tcMar>
          </w:tcPr>
          <w:p>
            <w:pPr>
              <w:pStyle w:val="TableText"/>
            </w:pPr>
            <w:r>
              <w:rPr>
                <w:sz w:val="13"/>
              </w:rPr>
              <w:t>Use committed streams and offsets only where end-to-end exactly-once value justifies operational complexity.</w:t>
            </w:r>
          </w:p>
        </w:tc>
      </w:tr>
      <w:tr>
        <w:trPr>
          <w:cantSplit/>
        </w:trPr>
        <w:tc>
          <w:tcPr>
            <w:tcW w:type="dxa" w:w="1152"/>
            <w:vAlign w:val="top"/>
            <w:tcMar>
              <w:top w:w="60" w:type="dxa"/>
              <w:start w:w="70" w:type="dxa"/>
              <w:bottom w:w="60" w:type="dxa"/>
              <w:end w:w="70" w:type="dxa"/>
            </w:tcMar>
            <w:shd w:fill="F8F9FA"/>
          </w:tcPr>
          <w:p>
            <w:pPr>
              <w:pStyle w:val="TableText"/>
            </w:pPr>
            <w:r>
              <w:rPr>
                <w:sz w:val="13"/>
              </w:rPr>
              <w:t>ADR-0410</w:t>
            </w:r>
          </w:p>
        </w:tc>
        <w:tc>
          <w:tcPr>
            <w:tcW w:type="dxa" w:w="4032"/>
            <w:vAlign w:val="top"/>
            <w:tcMar>
              <w:top w:w="60" w:type="dxa"/>
              <w:start w:w="70" w:type="dxa"/>
              <w:bottom w:w="60" w:type="dxa"/>
              <w:end w:w="70" w:type="dxa"/>
            </w:tcMar>
            <w:shd w:fill="F8F9FA"/>
          </w:tcPr>
          <w:p>
            <w:pPr>
              <w:pStyle w:val="TableText"/>
            </w:pPr>
            <w:r>
              <w:rPr>
                <w:sz w:val="13"/>
              </w:rPr>
              <w:t>Make event-time, watermarks, windows and allowed lateness part of the data contract</w:t>
            </w:r>
          </w:p>
        </w:tc>
        <w:tc>
          <w:tcPr>
            <w:tcW w:type="dxa" w:w="5472"/>
            <w:vAlign w:val="top"/>
            <w:tcMar>
              <w:top w:w="60" w:type="dxa"/>
              <w:start w:w="70" w:type="dxa"/>
              <w:bottom w:w="60" w:type="dxa"/>
              <w:end w:w="70" w:type="dxa"/>
            </w:tcMar>
            <w:shd w:fill="F8F9FA"/>
          </w:tcPr>
          <w:p>
            <w:pPr>
              <w:pStyle w:val="TableText"/>
            </w:pPr>
            <w:r>
              <w:rPr>
                <w:sz w:val="13"/>
              </w:rPr>
              <w:t>Define correction and replay behavior rather than silently dropping or overwriting late data.</w:t>
            </w:r>
          </w:p>
        </w:tc>
      </w:tr>
      <w:tr>
        <w:trPr>
          <w:cantSplit/>
        </w:trPr>
        <w:tc>
          <w:tcPr>
            <w:tcW w:type="dxa" w:w="1152"/>
            <w:vAlign w:val="top"/>
            <w:tcMar>
              <w:top w:w="60" w:type="dxa"/>
              <w:start w:w="70" w:type="dxa"/>
              <w:bottom w:w="60" w:type="dxa"/>
              <w:end w:w="70" w:type="dxa"/>
            </w:tcMar>
          </w:tcPr>
          <w:p>
            <w:pPr>
              <w:pStyle w:val="TableText"/>
            </w:pPr>
            <w:r>
              <w:rPr>
                <w:sz w:val="13"/>
              </w:rPr>
              <w:t>ADR-0411</w:t>
            </w:r>
          </w:p>
        </w:tc>
        <w:tc>
          <w:tcPr>
            <w:tcW w:type="dxa" w:w="4032"/>
            <w:vAlign w:val="top"/>
            <w:tcMar>
              <w:top w:w="60" w:type="dxa"/>
              <w:start w:w="70" w:type="dxa"/>
              <w:bottom w:w="60" w:type="dxa"/>
              <w:end w:w="70" w:type="dxa"/>
            </w:tcMar>
          </w:tcPr>
          <w:p>
            <w:pPr>
              <w:pStyle w:val="TableText"/>
            </w:pPr>
            <w:r>
              <w:rPr>
                <w:sz w:val="13"/>
              </w:rPr>
              <w:t>Deploy immutable pipeline artifacts and golden templates through CI/CD</w:t>
            </w:r>
          </w:p>
        </w:tc>
        <w:tc>
          <w:tcPr>
            <w:tcW w:type="dxa" w:w="5472"/>
            <w:vAlign w:val="top"/>
            <w:tcMar>
              <w:top w:w="60" w:type="dxa"/>
              <w:start w:w="70" w:type="dxa"/>
              <w:bottom w:w="60" w:type="dxa"/>
              <w:end w:w="70" w:type="dxa"/>
            </w:tcMar>
          </w:tcPr>
          <w:p>
            <w:pPr>
              <w:pStyle w:val="TableText"/>
            </w:pPr>
            <w:r>
              <w:rPr>
                <w:sz w:val="13"/>
              </w:rPr>
              <w:t>Promote the same tested image/template/SQL/DAG commit across environments with policy evidence.</w:t>
            </w:r>
          </w:p>
        </w:tc>
      </w:tr>
      <w:tr>
        <w:trPr>
          <w:cantSplit/>
        </w:trPr>
        <w:tc>
          <w:tcPr>
            <w:tcW w:type="dxa" w:w="1152"/>
            <w:vAlign w:val="top"/>
            <w:tcMar>
              <w:top w:w="60" w:type="dxa"/>
              <w:start w:w="70" w:type="dxa"/>
              <w:bottom w:w="60" w:type="dxa"/>
              <w:end w:w="70" w:type="dxa"/>
            </w:tcMar>
            <w:shd w:fill="F8F9FA"/>
          </w:tcPr>
          <w:p>
            <w:pPr>
              <w:pStyle w:val="TableText"/>
            </w:pPr>
            <w:r>
              <w:rPr>
                <w:sz w:val="13"/>
              </w:rPr>
              <w:t>ADR-0412</w:t>
            </w:r>
          </w:p>
        </w:tc>
        <w:tc>
          <w:tcPr>
            <w:tcW w:type="dxa" w:w="4032"/>
            <w:vAlign w:val="top"/>
            <w:tcMar>
              <w:top w:w="60" w:type="dxa"/>
              <w:start w:w="70" w:type="dxa"/>
              <w:bottom w:w="60" w:type="dxa"/>
              <w:end w:w="70" w:type="dxa"/>
            </w:tcMar>
            <w:shd w:fill="F8F9FA"/>
          </w:tcPr>
          <w:p>
            <w:pPr>
              <w:pStyle w:val="TableText"/>
            </w:pPr>
            <w:r>
              <w:rPr>
                <w:sz w:val="13"/>
              </w:rPr>
              <w:t>Treat replay, backfill and reconciliation as first-class production capabilities</w:t>
            </w:r>
          </w:p>
        </w:tc>
        <w:tc>
          <w:tcPr>
            <w:tcW w:type="dxa" w:w="5472"/>
            <w:vAlign w:val="top"/>
            <w:tcMar>
              <w:top w:w="60" w:type="dxa"/>
              <w:start w:w="70" w:type="dxa"/>
              <w:bottom w:w="60" w:type="dxa"/>
              <w:end w:w="70" w:type="dxa"/>
            </w:tcMar>
            <w:shd w:fill="F8F9FA"/>
          </w:tcPr>
          <w:p>
            <w:pPr>
              <w:pStyle w:val="TableText"/>
            </w:pPr>
            <w:r>
              <w:rPr>
                <w:sz w:val="13"/>
              </w:rPr>
              <w:t>Every Tier 0/1 pipeline maintains immutable recovery sources, scoped replay controls and signed reconciliation evidence.</w:t>
            </w:r>
          </w:p>
        </w:tc>
      </w:tr>
    </w:tbl>
    <w:p>
      <w:pPr>
        <w:pStyle w:val="Small"/>
      </w:pPr>
      <w:r>
        <w:t>Complete ADRs using the mandated 26-field format are included as individual Markdown files in the companion package. They must be reviewed when a service capability, regulatory requirement, regional design, workload profile or exception materially changes.</w:t>
      </w:r>
    </w:p>
    <w:p>
      <w:r>
        <w:br w:type="page"/>
      </w:r>
    </w:p>
    <w:p>
      <w:pPr>
        <w:pStyle w:val="Heading1"/>
        <w:keepNext/>
      </w:pPr>
      <w:r>
        <w:t>29. Risks and Mitigations</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864"/>
            <w:shd w:fill="1A73E8"/>
            <w:vAlign w:val="center"/>
            <w:tcMar>
              <w:top w:w="60" w:type="dxa"/>
              <w:start w:w="70" w:type="dxa"/>
              <w:bottom w:w="60" w:type="dxa"/>
              <w:end w:w="70" w:type="dxa"/>
            </w:tcMar>
          </w:tcPr>
          <w:p>
            <w:r>
              <w:rPr>
                <w:b/>
                <w:color w:val="FFFFFF"/>
                <w:sz w:val="12"/>
              </w:rPr>
              <w:t>ID</w:t>
            </w:r>
          </w:p>
        </w:tc>
        <w:tc>
          <w:tcPr>
            <w:tcW w:type="dxa" w:w="2880"/>
            <w:shd w:fill="1A73E8"/>
            <w:vAlign w:val="center"/>
            <w:tcMar>
              <w:top w:w="60" w:type="dxa"/>
              <w:start w:w="70" w:type="dxa"/>
              <w:bottom w:w="60" w:type="dxa"/>
              <w:end w:w="70" w:type="dxa"/>
            </w:tcMar>
          </w:tcPr>
          <w:p>
            <w:r>
              <w:rPr>
                <w:b/>
                <w:color w:val="FFFFFF"/>
                <w:sz w:val="12"/>
              </w:rPr>
              <w:t>Risk</w:t>
            </w:r>
          </w:p>
        </w:tc>
        <w:tc>
          <w:tcPr>
            <w:tcW w:type="dxa" w:w="1008"/>
            <w:shd w:fill="1A73E8"/>
            <w:vAlign w:val="center"/>
            <w:tcMar>
              <w:top w:w="60" w:type="dxa"/>
              <w:start w:w="70" w:type="dxa"/>
              <w:bottom w:w="60" w:type="dxa"/>
              <w:end w:w="70" w:type="dxa"/>
            </w:tcMar>
          </w:tcPr>
          <w:p>
            <w:r>
              <w:rPr>
                <w:b/>
                <w:color w:val="FFFFFF"/>
                <w:sz w:val="12"/>
              </w:rPr>
              <w:t>Likelihood</w:t>
            </w:r>
          </w:p>
        </w:tc>
        <w:tc>
          <w:tcPr>
            <w:tcW w:type="dxa" w:w="1008"/>
            <w:shd w:fill="1A73E8"/>
            <w:vAlign w:val="center"/>
            <w:tcMar>
              <w:top w:w="60" w:type="dxa"/>
              <w:start w:w="70" w:type="dxa"/>
              <w:bottom w:w="60" w:type="dxa"/>
              <w:end w:w="70" w:type="dxa"/>
            </w:tcMar>
          </w:tcPr>
          <w:p>
            <w:r>
              <w:rPr>
                <w:b/>
                <w:color w:val="FFFFFF"/>
                <w:sz w:val="12"/>
              </w:rPr>
              <w:t>Impact</w:t>
            </w:r>
          </w:p>
        </w:tc>
        <w:tc>
          <w:tcPr>
            <w:tcW w:type="dxa" w:w="3168"/>
            <w:shd w:fill="1A73E8"/>
            <w:vAlign w:val="center"/>
            <w:tcMar>
              <w:top w:w="60" w:type="dxa"/>
              <w:start w:w="70" w:type="dxa"/>
              <w:bottom w:w="60" w:type="dxa"/>
              <w:end w:w="70" w:type="dxa"/>
            </w:tcMar>
          </w:tcPr>
          <w:p>
            <w:r>
              <w:rPr>
                <w:b/>
                <w:color w:val="FFFFFF"/>
                <w:sz w:val="12"/>
              </w:rPr>
              <w:t>Mitigation</w:t>
            </w:r>
          </w:p>
        </w:tc>
        <w:tc>
          <w:tcPr>
            <w:tcW w:type="dxa" w:w="1440"/>
            <w:shd w:fill="1A73E8"/>
            <w:vAlign w:val="center"/>
            <w:tcMar>
              <w:top w:w="60" w:type="dxa"/>
              <w:start w:w="70" w:type="dxa"/>
              <w:bottom w:w="60" w:type="dxa"/>
              <w:end w:w="70" w:type="dxa"/>
            </w:tcMar>
          </w:tcPr>
          <w:p>
            <w:r>
              <w:rPr>
                <w:b/>
                <w:color w:val="FFFFFF"/>
                <w:sz w:val="12"/>
              </w:rPr>
              <w:t>Owner</w:t>
            </w:r>
          </w:p>
        </w:tc>
      </w:tr>
      <w:tr>
        <w:trPr>
          <w:cantSplit/>
        </w:trPr>
        <w:tc>
          <w:tcPr>
            <w:tcW w:type="dxa" w:w="864"/>
            <w:vAlign w:val="top"/>
            <w:tcMar>
              <w:top w:w="60" w:type="dxa"/>
              <w:start w:w="70" w:type="dxa"/>
              <w:bottom w:w="60" w:type="dxa"/>
              <w:end w:w="70" w:type="dxa"/>
            </w:tcMar>
          </w:tcPr>
          <w:p>
            <w:pPr>
              <w:pStyle w:val="TableText"/>
            </w:pPr>
            <w:r>
              <w:rPr>
                <w:sz w:val="12"/>
              </w:rPr>
              <w:t>R4-01</w:t>
            </w:r>
          </w:p>
        </w:tc>
        <w:tc>
          <w:tcPr>
            <w:tcW w:type="dxa" w:w="2880"/>
            <w:vAlign w:val="top"/>
            <w:tcMar>
              <w:top w:w="60" w:type="dxa"/>
              <w:start w:w="70" w:type="dxa"/>
              <w:bottom w:w="60" w:type="dxa"/>
              <w:end w:w="70" w:type="dxa"/>
            </w:tcMar>
          </w:tcPr>
          <w:p>
            <w:pPr>
              <w:pStyle w:val="TableText"/>
            </w:pPr>
            <w:r>
              <w:rPr>
                <w:sz w:val="12"/>
              </w:rPr>
              <w:t>Duplicate or missing records across retries</w:t>
            </w:r>
          </w:p>
        </w:tc>
        <w:tc>
          <w:tcPr>
            <w:tcW w:type="dxa" w:w="1008"/>
            <w:vAlign w:val="top"/>
            <w:tcMar>
              <w:top w:w="60" w:type="dxa"/>
              <w:start w:w="70" w:type="dxa"/>
              <w:bottom w:w="60" w:type="dxa"/>
              <w:end w:w="70" w:type="dxa"/>
            </w:tcMar>
          </w:tcPr>
          <w:p>
            <w:pPr>
              <w:pStyle w:val="TableText"/>
            </w:pPr>
            <w:r>
              <w:rPr>
                <w:sz w:val="12"/>
              </w:rPr>
              <w:t>Medium</w:t>
            </w:r>
          </w:p>
        </w:tc>
        <w:tc>
          <w:tcPr>
            <w:tcW w:type="dxa" w:w="1008"/>
            <w:vAlign w:val="top"/>
            <w:tcMar>
              <w:top w:w="60" w:type="dxa"/>
              <w:start w:w="70" w:type="dxa"/>
              <w:bottom w:w="60" w:type="dxa"/>
              <w:end w:w="70" w:type="dxa"/>
            </w:tcMar>
          </w:tcPr>
          <w:p>
            <w:pPr>
              <w:pStyle w:val="TableText"/>
            </w:pPr>
            <w:r>
              <w:rPr>
                <w:sz w:val="12"/>
              </w:rPr>
              <w:t>High</w:t>
            </w:r>
          </w:p>
        </w:tc>
        <w:tc>
          <w:tcPr>
            <w:tcW w:type="dxa" w:w="3168"/>
            <w:vAlign w:val="top"/>
            <w:tcMar>
              <w:top w:w="60" w:type="dxa"/>
              <w:start w:w="70" w:type="dxa"/>
              <w:bottom w:w="60" w:type="dxa"/>
              <w:end w:w="70" w:type="dxa"/>
            </w:tcMar>
          </w:tcPr>
          <w:p>
            <w:pPr>
              <w:pStyle w:val="TableText"/>
            </w:pPr>
            <w:r>
              <w:rPr>
                <w:sz w:val="12"/>
              </w:rPr>
              <w:t>Event IDs, offsets, idempotent sinks, reconciliation</w:t>
            </w:r>
          </w:p>
        </w:tc>
        <w:tc>
          <w:tcPr>
            <w:tcW w:type="dxa" w:w="1440"/>
            <w:vAlign w:val="top"/>
            <w:tcMar>
              <w:top w:w="60" w:type="dxa"/>
              <w:start w:w="70" w:type="dxa"/>
              <w:bottom w:w="60" w:type="dxa"/>
              <w:end w:w="70" w:type="dxa"/>
            </w:tcMar>
          </w:tcPr>
          <w:p>
            <w:pPr>
              <w:pStyle w:val="TableText"/>
            </w:pPr>
            <w:r>
              <w:rPr>
                <w:sz w:val="12"/>
              </w:rPr>
              <w:t>Platform + domain</w:t>
            </w:r>
          </w:p>
        </w:tc>
      </w:tr>
      <w:tr>
        <w:trPr>
          <w:cantSplit/>
        </w:trPr>
        <w:tc>
          <w:tcPr>
            <w:tcW w:type="dxa" w:w="864"/>
            <w:vAlign w:val="top"/>
            <w:tcMar>
              <w:top w:w="60" w:type="dxa"/>
              <w:start w:w="70" w:type="dxa"/>
              <w:bottom w:w="60" w:type="dxa"/>
              <w:end w:w="70" w:type="dxa"/>
            </w:tcMar>
            <w:shd w:fill="F8F9FA"/>
          </w:tcPr>
          <w:p>
            <w:pPr>
              <w:pStyle w:val="TableText"/>
            </w:pPr>
            <w:r>
              <w:rPr>
                <w:sz w:val="12"/>
              </w:rPr>
              <w:t>R4-02</w:t>
            </w:r>
          </w:p>
        </w:tc>
        <w:tc>
          <w:tcPr>
            <w:tcW w:type="dxa" w:w="2880"/>
            <w:vAlign w:val="top"/>
            <w:tcMar>
              <w:top w:w="60" w:type="dxa"/>
              <w:start w:w="70" w:type="dxa"/>
              <w:bottom w:w="60" w:type="dxa"/>
              <w:end w:w="70" w:type="dxa"/>
            </w:tcMar>
            <w:shd w:fill="F8F9FA"/>
          </w:tcPr>
          <w:p>
            <w:pPr>
              <w:pStyle w:val="TableText"/>
            </w:pPr>
            <w:r>
              <w:rPr>
                <w:sz w:val="12"/>
              </w:rPr>
              <w:t>Late data changes published results</w:t>
            </w:r>
          </w:p>
        </w:tc>
        <w:tc>
          <w:tcPr>
            <w:tcW w:type="dxa" w:w="1008"/>
            <w:vAlign w:val="top"/>
            <w:tcMar>
              <w:top w:w="60" w:type="dxa"/>
              <w:start w:w="70" w:type="dxa"/>
              <w:bottom w:w="60" w:type="dxa"/>
              <w:end w:w="70" w:type="dxa"/>
            </w:tcMar>
            <w:shd w:fill="F8F9FA"/>
          </w:tcPr>
          <w:p>
            <w:pPr>
              <w:pStyle w:val="TableText"/>
            </w:pPr>
            <w:r>
              <w:rPr>
                <w:sz w:val="12"/>
              </w:rPr>
              <w:t>High</w:t>
            </w:r>
          </w:p>
        </w:tc>
        <w:tc>
          <w:tcPr>
            <w:tcW w:type="dxa" w:w="1008"/>
            <w:vAlign w:val="top"/>
            <w:tcMar>
              <w:top w:w="60" w:type="dxa"/>
              <w:start w:w="70" w:type="dxa"/>
              <w:bottom w:w="60" w:type="dxa"/>
              <w:end w:w="70" w:type="dxa"/>
            </w:tcMar>
            <w:shd w:fill="F8F9FA"/>
          </w:tcPr>
          <w:p>
            <w:pPr>
              <w:pStyle w:val="TableText"/>
            </w:pPr>
            <w:r>
              <w:rPr>
                <w:sz w:val="12"/>
              </w:rPr>
              <w:t>High</w:t>
            </w:r>
          </w:p>
        </w:tc>
        <w:tc>
          <w:tcPr>
            <w:tcW w:type="dxa" w:w="3168"/>
            <w:vAlign w:val="top"/>
            <w:tcMar>
              <w:top w:w="60" w:type="dxa"/>
              <w:start w:w="70" w:type="dxa"/>
              <w:bottom w:w="60" w:type="dxa"/>
              <w:end w:w="70" w:type="dxa"/>
            </w:tcMar>
            <w:shd w:fill="F8F9FA"/>
          </w:tcPr>
          <w:p>
            <w:pPr>
              <w:pStyle w:val="TableText"/>
            </w:pPr>
            <w:r>
              <w:rPr>
                <w:sz w:val="12"/>
              </w:rPr>
              <w:t>Event-time contract, allowed lateness, correction path</w:t>
            </w:r>
          </w:p>
        </w:tc>
        <w:tc>
          <w:tcPr>
            <w:tcW w:type="dxa" w:w="1440"/>
            <w:vAlign w:val="top"/>
            <w:tcMar>
              <w:top w:w="60" w:type="dxa"/>
              <w:start w:w="70" w:type="dxa"/>
              <w:bottom w:w="60" w:type="dxa"/>
              <w:end w:w="70" w:type="dxa"/>
            </w:tcMar>
            <w:shd w:fill="F8F9FA"/>
          </w:tcPr>
          <w:p>
            <w:pPr>
              <w:pStyle w:val="TableText"/>
            </w:pPr>
            <w:r>
              <w:rPr>
                <w:sz w:val="12"/>
              </w:rPr>
              <w:t>Domain</w:t>
            </w:r>
          </w:p>
        </w:tc>
      </w:tr>
      <w:tr>
        <w:trPr>
          <w:cantSplit/>
        </w:trPr>
        <w:tc>
          <w:tcPr>
            <w:tcW w:type="dxa" w:w="864"/>
            <w:vAlign w:val="top"/>
            <w:tcMar>
              <w:top w:w="60" w:type="dxa"/>
              <w:start w:w="70" w:type="dxa"/>
              <w:bottom w:w="60" w:type="dxa"/>
              <w:end w:w="70" w:type="dxa"/>
            </w:tcMar>
          </w:tcPr>
          <w:p>
            <w:pPr>
              <w:pStyle w:val="TableText"/>
            </w:pPr>
            <w:r>
              <w:rPr>
                <w:sz w:val="12"/>
              </w:rPr>
              <w:t>R4-03</w:t>
            </w:r>
          </w:p>
        </w:tc>
        <w:tc>
          <w:tcPr>
            <w:tcW w:type="dxa" w:w="2880"/>
            <w:vAlign w:val="top"/>
            <w:tcMar>
              <w:top w:w="60" w:type="dxa"/>
              <w:start w:w="70" w:type="dxa"/>
              <w:bottom w:w="60" w:type="dxa"/>
              <w:end w:w="70" w:type="dxa"/>
            </w:tcMar>
          </w:tcPr>
          <w:p>
            <w:pPr>
              <w:pStyle w:val="TableText"/>
            </w:pPr>
            <w:r>
              <w:rPr>
                <w:sz w:val="12"/>
              </w:rPr>
              <w:t>Schema drift breaks consumers</w:t>
            </w:r>
          </w:p>
        </w:tc>
        <w:tc>
          <w:tcPr>
            <w:tcW w:type="dxa" w:w="1008"/>
            <w:vAlign w:val="top"/>
            <w:tcMar>
              <w:top w:w="60" w:type="dxa"/>
              <w:start w:w="70" w:type="dxa"/>
              <w:bottom w:w="60" w:type="dxa"/>
              <w:end w:w="70" w:type="dxa"/>
            </w:tcMar>
          </w:tcPr>
          <w:p>
            <w:pPr>
              <w:pStyle w:val="TableText"/>
            </w:pPr>
            <w:r>
              <w:rPr>
                <w:sz w:val="12"/>
              </w:rPr>
              <w:t>Medium</w:t>
            </w:r>
          </w:p>
        </w:tc>
        <w:tc>
          <w:tcPr>
            <w:tcW w:type="dxa" w:w="1008"/>
            <w:vAlign w:val="top"/>
            <w:tcMar>
              <w:top w:w="60" w:type="dxa"/>
              <w:start w:w="70" w:type="dxa"/>
              <w:bottom w:w="60" w:type="dxa"/>
              <w:end w:w="70" w:type="dxa"/>
            </w:tcMar>
          </w:tcPr>
          <w:p>
            <w:pPr>
              <w:pStyle w:val="TableText"/>
            </w:pPr>
            <w:r>
              <w:rPr>
                <w:sz w:val="12"/>
              </w:rPr>
              <w:t>High</w:t>
            </w:r>
          </w:p>
        </w:tc>
        <w:tc>
          <w:tcPr>
            <w:tcW w:type="dxa" w:w="3168"/>
            <w:vAlign w:val="top"/>
            <w:tcMar>
              <w:top w:w="60" w:type="dxa"/>
              <w:start w:w="70" w:type="dxa"/>
              <w:bottom w:w="60" w:type="dxa"/>
              <w:end w:w="70" w:type="dxa"/>
            </w:tcMar>
          </w:tcPr>
          <w:p>
            <w:pPr>
              <w:pStyle w:val="TableText"/>
            </w:pPr>
            <w:r>
              <w:rPr>
                <w:sz w:val="12"/>
              </w:rPr>
              <w:t>Compatibility policy, contract CI, quarantine</w:t>
            </w:r>
          </w:p>
        </w:tc>
        <w:tc>
          <w:tcPr>
            <w:tcW w:type="dxa" w:w="1440"/>
            <w:vAlign w:val="top"/>
            <w:tcMar>
              <w:top w:w="60" w:type="dxa"/>
              <w:start w:w="70" w:type="dxa"/>
              <w:bottom w:w="60" w:type="dxa"/>
              <w:end w:w="70" w:type="dxa"/>
            </w:tcMar>
          </w:tcPr>
          <w:p>
            <w:pPr>
              <w:pStyle w:val="TableText"/>
            </w:pPr>
            <w:r>
              <w:rPr>
                <w:sz w:val="12"/>
              </w:rPr>
              <w:t>Producer owner</w:t>
            </w:r>
          </w:p>
        </w:tc>
      </w:tr>
      <w:tr>
        <w:trPr>
          <w:cantSplit/>
        </w:trPr>
        <w:tc>
          <w:tcPr>
            <w:tcW w:type="dxa" w:w="864"/>
            <w:vAlign w:val="top"/>
            <w:tcMar>
              <w:top w:w="60" w:type="dxa"/>
              <w:start w:w="70" w:type="dxa"/>
              <w:bottom w:w="60" w:type="dxa"/>
              <w:end w:w="70" w:type="dxa"/>
            </w:tcMar>
            <w:shd w:fill="F8F9FA"/>
          </w:tcPr>
          <w:p>
            <w:pPr>
              <w:pStyle w:val="TableText"/>
            </w:pPr>
            <w:r>
              <w:rPr>
                <w:sz w:val="12"/>
              </w:rPr>
              <w:t>R4-04</w:t>
            </w:r>
          </w:p>
        </w:tc>
        <w:tc>
          <w:tcPr>
            <w:tcW w:type="dxa" w:w="2880"/>
            <w:vAlign w:val="top"/>
            <w:tcMar>
              <w:top w:w="60" w:type="dxa"/>
              <w:start w:w="70" w:type="dxa"/>
              <w:bottom w:w="60" w:type="dxa"/>
              <w:end w:w="70" w:type="dxa"/>
            </w:tcMar>
            <w:shd w:fill="F8F9FA"/>
          </w:tcPr>
          <w:p>
            <w:pPr>
              <w:pStyle w:val="TableText"/>
            </w:pPr>
            <w:r>
              <w:rPr>
                <w:sz w:val="12"/>
              </w:rPr>
              <w:t>Airflow becomes centralized bottleneck</w:t>
            </w:r>
          </w:p>
        </w:tc>
        <w:tc>
          <w:tcPr>
            <w:tcW w:type="dxa" w:w="1008"/>
            <w:vAlign w:val="top"/>
            <w:tcMar>
              <w:top w:w="60" w:type="dxa"/>
              <w:start w:w="70" w:type="dxa"/>
              <w:bottom w:w="60" w:type="dxa"/>
              <w:end w:w="70" w:type="dxa"/>
            </w:tcMar>
            <w:shd w:fill="F8F9FA"/>
          </w:tcPr>
          <w:p>
            <w:pPr>
              <w:pStyle w:val="TableText"/>
            </w:pPr>
            <w:r>
              <w:rPr>
                <w:sz w:val="12"/>
              </w:rPr>
              <w:t>Medium</w:t>
            </w:r>
          </w:p>
        </w:tc>
        <w:tc>
          <w:tcPr>
            <w:tcW w:type="dxa" w:w="1008"/>
            <w:vAlign w:val="top"/>
            <w:tcMar>
              <w:top w:w="60" w:type="dxa"/>
              <w:start w:w="70" w:type="dxa"/>
              <w:bottom w:w="60" w:type="dxa"/>
              <w:end w:w="70" w:type="dxa"/>
            </w:tcMar>
            <w:shd w:fill="F8F9FA"/>
          </w:tcPr>
          <w:p>
            <w:pPr>
              <w:pStyle w:val="TableText"/>
            </w:pPr>
            <w:r>
              <w:rPr>
                <w:sz w:val="12"/>
              </w:rPr>
              <w:t>Medium</w:t>
            </w:r>
          </w:p>
        </w:tc>
        <w:tc>
          <w:tcPr>
            <w:tcW w:type="dxa" w:w="3168"/>
            <w:vAlign w:val="top"/>
            <w:tcMar>
              <w:top w:w="60" w:type="dxa"/>
              <w:start w:w="70" w:type="dxa"/>
              <w:bottom w:w="60" w:type="dxa"/>
              <w:end w:w="70" w:type="dxa"/>
            </w:tcMar>
            <w:shd w:fill="F8F9FA"/>
          </w:tcPr>
          <w:p>
            <w:pPr>
              <w:pStyle w:val="TableText"/>
            </w:pPr>
            <w:r>
              <w:rPr>
                <w:sz w:val="12"/>
              </w:rPr>
              <w:t>Domain DAG ownership, pools, bounded DAGs, Workflows for simple chains</w:t>
            </w:r>
          </w:p>
        </w:tc>
        <w:tc>
          <w:tcPr>
            <w:tcW w:type="dxa" w:w="1440"/>
            <w:vAlign w:val="top"/>
            <w:tcMar>
              <w:top w:w="60" w:type="dxa"/>
              <w:start w:w="70" w:type="dxa"/>
              <w:bottom w:w="60" w:type="dxa"/>
              <w:end w:w="70" w:type="dxa"/>
            </w:tcMar>
            <w:shd w:fill="F8F9FA"/>
          </w:tcPr>
          <w:p>
            <w:pPr>
              <w:pStyle w:val="TableText"/>
            </w:pPr>
            <w:r>
              <w:rPr>
                <w:sz w:val="12"/>
              </w:rPr>
              <w:t>Platform</w:t>
            </w:r>
          </w:p>
        </w:tc>
      </w:tr>
      <w:tr>
        <w:trPr>
          <w:cantSplit/>
        </w:trPr>
        <w:tc>
          <w:tcPr>
            <w:tcW w:type="dxa" w:w="864"/>
            <w:vAlign w:val="top"/>
            <w:tcMar>
              <w:top w:w="60" w:type="dxa"/>
              <w:start w:w="70" w:type="dxa"/>
              <w:bottom w:w="60" w:type="dxa"/>
              <w:end w:w="70" w:type="dxa"/>
            </w:tcMar>
          </w:tcPr>
          <w:p>
            <w:pPr>
              <w:pStyle w:val="TableText"/>
            </w:pPr>
            <w:r>
              <w:rPr>
                <w:sz w:val="12"/>
              </w:rPr>
              <w:t>R4-05</w:t>
            </w:r>
          </w:p>
        </w:tc>
        <w:tc>
          <w:tcPr>
            <w:tcW w:type="dxa" w:w="2880"/>
            <w:vAlign w:val="top"/>
            <w:tcMar>
              <w:top w:w="60" w:type="dxa"/>
              <w:start w:w="70" w:type="dxa"/>
              <w:bottom w:w="60" w:type="dxa"/>
              <w:end w:w="70" w:type="dxa"/>
            </w:tcMar>
          </w:tcPr>
          <w:p>
            <w:pPr>
              <w:pStyle w:val="TableText"/>
            </w:pPr>
            <w:r>
              <w:rPr>
                <w:sz w:val="12"/>
              </w:rPr>
              <w:t>Uncontrolled backfill overloads production</w:t>
            </w:r>
          </w:p>
        </w:tc>
        <w:tc>
          <w:tcPr>
            <w:tcW w:type="dxa" w:w="1008"/>
            <w:vAlign w:val="top"/>
            <w:tcMar>
              <w:top w:w="60" w:type="dxa"/>
              <w:start w:w="70" w:type="dxa"/>
              <w:bottom w:w="60" w:type="dxa"/>
              <w:end w:w="70" w:type="dxa"/>
            </w:tcMar>
          </w:tcPr>
          <w:p>
            <w:pPr>
              <w:pStyle w:val="TableText"/>
            </w:pPr>
            <w:r>
              <w:rPr>
                <w:sz w:val="12"/>
              </w:rPr>
              <w:t>Medium</w:t>
            </w:r>
          </w:p>
        </w:tc>
        <w:tc>
          <w:tcPr>
            <w:tcW w:type="dxa" w:w="1008"/>
            <w:vAlign w:val="top"/>
            <w:tcMar>
              <w:top w:w="60" w:type="dxa"/>
              <w:start w:w="70" w:type="dxa"/>
              <w:bottom w:w="60" w:type="dxa"/>
              <w:end w:w="70" w:type="dxa"/>
            </w:tcMar>
          </w:tcPr>
          <w:p>
            <w:pPr>
              <w:pStyle w:val="TableText"/>
            </w:pPr>
            <w:r>
              <w:rPr>
                <w:sz w:val="12"/>
              </w:rPr>
              <w:t>High</w:t>
            </w:r>
          </w:p>
        </w:tc>
        <w:tc>
          <w:tcPr>
            <w:tcW w:type="dxa" w:w="3168"/>
            <w:vAlign w:val="top"/>
            <w:tcMar>
              <w:top w:w="60" w:type="dxa"/>
              <w:start w:w="70" w:type="dxa"/>
              <w:bottom w:w="60" w:type="dxa"/>
              <w:end w:w="70" w:type="dxa"/>
            </w:tcMar>
          </w:tcPr>
          <w:p>
            <w:pPr>
              <w:pStyle w:val="TableText"/>
            </w:pPr>
            <w:r>
              <w:rPr>
                <w:sz w:val="12"/>
              </w:rPr>
              <w:t>Scoped partitions, reservations/quotas, staged replay and approvals</w:t>
            </w:r>
          </w:p>
        </w:tc>
        <w:tc>
          <w:tcPr>
            <w:tcW w:type="dxa" w:w="1440"/>
            <w:vAlign w:val="top"/>
            <w:tcMar>
              <w:top w:w="60" w:type="dxa"/>
              <w:start w:w="70" w:type="dxa"/>
              <w:bottom w:w="60" w:type="dxa"/>
              <w:end w:w="70" w:type="dxa"/>
            </w:tcMar>
          </w:tcPr>
          <w:p>
            <w:pPr>
              <w:pStyle w:val="TableText"/>
            </w:pPr>
            <w:r>
              <w:rPr>
                <w:sz w:val="12"/>
              </w:rPr>
              <w:t>SRE + FinOps</w:t>
            </w:r>
          </w:p>
        </w:tc>
      </w:tr>
      <w:tr>
        <w:trPr>
          <w:cantSplit/>
        </w:trPr>
        <w:tc>
          <w:tcPr>
            <w:tcW w:type="dxa" w:w="864"/>
            <w:vAlign w:val="top"/>
            <w:tcMar>
              <w:top w:w="60" w:type="dxa"/>
              <w:start w:w="70" w:type="dxa"/>
              <w:bottom w:w="60" w:type="dxa"/>
              <w:end w:w="70" w:type="dxa"/>
            </w:tcMar>
            <w:shd w:fill="F8F9FA"/>
          </w:tcPr>
          <w:p>
            <w:pPr>
              <w:pStyle w:val="TableText"/>
            </w:pPr>
            <w:r>
              <w:rPr>
                <w:sz w:val="12"/>
              </w:rPr>
              <w:t>R4-06</w:t>
            </w:r>
          </w:p>
        </w:tc>
        <w:tc>
          <w:tcPr>
            <w:tcW w:type="dxa" w:w="2880"/>
            <w:vAlign w:val="top"/>
            <w:tcMar>
              <w:top w:w="60" w:type="dxa"/>
              <w:start w:w="70" w:type="dxa"/>
              <w:bottom w:w="60" w:type="dxa"/>
              <w:end w:w="70" w:type="dxa"/>
            </w:tcMar>
            <w:shd w:fill="F8F9FA"/>
          </w:tcPr>
          <w:p>
            <w:pPr>
              <w:pStyle w:val="TableText"/>
            </w:pPr>
            <w:r>
              <w:rPr>
                <w:sz w:val="12"/>
              </w:rPr>
              <w:t>Spark migration preserves inefficient legacy jobs</w:t>
            </w:r>
          </w:p>
        </w:tc>
        <w:tc>
          <w:tcPr>
            <w:tcW w:type="dxa" w:w="1008"/>
            <w:vAlign w:val="top"/>
            <w:tcMar>
              <w:top w:w="60" w:type="dxa"/>
              <w:start w:w="70" w:type="dxa"/>
              <w:bottom w:w="60" w:type="dxa"/>
              <w:end w:w="70" w:type="dxa"/>
            </w:tcMar>
            <w:shd w:fill="F8F9FA"/>
          </w:tcPr>
          <w:p>
            <w:pPr>
              <w:pStyle w:val="TableText"/>
            </w:pPr>
            <w:r>
              <w:rPr>
                <w:sz w:val="12"/>
              </w:rPr>
              <w:t>High</w:t>
            </w:r>
          </w:p>
        </w:tc>
        <w:tc>
          <w:tcPr>
            <w:tcW w:type="dxa" w:w="1008"/>
            <w:vAlign w:val="top"/>
            <w:tcMar>
              <w:top w:w="60" w:type="dxa"/>
              <w:start w:w="70" w:type="dxa"/>
              <w:bottom w:w="60" w:type="dxa"/>
              <w:end w:w="70" w:type="dxa"/>
            </w:tcMar>
            <w:shd w:fill="F8F9FA"/>
          </w:tcPr>
          <w:p>
            <w:pPr>
              <w:pStyle w:val="TableText"/>
            </w:pPr>
            <w:r>
              <w:rPr>
                <w:sz w:val="12"/>
              </w:rPr>
              <w:t>Medium</w:t>
            </w:r>
          </w:p>
        </w:tc>
        <w:tc>
          <w:tcPr>
            <w:tcW w:type="dxa" w:w="3168"/>
            <w:vAlign w:val="top"/>
            <w:tcMar>
              <w:top w:w="60" w:type="dxa"/>
              <w:start w:w="70" w:type="dxa"/>
              <w:bottom w:w="60" w:type="dxa"/>
              <w:end w:w="70" w:type="dxa"/>
            </w:tcMar>
            <w:shd w:fill="F8F9FA"/>
          </w:tcPr>
          <w:p>
            <w:pPr>
              <w:pStyle w:val="TableText"/>
            </w:pPr>
            <w:r>
              <w:rPr>
                <w:sz w:val="12"/>
              </w:rPr>
              <w:t>Refactor assessment, serverless-first, performance tests</w:t>
            </w:r>
          </w:p>
        </w:tc>
        <w:tc>
          <w:tcPr>
            <w:tcW w:type="dxa" w:w="1440"/>
            <w:vAlign w:val="top"/>
            <w:tcMar>
              <w:top w:w="60" w:type="dxa"/>
              <w:start w:w="70" w:type="dxa"/>
              <w:bottom w:w="60" w:type="dxa"/>
              <w:end w:w="70" w:type="dxa"/>
            </w:tcMar>
            <w:shd w:fill="F8F9FA"/>
          </w:tcPr>
          <w:p>
            <w:pPr>
              <w:pStyle w:val="TableText"/>
            </w:pPr>
            <w:r>
              <w:rPr>
                <w:sz w:val="12"/>
              </w:rPr>
              <w:t>Engineering</w:t>
            </w:r>
          </w:p>
        </w:tc>
      </w:tr>
      <w:tr>
        <w:trPr>
          <w:cantSplit/>
        </w:trPr>
        <w:tc>
          <w:tcPr>
            <w:tcW w:type="dxa" w:w="864"/>
            <w:vAlign w:val="top"/>
            <w:tcMar>
              <w:top w:w="60" w:type="dxa"/>
              <w:start w:w="70" w:type="dxa"/>
              <w:bottom w:w="60" w:type="dxa"/>
              <w:end w:w="70" w:type="dxa"/>
            </w:tcMar>
          </w:tcPr>
          <w:p>
            <w:pPr>
              <w:pStyle w:val="TableText"/>
            </w:pPr>
            <w:r>
              <w:rPr>
                <w:sz w:val="12"/>
              </w:rPr>
              <w:t>R4-07</w:t>
            </w:r>
          </w:p>
        </w:tc>
        <w:tc>
          <w:tcPr>
            <w:tcW w:type="dxa" w:w="2880"/>
            <w:vAlign w:val="top"/>
            <w:tcMar>
              <w:top w:w="60" w:type="dxa"/>
              <w:start w:w="70" w:type="dxa"/>
              <w:bottom w:w="60" w:type="dxa"/>
              <w:end w:w="70" w:type="dxa"/>
            </w:tcMar>
          </w:tcPr>
          <w:p>
            <w:pPr>
              <w:pStyle w:val="TableText"/>
            </w:pPr>
            <w:r>
              <w:rPr>
                <w:sz w:val="12"/>
              </w:rPr>
              <w:t>Sensitive payloads leak into logs/DLQ</w:t>
            </w:r>
          </w:p>
        </w:tc>
        <w:tc>
          <w:tcPr>
            <w:tcW w:type="dxa" w:w="1008"/>
            <w:vAlign w:val="top"/>
            <w:tcMar>
              <w:top w:w="60" w:type="dxa"/>
              <w:start w:w="70" w:type="dxa"/>
              <w:bottom w:w="60" w:type="dxa"/>
              <w:end w:w="70" w:type="dxa"/>
            </w:tcMar>
          </w:tcPr>
          <w:p>
            <w:pPr>
              <w:pStyle w:val="TableText"/>
            </w:pPr>
            <w:r>
              <w:rPr>
                <w:sz w:val="12"/>
              </w:rPr>
              <w:t>Medium</w:t>
            </w:r>
          </w:p>
        </w:tc>
        <w:tc>
          <w:tcPr>
            <w:tcW w:type="dxa" w:w="1008"/>
            <w:vAlign w:val="top"/>
            <w:tcMar>
              <w:top w:w="60" w:type="dxa"/>
              <w:start w:w="70" w:type="dxa"/>
              <w:bottom w:w="60" w:type="dxa"/>
              <w:end w:w="70" w:type="dxa"/>
            </w:tcMar>
          </w:tcPr>
          <w:p>
            <w:pPr>
              <w:pStyle w:val="TableText"/>
            </w:pPr>
            <w:r>
              <w:rPr>
                <w:sz w:val="12"/>
              </w:rPr>
              <w:t>High</w:t>
            </w:r>
          </w:p>
        </w:tc>
        <w:tc>
          <w:tcPr>
            <w:tcW w:type="dxa" w:w="3168"/>
            <w:vAlign w:val="top"/>
            <w:tcMar>
              <w:top w:w="60" w:type="dxa"/>
              <w:start w:w="70" w:type="dxa"/>
              <w:bottom w:w="60" w:type="dxa"/>
              <w:end w:w="70" w:type="dxa"/>
            </w:tcMar>
          </w:tcPr>
          <w:p>
            <w:pPr>
              <w:pStyle w:val="TableText"/>
            </w:pPr>
            <w:r>
              <w:rPr>
                <w:sz w:val="12"/>
              </w:rPr>
              <w:t>Redaction, restricted quarantine, retention, DLP checks</w:t>
            </w:r>
          </w:p>
        </w:tc>
        <w:tc>
          <w:tcPr>
            <w:tcW w:type="dxa" w:w="1440"/>
            <w:vAlign w:val="top"/>
            <w:tcMar>
              <w:top w:w="60" w:type="dxa"/>
              <w:start w:w="70" w:type="dxa"/>
              <w:bottom w:w="60" w:type="dxa"/>
              <w:end w:w="70" w:type="dxa"/>
            </w:tcMar>
          </w:tcPr>
          <w:p>
            <w:pPr>
              <w:pStyle w:val="TableText"/>
            </w:pPr>
            <w:r>
              <w:rPr>
                <w:sz w:val="12"/>
              </w:rPr>
              <w:t>Security</w:t>
            </w:r>
          </w:p>
        </w:tc>
      </w:tr>
      <w:tr>
        <w:trPr>
          <w:cantSplit/>
        </w:trPr>
        <w:tc>
          <w:tcPr>
            <w:tcW w:type="dxa" w:w="864"/>
            <w:vAlign w:val="top"/>
            <w:tcMar>
              <w:top w:w="60" w:type="dxa"/>
              <w:start w:w="70" w:type="dxa"/>
              <w:bottom w:w="60" w:type="dxa"/>
              <w:end w:w="70" w:type="dxa"/>
            </w:tcMar>
            <w:shd w:fill="F8F9FA"/>
          </w:tcPr>
          <w:p>
            <w:pPr>
              <w:pStyle w:val="TableText"/>
            </w:pPr>
            <w:r>
              <w:rPr>
                <w:sz w:val="12"/>
              </w:rPr>
              <w:t>R4-08</w:t>
            </w:r>
          </w:p>
        </w:tc>
        <w:tc>
          <w:tcPr>
            <w:tcW w:type="dxa" w:w="2880"/>
            <w:vAlign w:val="top"/>
            <w:tcMar>
              <w:top w:w="60" w:type="dxa"/>
              <w:start w:w="70" w:type="dxa"/>
              <w:bottom w:w="60" w:type="dxa"/>
              <w:end w:w="70" w:type="dxa"/>
            </w:tcMar>
            <w:shd w:fill="F8F9FA"/>
          </w:tcPr>
          <w:p>
            <w:pPr>
              <w:pStyle w:val="TableText"/>
            </w:pPr>
            <w:r>
              <w:rPr>
                <w:sz w:val="12"/>
              </w:rPr>
              <w:t>Cost increases without product attribution</w:t>
            </w:r>
          </w:p>
        </w:tc>
        <w:tc>
          <w:tcPr>
            <w:tcW w:type="dxa" w:w="1008"/>
            <w:vAlign w:val="top"/>
            <w:tcMar>
              <w:top w:w="60" w:type="dxa"/>
              <w:start w:w="70" w:type="dxa"/>
              <w:bottom w:w="60" w:type="dxa"/>
              <w:end w:w="70" w:type="dxa"/>
            </w:tcMar>
            <w:shd w:fill="F8F9FA"/>
          </w:tcPr>
          <w:p>
            <w:pPr>
              <w:pStyle w:val="TableText"/>
            </w:pPr>
            <w:r>
              <w:rPr>
                <w:sz w:val="12"/>
              </w:rPr>
              <w:t>Medium</w:t>
            </w:r>
          </w:p>
        </w:tc>
        <w:tc>
          <w:tcPr>
            <w:tcW w:type="dxa" w:w="1008"/>
            <w:vAlign w:val="top"/>
            <w:tcMar>
              <w:top w:w="60" w:type="dxa"/>
              <w:start w:w="70" w:type="dxa"/>
              <w:bottom w:w="60" w:type="dxa"/>
              <w:end w:w="70" w:type="dxa"/>
            </w:tcMar>
            <w:shd w:fill="F8F9FA"/>
          </w:tcPr>
          <w:p>
            <w:pPr>
              <w:pStyle w:val="TableText"/>
            </w:pPr>
            <w:r>
              <w:rPr>
                <w:sz w:val="12"/>
              </w:rPr>
              <w:t>High</w:t>
            </w:r>
          </w:p>
        </w:tc>
        <w:tc>
          <w:tcPr>
            <w:tcW w:type="dxa" w:w="3168"/>
            <w:vAlign w:val="top"/>
            <w:tcMar>
              <w:top w:w="60" w:type="dxa"/>
              <w:start w:w="70" w:type="dxa"/>
              <w:bottom w:w="60" w:type="dxa"/>
              <w:end w:w="70" w:type="dxa"/>
            </w:tcMar>
            <w:shd w:fill="F8F9FA"/>
          </w:tcPr>
          <w:p>
            <w:pPr>
              <w:pStyle w:val="TableText"/>
            </w:pPr>
            <w:r>
              <w:rPr>
                <w:sz w:val="12"/>
              </w:rPr>
              <w:t>Labels, run ledger, unit economics, budgets</w:t>
            </w:r>
          </w:p>
        </w:tc>
        <w:tc>
          <w:tcPr>
            <w:tcW w:type="dxa" w:w="1440"/>
            <w:vAlign w:val="top"/>
            <w:tcMar>
              <w:top w:w="60" w:type="dxa"/>
              <w:start w:w="70" w:type="dxa"/>
              <w:bottom w:w="60" w:type="dxa"/>
              <w:end w:w="70" w:type="dxa"/>
            </w:tcMar>
            <w:shd w:fill="F8F9FA"/>
          </w:tcPr>
          <w:p>
            <w:pPr>
              <w:pStyle w:val="TableText"/>
            </w:pPr>
            <w:r>
              <w:rPr>
                <w:sz w:val="12"/>
              </w:rPr>
              <w:t>FinOps</w:t>
            </w:r>
          </w:p>
        </w:tc>
      </w:tr>
      <w:tr>
        <w:trPr>
          <w:cantSplit/>
        </w:trPr>
        <w:tc>
          <w:tcPr>
            <w:tcW w:type="dxa" w:w="864"/>
            <w:vAlign w:val="top"/>
            <w:tcMar>
              <w:top w:w="60" w:type="dxa"/>
              <w:start w:w="70" w:type="dxa"/>
              <w:bottom w:w="60" w:type="dxa"/>
              <w:end w:w="70" w:type="dxa"/>
            </w:tcMar>
          </w:tcPr>
          <w:p>
            <w:pPr>
              <w:pStyle w:val="TableText"/>
            </w:pPr>
            <w:r>
              <w:rPr>
                <w:sz w:val="12"/>
              </w:rPr>
              <w:t>R4-09</w:t>
            </w:r>
          </w:p>
        </w:tc>
        <w:tc>
          <w:tcPr>
            <w:tcW w:type="dxa" w:w="2880"/>
            <w:vAlign w:val="top"/>
            <w:tcMar>
              <w:top w:w="60" w:type="dxa"/>
              <w:start w:w="70" w:type="dxa"/>
              <w:bottom w:w="60" w:type="dxa"/>
              <w:end w:w="70" w:type="dxa"/>
            </w:tcMar>
          </w:tcPr>
          <w:p>
            <w:pPr>
              <w:pStyle w:val="TableText"/>
            </w:pPr>
            <w:r>
              <w:rPr>
                <w:sz w:val="12"/>
              </w:rPr>
              <w:t>Regional service capability mismatch</w:t>
            </w:r>
          </w:p>
        </w:tc>
        <w:tc>
          <w:tcPr>
            <w:tcW w:type="dxa" w:w="1008"/>
            <w:vAlign w:val="top"/>
            <w:tcMar>
              <w:top w:w="60" w:type="dxa"/>
              <w:start w:w="70" w:type="dxa"/>
              <w:bottom w:w="60" w:type="dxa"/>
              <w:end w:w="70" w:type="dxa"/>
            </w:tcMar>
          </w:tcPr>
          <w:p>
            <w:pPr>
              <w:pStyle w:val="TableText"/>
            </w:pPr>
            <w:r>
              <w:rPr>
                <w:sz w:val="12"/>
              </w:rPr>
              <w:t>Low</w:t>
            </w:r>
          </w:p>
        </w:tc>
        <w:tc>
          <w:tcPr>
            <w:tcW w:type="dxa" w:w="1008"/>
            <w:vAlign w:val="top"/>
            <w:tcMar>
              <w:top w:w="60" w:type="dxa"/>
              <w:start w:w="70" w:type="dxa"/>
              <w:bottom w:w="60" w:type="dxa"/>
              <w:end w:w="70" w:type="dxa"/>
            </w:tcMar>
          </w:tcPr>
          <w:p>
            <w:pPr>
              <w:pStyle w:val="TableText"/>
            </w:pPr>
            <w:r>
              <w:rPr>
                <w:sz w:val="12"/>
              </w:rPr>
              <w:t>High</w:t>
            </w:r>
          </w:p>
        </w:tc>
        <w:tc>
          <w:tcPr>
            <w:tcW w:type="dxa" w:w="3168"/>
            <w:vAlign w:val="top"/>
            <w:tcMar>
              <w:top w:w="60" w:type="dxa"/>
              <w:start w:w="70" w:type="dxa"/>
              <w:bottom w:w="60" w:type="dxa"/>
              <w:end w:w="70" w:type="dxa"/>
            </w:tcMar>
          </w:tcPr>
          <w:p>
            <w:pPr>
              <w:pStyle w:val="TableText"/>
            </w:pPr>
            <w:r>
              <w:rPr>
                <w:sz w:val="12"/>
              </w:rPr>
              <w:t>Predeployment region/quota validation and fallback pattern</w:t>
            </w:r>
          </w:p>
        </w:tc>
        <w:tc>
          <w:tcPr>
            <w:tcW w:type="dxa" w:w="1440"/>
            <w:vAlign w:val="top"/>
            <w:tcMar>
              <w:top w:w="60" w:type="dxa"/>
              <w:start w:w="70" w:type="dxa"/>
              <w:bottom w:w="60" w:type="dxa"/>
              <w:end w:w="70" w:type="dxa"/>
            </w:tcMar>
          </w:tcPr>
          <w:p>
            <w:pPr>
              <w:pStyle w:val="TableText"/>
            </w:pPr>
            <w:r>
              <w:rPr>
                <w:sz w:val="12"/>
              </w:rPr>
              <w:t>Architecture</w:t>
            </w:r>
          </w:p>
        </w:tc>
      </w:tr>
      <w:tr>
        <w:trPr>
          <w:cantSplit/>
        </w:trPr>
        <w:tc>
          <w:tcPr>
            <w:tcW w:type="dxa" w:w="864"/>
            <w:vAlign w:val="top"/>
            <w:tcMar>
              <w:top w:w="60" w:type="dxa"/>
              <w:start w:w="70" w:type="dxa"/>
              <w:bottom w:w="60" w:type="dxa"/>
              <w:end w:w="70" w:type="dxa"/>
            </w:tcMar>
            <w:shd w:fill="F8F9FA"/>
          </w:tcPr>
          <w:p>
            <w:pPr>
              <w:pStyle w:val="TableText"/>
            </w:pPr>
            <w:r>
              <w:rPr>
                <w:sz w:val="12"/>
              </w:rPr>
              <w:t>R4-10</w:t>
            </w:r>
          </w:p>
        </w:tc>
        <w:tc>
          <w:tcPr>
            <w:tcW w:type="dxa" w:w="2880"/>
            <w:vAlign w:val="top"/>
            <w:tcMar>
              <w:top w:w="60" w:type="dxa"/>
              <w:start w:w="70" w:type="dxa"/>
              <w:bottom w:w="60" w:type="dxa"/>
              <w:end w:w="70" w:type="dxa"/>
            </w:tcMar>
            <w:shd w:fill="F8F9FA"/>
          </w:tcPr>
          <w:p>
            <w:pPr>
              <w:pStyle w:val="TableText"/>
            </w:pPr>
            <w:r>
              <w:rPr>
                <w:sz w:val="12"/>
              </w:rPr>
              <w:t>Replay evidence incomplete</w:t>
            </w:r>
          </w:p>
        </w:tc>
        <w:tc>
          <w:tcPr>
            <w:tcW w:type="dxa" w:w="1008"/>
            <w:vAlign w:val="top"/>
            <w:tcMar>
              <w:top w:w="60" w:type="dxa"/>
              <w:start w:w="70" w:type="dxa"/>
              <w:bottom w:w="60" w:type="dxa"/>
              <w:end w:w="70" w:type="dxa"/>
            </w:tcMar>
            <w:shd w:fill="F8F9FA"/>
          </w:tcPr>
          <w:p>
            <w:pPr>
              <w:pStyle w:val="TableText"/>
            </w:pPr>
            <w:r>
              <w:rPr>
                <w:sz w:val="12"/>
              </w:rPr>
              <w:t>Medium</w:t>
            </w:r>
          </w:p>
        </w:tc>
        <w:tc>
          <w:tcPr>
            <w:tcW w:type="dxa" w:w="1008"/>
            <w:vAlign w:val="top"/>
            <w:tcMar>
              <w:top w:w="60" w:type="dxa"/>
              <w:start w:w="70" w:type="dxa"/>
              <w:bottom w:w="60" w:type="dxa"/>
              <w:end w:w="70" w:type="dxa"/>
            </w:tcMar>
            <w:shd w:fill="F8F9FA"/>
          </w:tcPr>
          <w:p>
            <w:pPr>
              <w:pStyle w:val="TableText"/>
            </w:pPr>
            <w:r>
              <w:rPr>
                <w:sz w:val="12"/>
              </w:rPr>
              <w:t>High</w:t>
            </w:r>
          </w:p>
        </w:tc>
        <w:tc>
          <w:tcPr>
            <w:tcW w:type="dxa" w:w="3168"/>
            <w:vAlign w:val="top"/>
            <w:tcMar>
              <w:top w:w="60" w:type="dxa"/>
              <w:start w:w="70" w:type="dxa"/>
              <w:bottom w:w="60" w:type="dxa"/>
              <w:end w:w="70" w:type="dxa"/>
            </w:tcMar>
            <w:shd w:fill="F8F9FA"/>
          </w:tcPr>
          <w:p>
            <w:pPr>
              <w:pStyle w:val="TableText"/>
            </w:pPr>
            <w:r>
              <w:rPr>
                <w:sz w:val="12"/>
              </w:rPr>
              <w:t>Immutable source, replay ID, approvals, reconciliation and lineage</w:t>
            </w:r>
          </w:p>
        </w:tc>
        <w:tc>
          <w:tcPr>
            <w:tcW w:type="dxa" w:w="1440"/>
            <w:vAlign w:val="top"/>
            <w:tcMar>
              <w:top w:w="60" w:type="dxa"/>
              <w:start w:w="70" w:type="dxa"/>
              <w:bottom w:w="60" w:type="dxa"/>
              <w:end w:w="70" w:type="dxa"/>
            </w:tcMar>
            <w:shd w:fill="F8F9FA"/>
          </w:tcPr>
          <w:p>
            <w:pPr>
              <w:pStyle w:val="TableText"/>
            </w:pPr>
            <w:r>
              <w:rPr>
                <w:sz w:val="12"/>
              </w:rPr>
              <w:t>SRE</w:t>
            </w:r>
          </w:p>
        </w:tc>
      </w:tr>
    </w:tbl>
    <w:tbl>
      <w:tblPr>
        <w:tblStyle w:val="TableGrid"/>
        <w:tblW w:type="auto" w:w="0"/>
        <w:tblLook w:firstColumn="1" w:firstRow="1" w:lastColumn="0" w:lastRow="0" w:noHBand="0" w:noVBand="1" w:val="04A0"/>
      </w:tblPr>
      <w:tblGrid>
        <w:gridCol w:w="10454"/>
      </w:tblGrid>
      <w:tr>
        <w:tc>
          <w:tcPr>
            <w:tcW w:type="dxa" w:w="10454"/>
            <w:shd w:fill="FFF3CD"/>
            <w:tcMar>
              <w:top w:w="90" w:type="dxa"/>
              <w:start w:w="100" w:type="dxa"/>
              <w:bottom w:w="90" w:type="dxa"/>
              <w:end w:w="100" w:type="dxa"/>
            </w:tcMar>
          </w:tcPr>
          <w:p>
            <w:pPr>
              <w:pStyle w:val="Callout"/>
            </w:pPr>
            <w:r>
              <w:rPr>
                <w:b/>
                <w:color w:val="1A73E8"/>
              </w:rPr>
              <w:t xml:space="preserve">Risk acceptance. </w:t>
            </w:r>
            <w:r>
              <w:t>A pipeline cannot enter production with an unowned High impact risk. Exceptions require a named risk owner, compensating controls, expiry date and evidence that consumers understand the residual risk.</w:t>
            </w:r>
          </w:p>
        </w:tc>
      </w:tr>
    </w:tbl>
    <w:p>
      <w:r>
        <w:br w:type="page"/>
      </w:r>
    </w:p>
    <w:p>
      <w:pPr>
        <w:pStyle w:val="Heading1"/>
        <w:keepNext/>
      </w:pPr>
      <w:r>
        <w:t>30. Implementation Roadmap</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1A73E8"/>
            <w:vAlign w:val="center"/>
            <w:tcMar>
              <w:top w:w="60" w:type="dxa"/>
              <w:start w:w="70" w:type="dxa"/>
              <w:bottom w:w="60" w:type="dxa"/>
              <w:end w:w="70" w:type="dxa"/>
            </w:tcMar>
          </w:tcPr>
          <w:p>
            <w:r>
              <w:rPr>
                <w:b/>
                <w:color w:val="FFFFFF"/>
                <w:sz w:val="14"/>
              </w:rPr>
              <w:t>Wave</w:t>
            </w:r>
          </w:p>
        </w:tc>
        <w:tc>
          <w:tcPr>
            <w:tcW w:type="dxa" w:w="8640"/>
            <w:shd w:fill="1A73E8"/>
            <w:vAlign w:val="center"/>
            <w:tcMar>
              <w:top w:w="60" w:type="dxa"/>
              <w:start w:w="70" w:type="dxa"/>
              <w:bottom w:w="60" w:type="dxa"/>
              <w:end w:w="70" w:type="dxa"/>
            </w:tcMar>
          </w:tcPr>
          <w:p>
            <w:r>
              <w:rPr>
                <w:b/>
                <w:color w:val="FFFFFF"/>
                <w:sz w:val="14"/>
              </w:rPr>
              <w:t>Deliverables and exit criteria</w:t>
            </w:r>
          </w:p>
        </w:tc>
      </w:tr>
      <w:tr>
        <w:trPr>
          <w:cantSplit/>
        </w:trPr>
        <w:tc>
          <w:tcPr>
            <w:tcW w:type="dxa" w:w="1728"/>
            <w:vAlign w:val="top"/>
            <w:tcMar>
              <w:top w:w="60" w:type="dxa"/>
              <w:start w:w="70" w:type="dxa"/>
              <w:bottom w:w="60" w:type="dxa"/>
              <w:end w:w="70" w:type="dxa"/>
            </w:tcMar>
          </w:tcPr>
          <w:p>
            <w:pPr>
              <w:pStyle w:val="TableText"/>
            </w:pPr>
            <w:r>
              <w:rPr>
                <w:sz w:val="14"/>
              </w:rPr>
              <w:t>0-30 days</w:t>
            </w:r>
          </w:p>
        </w:tc>
        <w:tc>
          <w:tcPr>
            <w:tcW w:type="dxa" w:w="8640"/>
            <w:vAlign w:val="top"/>
            <w:tcMar>
              <w:top w:w="60" w:type="dxa"/>
              <w:start w:w="70" w:type="dxa"/>
              <w:bottom w:w="60" w:type="dxa"/>
              <w:end w:w="70" w:type="dxa"/>
            </w:tcMar>
          </w:tcPr>
          <w:p>
            <w:pPr>
              <w:pStyle w:val="TableText"/>
            </w:pPr>
            <w:r>
              <w:rPr>
                <w:sz w:val="14"/>
              </w:rPr>
              <w:t>Confirm inherited architecture, product terminology, regional availability, golden project/IAM/network patterns; define pipeline contract, SLO and run-ledger schemas.</w:t>
            </w:r>
          </w:p>
        </w:tc>
      </w:tr>
      <w:tr>
        <w:trPr>
          <w:cantSplit/>
        </w:trPr>
        <w:tc>
          <w:tcPr>
            <w:tcW w:type="dxa" w:w="1728"/>
            <w:vAlign w:val="top"/>
            <w:tcMar>
              <w:top w:w="60" w:type="dxa"/>
              <w:start w:w="70" w:type="dxa"/>
              <w:bottom w:w="60" w:type="dxa"/>
              <w:end w:w="70" w:type="dxa"/>
            </w:tcMar>
            <w:shd w:fill="F8F9FA"/>
          </w:tcPr>
          <w:p>
            <w:pPr>
              <w:pStyle w:val="TableText"/>
            </w:pPr>
            <w:r>
              <w:rPr>
                <w:sz w:val="14"/>
              </w:rPr>
              <w:t>31-90 days</w:t>
            </w:r>
          </w:p>
        </w:tc>
        <w:tc>
          <w:tcPr>
            <w:tcW w:type="dxa" w:w="8640"/>
            <w:vAlign w:val="top"/>
            <w:tcMar>
              <w:top w:w="60" w:type="dxa"/>
              <w:start w:w="70" w:type="dxa"/>
              <w:bottom w:w="60" w:type="dxa"/>
              <w:end w:w="70" w:type="dxa"/>
            </w:tcMar>
            <w:shd w:fill="F8F9FA"/>
          </w:tcPr>
          <w:p>
            <w:pPr>
              <w:pStyle w:val="TableText"/>
            </w:pPr>
            <w:r>
              <w:rPr>
                <w:sz w:val="14"/>
              </w:rPr>
              <w:t>Build Dataflow batch/stream templates, Dataform starter, Managed Spark batch, Pub/Sub/DLQ, Datastream and orchestration modules; establish CI/CD and integration test projects.</w:t>
            </w:r>
          </w:p>
        </w:tc>
      </w:tr>
      <w:tr>
        <w:trPr>
          <w:cantSplit/>
        </w:trPr>
        <w:tc>
          <w:tcPr>
            <w:tcW w:type="dxa" w:w="1728"/>
            <w:vAlign w:val="top"/>
            <w:tcMar>
              <w:top w:w="60" w:type="dxa"/>
              <w:start w:w="70" w:type="dxa"/>
              <w:bottom w:w="60" w:type="dxa"/>
              <w:end w:w="70" w:type="dxa"/>
            </w:tcMar>
          </w:tcPr>
          <w:p>
            <w:pPr>
              <w:pStyle w:val="TableText"/>
            </w:pPr>
            <w:r>
              <w:rPr>
                <w:sz w:val="14"/>
              </w:rPr>
              <w:t>91-180 days</w:t>
            </w:r>
          </w:p>
        </w:tc>
        <w:tc>
          <w:tcPr>
            <w:tcW w:type="dxa" w:w="8640"/>
            <w:vAlign w:val="top"/>
            <w:tcMar>
              <w:top w:w="60" w:type="dxa"/>
              <w:start w:w="70" w:type="dxa"/>
              <w:bottom w:w="60" w:type="dxa"/>
              <w:end w:w="70" w:type="dxa"/>
            </w:tcMar>
          </w:tcPr>
          <w:p>
            <w:pPr>
              <w:pStyle w:val="TableText"/>
            </w:pPr>
            <w:r>
              <w:rPr>
                <w:sz w:val="14"/>
              </w:rPr>
              <w:t>Migrate representative batch, streaming and CDC products; implement lineage, quality, reconciliation, dashboards, replay and cost allocation; run load and resilience tests.</w:t>
            </w:r>
          </w:p>
        </w:tc>
      </w:tr>
      <w:tr>
        <w:trPr>
          <w:cantSplit/>
        </w:trPr>
        <w:tc>
          <w:tcPr>
            <w:tcW w:type="dxa" w:w="1728"/>
            <w:vAlign w:val="top"/>
            <w:tcMar>
              <w:top w:w="60" w:type="dxa"/>
              <w:start w:w="70" w:type="dxa"/>
              <w:bottom w:w="60" w:type="dxa"/>
              <w:end w:w="70" w:type="dxa"/>
            </w:tcMar>
            <w:shd w:fill="F8F9FA"/>
          </w:tcPr>
          <w:p>
            <w:pPr>
              <w:pStyle w:val="TableText"/>
            </w:pPr>
            <w:r>
              <w:rPr>
                <w:sz w:val="14"/>
              </w:rPr>
              <w:t>181-270 days</w:t>
            </w:r>
          </w:p>
        </w:tc>
        <w:tc>
          <w:tcPr>
            <w:tcW w:type="dxa" w:w="8640"/>
            <w:vAlign w:val="top"/>
            <w:tcMar>
              <w:top w:w="60" w:type="dxa"/>
              <w:start w:w="70" w:type="dxa"/>
              <w:bottom w:w="60" w:type="dxa"/>
              <w:end w:w="70" w:type="dxa"/>
            </w:tcMar>
            <w:shd w:fill="F8F9FA"/>
          </w:tcPr>
          <w:p>
            <w:pPr>
              <w:pStyle w:val="TableText"/>
            </w:pPr>
            <w:r>
              <w:rPr>
                <w:sz w:val="14"/>
              </w:rPr>
              <w:t>Scale domain adoption, certify connectors, retire duplicated tools, optimize reservations/runtime patterns and complete Tier 0/1 recovery exercises.</w:t>
            </w:r>
          </w:p>
        </w:tc>
      </w:tr>
      <w:tr>
        <w:trPr>
          <w:cantSplit/>
        </w:trPr>
        <w:tc>
          <w:tcPr>
            <w:tcW w:type="dxa" w:w="1728"/>
            <w:vAlign w:val="top"/>
            <w:tcMar>
              <w:top w:w="60" w:type="dxa"/>
              <w:start w:w="70" w:type="dxa"/>
              <w:bottom w:w="60" w:type="dxa"/>
              <w:end w:w="70" w:type="dxa"/>
            </w:tcMar>
          </w:tcPr>
          <w:p>
            <w:pPr>
              <w:pStyle w:val="TableText"/>
            </w:pPr>
            <w:r>
              <w:rPr>
                <w:sz w:val="14"/>
              </w:rPr>
              <w:t>271-365 days</w:t>
            </w:r>
          </w:p>
        </w:tc>
        <w:tc>
          <w:tcPr>
            <w:tcW w:type="dxa" w:w="8640"/>
            <w:vAlign w:val="top"/>
            <w:tcMar>
              <w:top w:w="60" w:type="dxa"/>
              <w:start w:w="70" w:type="dxa"/>
              <w:bottom w:w="60" w:type="dxa"/>
              <w:end w:w="70" w:type="dxa"/>
            </w:tcMar>
          </w:tcPr>
          <w:p>
            <w:pPr>
              <w:pStyle w:val="TableText"/>
            </w:pPr>
            <w:r>
              <w:rPr>
                <w:sz w:val="14"/>
              </w:rPr>
              <w:t>Measure template adoption and unit economics, close control gaps, automate production-readiness evidence and review ADRs using observed workload data.</w:t>
            </w:r>
          </w:p>
        </w:tc>
      </w:tr>
    </w:tbl>
    <w:p>
      <w:pPr>
        <w:pStyle w:val="Heading2"/>
      </w:pPr>
      <w:r>
        <w:t>Migration waves</w:t>
      </w:r>
    </w:p>
    <w:p>
      <w:pPr>
        <w:pStyle w:val="ListNumber"/>
        <w:spacing w:after="30"/>
      </w:pPr>
      <w:r>
        <w:t>Wave A - Low-risk bounded batch products to prove templates and operating model.</w:t>
      </w:r>
    </w:p>
    <w:p>
      <w:pPr>
        <w:pStyle w:val="ListNumber"/>
        <w:spacing w:after="30"/>
      </w:pPr>
      <w:r>
        <w:t>Wave B - Dataform/BigQuery transformations and scheduled domain products.</w:t>
      </w:r>
    </w:p>
    <w:p>
      <w:pPr>
        <w:pStyle w:val="ListNumber"/>
        <w:spacing w:after="30"/>
      </w:pPr>
      <w:r>
        <w:t>Wave C - Supported database CDC with reconciliation and schema-change controls.</w:t>
      </w:r>
    </w:p>
    <w:p>
      <w:pPr>
        <w:pStyle w:val="ListNumber"/>
        <w:spacing w:after="30"/>
      </w:pPr>
      <w:r>
        <w:t>Wave D - Streaming products with event-time, replay and SLO evidence.</w:t>
      </w:r>
    </w:p>
    <w:p>
      <w:pPr>
        <w:pStyle w:val="ListNumber"/>
        <w:spacing w:after="30"/>
      </w:pPr>
      <w:r>
        <w:t>Wave E - Legacy Spark refactoring, platform consolidation and tool retirement.</w:t>
      </w:r>
    </w:p>
    <w:p>
      <w:r>
        <w:br w:type="page"/>
      </w:r>
    </w:p>
    <w:p>
      <w:pPr>
        <w:pStyle w:val="Heading1"/>
        <w:keepNext/>
      </w:pPr>
      <w:r>
        <w:t>31. Validation Criteria and Production Readiness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1A73E8"/>
            <w:vAlign w:val="center"/>
            <w:tcMar>
              <w:top w:w="60" w:type="dxa"/>
              <w:start w:w="70" w:type="dxa"/>
              <w:bottom w:w="60" w:type="dxa"/>
              <w:end w:w="70" w:type="dxa"/>
            </w:tcMar>
          </w:tcPr>
          <w:p>
            <w:r>
              <w:rPr>
                <w:b/>
                <w:color w:val="FFFFFF"/>
                <w:sz w:val="13"/>
              </w:rPr>
              <w:t>Control</w:t>
            </w:r>
          </w:p>
        </w:tc>
        <w:tc>
          <w:tcPr>
            <w:tcW w:type="dxa" w:w="6336"/>
            <w:shd w:fill="1A73E8"/>
            <w:vAlign w:val="center"/>
            <w:tcMar>
              <w:top w:w="60" w:type="dxa"/>
              <w:start w:w="70" w:type="dxa"/>
              <w:bottom w:w="60" w:type="dxa"/>
              <w:end w:w="70" w:type="dxa"/>
            </w:tcMar>
          </w:tcPr>
          <w:p>
            <w:r>
              <w:rPr>
                <w:b/>
                <w:color w:val="FFFFFF"/>
                <w:sz w:val="13"/>
              </w:rPr>
              <w:t>Acceptance evidence</w:t>
            </w:r>
          </w:p>
        </w:tc>
        <w:tc>
          <w:tcPr>
            <w:tcW w:type="dxa" w:w="1008"/>
            <w:shd w:fill="1A73E8"/>
            <w:vAlign w:val="center"/>
            <w:tcMar>
              <w:top w:w="60" w:type="dxa"/>
              <w:start w:w="70" w:type="dxa"/>
              <w:bottom w:w="60" w:type="dxa"/>
              <w:end w:w="70" w:type="dxa"/>
            </w:tcMar>
          </w:tcPr>
          <w:p>
            <w:r>
              <w:rPr>
                <w:b/>
                <w:color w:val="FFFFFF"/>
                <w:sz w:val="13"/>
              </w:rPr>
              <w:t>Mandatory</w:t>
            </w:r>
          </w:p>
        </w:tc>
      </w:tr>
      <w:tr>
        <w:trPr>
          <w:cantSplit/>
        </w:trPr>
        <w:tc>
          <w:tcPr>
            <w:tcW w:type="dxa" w:w="2880"/>
            <w:vAlign w:val="top"/>
            <w:tcMar>
              <w:top w:w="60" w:type="dxa"/>
              <w:start w:w="70" w:type="dxa"/>
              <w:bottom w:w="60" w:type="dxa"/>
              <w:end w:w="70" w:type="dxa"/>
            </w:tcMar>
          </w:tcPr>
          <w:p>
            <w:pPr>
              <w:pStyle w:val="TableText"/>
            </w:pPr>
            <w:r>
              <w:rPr>
                <w:sz w:val="13"/>
              </w:rPr>
              <w:t>Owner and support model</w:t>
            </w:r>
          </w:p>
        </w:tc>
        <w:tc>
          <w:tcPr>
            <w:tcW w:type="dxa" w:w="6336"/>
            <w:vAlign w:val="top"/>
            <w:tcMar>
              <w:top w:w="60" w:type="dxa"/>
              <w:start w:w="70" w:type="dxa"/>
              <w:bottom w:w="60" w:type="dxa"/>
              <w:end w:w="70" w:type="dxa"/>
            </w:tcMar>
          </w:tcPr>
          <w:p>
            <w:pPr>
              <w:pStyle w:val="TableText"/>
            </w:pPr>
            <w:r>
              <w:rPr>
                <w:sz w:val="13"/>
              </w:rPr>
              <w:t>Named product owner, engineer and on-call route</w:t>
            </w:r>
          </w:p>
        </w:tc>
        <w:tc>
          <w:tcPr>
            <w:tcW w:type="dxa" w:w="1008"/>
            <w:vAlign w:val="top"/>
            <w:tcMar>
              <w:top w:w="60" w:type="dxa"/>
              <w:start w:w="70" w:type="dxa"/>
              <w:bottom w:w="60" w:type="dxa"/>
              <w:end w:w="70" w:type="dxa"/>
            </w:tcMar>
          </w:tcPr>
          <w:p>
            <w:pPr>
              <w:pStyle w:val="TableText"/>
            </w:pPr>
            <w:r>
              <w:rPr>
                <w:sz w:val="13"/>
              </w:rPr>
              <w:t>Yes</w:t>
            </w:r>
          </w:p>
        </w:tc>
      </w:tr>
      <w:tr>
        <w:trPr>
          <w:cantSplit/>
        </w:trPr>
        <w:tc>
          <w:tcPr>
            <w:tcW w:type="dxa" w:w="2880"/>
            <w:vAlign w:val="top"/>
            <w:tcMar>
              <w:top w:w="60" w:type="dxa"/>
              <w:start w:w="70" w:type="dxa"/>
              <w:bottom w:w="60" w:type="dxa"/>
              <w:end w:w="70" w:type="dxa"/>
            </w:tcMar>
            <w:shd w:fill="F8F9FA"/>
          </w:tcPr>
          <w:p>
            <w:pPr>
              <w:pStyle w:val="TableText"/>
            </w:pPr>
            <w:r>
              <w:rPr>
                <w:sz w:val="13"/>
              </w:rPr>
              <w:t>Contract and classification</w:t>
            </w:r>
          </w:p>
        </w:tc>
        <w:tc>
          <w:tcPr>
            <w:tcW w:type="dxa" w:w="6336"/>
            <w:vAlign w:val="top"/>
            <w:tcMar>
              <w:top w:w="60" w:type="dxa"/>
              <w:start w:w="70" w:type="dxa"/>
              <w:bottom w:w="60" w:type="dxa"/>
              <w:end w:w="70" w:type="dxa"/>
            </w:tcMar>
            <w:shd w:fill="F8F9FA"/>
          </w:tcPr>
          <w:p>
            <w:pPr>
              <w:pStyle w:val="TableText"/>
            </w:pPr>
            <w:r>
              <w:rPr>
                <w:sz w:val="13"/>
              </w:rPr>
              <w:t>Versioned contract, schema, classification and retention</w:t>
            </w:r>
          </w:p>
        </w:tc>
        <w:tc>
          <w:tcPr>
            <w:tcW w:type="dxa" w:w="1008"/>
            <w:vAlign w:val="top"/>
            <w:tcMar>
              <w:top w:w="60" w:type="dxa"/>
              <w:start w:w="70" w:type="dxa"/>
              <w:bottom w:w="60" w:type="dxa"/>
              <w:end w:w="70" w:type="dxa"/>
            </w:tcMar>
            <w:shd w:fill="F8F9FA"/>
          </w:tcPr>
          <w:p>
            <w:pPr>
              <w:pStyle w:val="TableText"/>
            </w:pPr>
            <w:r>
              <w:rPr>
                <w:sz w:val="13"/>
              </w:rPr>
              <w:t>Yes</w:t>
            </w:r>
          </w:p>
        </w:tc>
      </w:tr>
      <w:tr>
        <w:trPr>
          <w:cantSplit/>
        </w:trPr>
        <w:tc>
          <w:tcPr>
            <w:tcW w:type="dxa" w:w="2880"/>
            <w:vAlign w:val="top"/>
            <w:tcMar>
              <w:top w:w="60" w:type="dxa"/>
              <w:start w:w="70" w:type="dxa"/>
              <w:bottom w:w="60" w:type="dxa"/>
              <w:end w:w="70" w:type="dxa"/>
            </w:tcMar>
          </w:tcPr>
          <w:p>
            <w:pPr>
              <w:pStyle w:val="TableText"/>
            </w:pPr>
            <w:r>
              <w:rPr>
                <w:sz w:val="13"/>
              </w:rPr>
              <w:t>Idempotency and replay</w:t>
            </w:r>
          </w:p>
        </w:tc>
        <w:tc>
          <w:tcPr>
            <w:tcW w:type="dxa" w:w="6336"/>
            <w:vAlign w:val="top"/>
            <w:tcMar>
              <w:top w:w="60" w:type="dxa"/>
              <w:start w:w="70" w:type="dxa"/>
              <w:bottom w:w="60" w:type="dxa"/>
              <w:end w:w="70" w:type="dxa"/>
            </w:tcMar>
          </w:tcPr>
          <w:p>
            <w:pPr>
              <w:pStyle w:val="TableText"/>
            </w:pPr>
            <w:r>
              <w:rPr>
                <w:sz w:val="13"/>
              </w:rPr>
              <w:t>Duplicate test, immutable source, replay runbook</w:t>
            </w:r>
          </w:p>
        </w:tc>
        <w:tc>
          <w:tcPr>
            <w:tcW w:type="dxa" w:w="1008"/>
            <w:vAlign w:val="top"/>
            <w:tcMar>
              <w:top w:w="60" w:type="dxa"/>
              <w:start w:w="70" w:type="dxa"/>
              <w:bottom w:w="60" w:type="dxa"/>
              <w:end w:w="70" w:type="dxa"/>
            </w:tcMar>
          </w:tcPr>
          <w:p>
            <w:pPr>
              <w:pStyle w:val="TableText"/>
            </w:pPr>
            <w:r>
              <w:rPr>
                <w:sz w:val="13"/>
              </w:rPr>
              <w:t>Yes</w:t>
            </w:r>
          </w:p>
        </w:tc>
      </w:tr>
      <w:tr>
        <w:trPr>
          <w:cantSplit/>
        </w:trPr>
        <w:tc>
          <w:tcPr>
            <w:tcW w:type="dxa" w:w="2880"/>
            <w:vAlign w:val="top"/>
            <w:tcMar>
              <w:top w:w="60" w:type="dxa"/>
              <w:start w:w="70" w:type="dxa"/>
              <w:bottom w:w="60" w:type="dxa"/>
              <w:end w:w="70" w:type="dxa"/>
            </w:tcMar>
            <w:shd w:fill="F8F9FA"/>
          </w:tcPr>
          <w:p>
            <w:pPr>
              <w:pStyle w:val="TableText"/>
            </w:pPr>
            <w:r>
              <w:rPr>
                <w:sz w:val="13"/>
              </w:rPr>
              <w:t>Quality and reconciliation</w:t>
            </w:r>
          </w:p>
        </w:tc>
        <w:tc>
          <w:tcPr>
            <w:tcW w:type="dxa" w:w="6336"/>
            <w:vAlign w:val="top"/>
            <w:tcMar>
              <w:top w:w="60" w:type="dxa"/>
              <w:start w:w="70" w:type="dxa"/>
              <w:bottom w:w="60" w:type="dxa"/>
              <w:end w:w="70" w:type="dxa"/>
            </w:tcMar>
            <w:shd w:fill="F8F9FA"/>
          </w:tcPr>
          <w:p>
            <w:pPr>
              <w:pStyle w:val="TableText"/>
            </w:pPr>
            <w:r>
              <w:rPr>
                <w:sz w:val="13"/>
              </w:rPr>
              <w:t>Critical assertions and source-target evidence</w:t>
            </w:r>
          </w:p>
        </w:tc>
        <w:tc>
          <w:tcPr>
            <w:tcW w:type="dxa" w:w="1008"/>
            <w:vAlign w:val="top"/>
            <w:tcMar>
              <w:top w:w="60" w:type="dxa"/>
              <w:start w:w="70" w:type="dxa"/>
              <w:bottom w:w="60" w:type="dxa"/>
              <w:end w:w="70" w:type="dxa"/>
            </w:tcMar>
            <w:shd w:fill="F8F9FA"/>
          </w:tcPr>
          <w:p>
            <w:pPr>
              <w:pStyle w:val="TableText"/>
            </w:pPr>
            <w:r>
              <w:rPr>
                <w:sz w:val="13"/>
              </w:rPr>
              <w:t>Yes</w:t>
            </w:r>
          </w:p>
        </w:tc>
      </w:tr>
      <w:tr>
        <w:trPr>
          <w:cantSplit/>
        </w:trPr>
        <w:tc>
          <w:tcPr>
            <w:tcW w:type="dxa" w:w="2880"/>
            <w:vAlign w:val="top"/>
            <w:tcMar>
              <w:top w:w="60" w:type="dxa"/>
              <w:start w:w="70" w:type="dxa"/>
              <w:bottom w:w="60" w:type="dxa"/>
              <w:end w:w="70" w:type="dxa"/>
            </w:tcMar>
          </w:tcPr>
          <w:p>
            <w:pPr>
              <w:pStyle w:val="TableText"/>
            </w:pPr>
            <w:r>
              <w:rPr>
                <w:sz w:val="13"/>
              </w:rPr>
              <w:t>Security</w:t>
            </w:r>
          </w:p>
        </w:tc>
        <w:tc>
          <w:tcPr>
            <w:tcW w:type="dxa" w:w="6336"/>
            <w:vAlign w:val="top"/>
            <w:tcMar>
              <w:top w:w="60" w:type="dxa"/>
              <w:start w:w="70" w:type="dxa"/>
              <w:bottom w:w="60" w:type="dxa"/>
              <w:end w:w="70" w:type="dxa"/>
            </w:tcMar>
          </w:tcPr>
          <w:p>
            <w:pPr>
              <w:pStyle w:val="TableText"/>
            </w:pPr>
            <w:r>
              <w:rPr>
                <w:sz w:val="13"/>
              </w:rPr>
              <w:t>Least privilege, private path, VPC SC/CMEK decision</w:t>
            </w:r>
          </w:p>
        </w:tc>
        <w:tc>
          <w:tcPr>
            <w:tcW w:type="dxa" w:w="1008"/>
            <w:vAlign w:val="top"/>
            <w:tcMar>
              <w:top w:w="60" w:type="dxa"/>
              <w:start w:w="70" w:type="dxa"/>
              <w:bottom w:w="60" w:type="dxa"/>
              <w:end w:w="70" w:type="dxa"/>
            </w:tcMar>
          </w:tcPr>
          <w:p>
            <w:pPr>
              <w:pStyle w:val="TableText"/>
            </w:pPr>
            <w:r>
              <w:rPr>
                <w:sz w:val="13"/>
              </w:rPr>
              <w:t>Yes</w:t>
            </w:r>
          </w:p>
        </w:tc>
      </w:tr>
      <w:tr>
        <w:trPr>
          <w:cantSplit/>
        </w:trPr>
        <w:tc>
          <w:tcPr>
            <w:tcW w:type="dxa" w:w="2880"/>
            <w:vAlign w:val="top"/>
            <w:tcMar>
              <w:top w:w="60" w:type="dxa"/>
              <w:start w:w="70" w:type="dxa"/>
              <w:bottom w:w="60" w:type="dxa"/>
              <w:end w:w="70" w:type="dxa"/>
            </w:tcMar>
            <w:shd w:fill="F8F9FA"/>
          </w:tcPr>
          <w:p>
            <w:pPr>
              <w:pStyle w:val="TableText"/>
            </w:pPr>
            <w:r>
              <w:rPr>
                <w:sz w:val="13"/>
              </w:rPr>
              <w:t>Observability</w:t>
            </w:r>
          </w:p>
        </w:tc>
        <w:tc>
          <w:tcPr>
            <w:tcW w:type="dxa" w:w="6336"/>
            <w:vAlign w:val="top"/>
            <w:tcMar>
              <w:top w:w="60" w:type="dxa"/>
              <w:start w:w="70" w:type="dxa"/>
              <w:bottom w:w="60" w:type="dxa"/>
              <w:end w:w="70" w:type="dxa"/>
            </w:tcMar>
            <w:shd w:fill="F8F9FA"/>
          </w:tcPr>
          <w:p>
            <w:pPr>
              <w:pStyle w:val="TableText"/>
            </w:pPr>
            <w:r>
              <w:rPr>
                <w:sz w:val="13"/>
              </w:rPr>
              <w:t>SLIs, dashboards, alerts and runbook links</w:t>
            </w:r>
          </w:p>
        </w:tc>
        <w:tc>
          <w:tcPr>
            <w:tcW w:type="dxa" w:w="1008"/>
            <w:vAlign w:val="top"/>
            <w:tcMar>
              <w:top w:w="60" w:type="dxa"/>
              <w:start w:w="70" w:type="dxa"/>
              <w:bottom w:w="60" w:type="dxa"/>
              <w:end w:w="70" w:type="dxa"/>
            </w:tcMar>
            <w:shd w:fill="F8F9FA"/>
          </w:tcPr>
          <w:p>
            <w:pPr>
              <w:pStyle w:val="TableText"/>
            </w:pPr>
            <w:r>
              <w:rPr>
                <w:sz w:val="13"/>
              </w:rPr>
              <w:t>Yes</w:t>
            </w:r>
          </w:p>
        </w:tc>
      </w:tr>
      <w:tr>
        <w:trPr>
          <w:cantSplit/>
        </w:trPr>
        <w:tc>
          <w:tcPr>
            <w:tcW w:type="dxa" w:w="2880"/>
            <w:vAlign w:val="top"/>
            <w:tcMar>
              <w:top w:w="60" w:type="dxa"/>
              <w:start w:w="70" w:type="dxa"/>
              <w:bottom w:w="60" w:type="dxa"/>
              <w:end w:w="70" w:type="dxa"/>
            </w:tcMar>
          </w:tcPr>
          <w:p>
            <w:pPr>
              <w:pStyle w:val="TableText"/>
            </w:pPr>
            <w:r>
              <w:rPr>
                <w:sz w:val="13"/>
              </w:rPr>
              <w:t>Performance/cost</w:t>
            </w:r>
          </w:p>
        </w:tc>
        <w:tc>
          <w:tcPr>
            <w:tcW w:type="dxa" w:w="6336"/>
            <w:vAlign w:val="top"/>
            <w:tcMar>
              <w:top w:w="60" w:type="dxa"/>
              <w:start w:w="70" w:type="dxa"/>
              <w:bottom w:w="60" w:type="dxa"/>
              <w:end w:w="70" w:type="dxa"/>
            </w:tcMar>
          </w:tcPr>
          <w:p>
            <w:pPr>
              <w:pStyle w:val="TableText"/>
            </w:pPr>
            <w:r>
              <w:rPr>
                <w:sz w:val="13"/>
              </w:rPr>
              <w:t>Representative load test and unit-cost envelope</w:t>
            </w:r>
          </w:p>
        </w:tc>
        <w:tc>
          <w:tcPr>
            <w:tcW w:type="dxa" w:w="1008"/>
            <w:vAlign w:val="top"/>
            <w:tcMar>
              <w:top w:w="60" w:type="dxa"/>
              <w:start w:w="70" w:type="dxa"/>
              <w:bottom w:w="60" w:type="dxa"/>
              <w:end w:w="70" w:type="dxa"/>
            </w:tcMar>
          </w:tcPr>
          <w:p>
            <w:pPr>
              <w:pStyle w:val="TableText"/>
            </w:pPr>
            <w:r>
              <w:rPr>
                <w:sz w:val="13"/>
              </w:rPr>
              <w:t>Yes</w:t>
            </w:r>
          </w:p>
        </w:tc>
      </w:tr>
      <w:tr>
        <w:trPr>
          <w:cantSplit/>
        </w:trPr>
        <w:tc>
          <w:tcPr>
            <w:tcW w:type="dxa" w:w="2880"/>
            <w:vAlign w:val="top"/>
            <w:tcMar>
              <w:top w:w="60" w:type="dxa"/>
              <w:start w:w="70" w:type="dxa"/>
              <w:bottom w:w="60" w:type="dxa"/>
              <w:end w:w="70" w:type="dxa"/>
            </w:tcMar>
            <w:shd w:fill="F8F9FA"/>
          </w:tcPr>
          <w:p>
            <w:pPr>
              <w:pStyle w:val="TableText"/>
            </w:pPr>
            <w:r>
              <w:rPr>
                <w:sz w:val="13"/>
              </w:rPr>
              <w:t>DR</w:t>
            </w:r>
          </w:p>
        </w:tc>
        <w:tc>
          <w:tcPr>
            <w:tcW w:type="dxa" w:w="6336"/>
            <w:vAlign w:val="top"/>
            <w:tcMar>
              <w:top w:w="60" w:type="dxa"/>
              <w:start w:w="70" w:type="dxa"/>
              <w:bottom w:w="60" w:type="dxa"/>
              <w:end w:w="70" w:type="dxa"/>
            </w:tcMar>
            <w:shd w:fill="F8F9FA"/>
          </w:tcPr>
          <w:p>
            <w:pPr>
              <w:pStyle w:val="TableText"/>
            </w:pPr>
            <w:r>
              <w:rPr>
                <w:sz w:val="13"/>
              </w:rPr>
              <w:t>Tier-aligned RTO/RPO test</w:t>
            </w:r>
          </w:p>
        </w:tc>
        <w:tc>
          <w:tcPr>
            <w:tcW w:type="dxa" w:w="1008"/>
            <w:vAlign w:val="top"/>
            <w:tcMar>
              <w:top w:w="60" w:type="dxa"/>
              <w:start w:w="70" w:type="dxa"/>
              <w:bottom w:w="60" w:type="dxa"/>
              <w:end w:w="70" w:type="dxa"/>
            </w:tcMar>
            <w:shd w:fill="F8F9FA"/>
          </w:tcPr>
          <w:p>
            <w:pPr>
              <w:pStyle w:val="TableText"/>
            </w:pPr>
            <w:r>
              <w:rPr>
                <w:sz w:val="13"/>
              </w:rPr>
              <w:t>Tier 0/1</w:t>
            </w:r>
          </w:p>
        </w:tc>
      </w:tr>
      <w:tr>
        <w:trPr>
          <w:cantSplit/>
        </w:trPr>
        <w:tc>
          <w:tcPr>
            <w:tcW w:type="dxa" w:w="2880"/>
            <w:vAlign w:val="top"/>
            <w:tcMar>
              <w:top w:w="60" w:type="dxa"/>
              <w:start w:w="70" w:type="dxa"/>
              <w:bottom w:w="60" w:type="dxa"/>
              <w:end w:w="70" w:type="dxa"/>
            </w:tcMar>
          </w:tcPr>
          <w:p>
            <w:pPr>
              <w:pStyle w:val="TableText"/>
            </w:pPr>
            <w:r>
              <w:rPr>
                <w:sz w:val="13"/>
              </w:rPr>
              <w:t>Deployment/rollback</w:t>
            </w:r>
          </w:p>
        </w:tc>
        <w:tc>
          <w:tcPr>
            <w:tcW w:type="dxa" w:w="6336"/>
            <w:vAlign w:val="top"/>
            <w:tcMar>
              <w:top w:w="60" w:type="dxa"/>
              <w:start w:w="70" w:type="dxa"/>
              <w:bottom w:w="60" w:type="dxa"/>
              <w:end w:w="70" w:type="dxa"/>
            </w:tcMar>
          </w:tcPr>
          <w:p>
            <w:pPr>
              <w:pStyle w:val="TableText"/>
            </w:pPr>
            <w:r>
              <w:rPr>
                <w:sz w:val="13"/>
              </w:rPr>
              <w:t>Immutable artifact, approvals and tested rollback</w:t>
            </w:r>
          </w:p>
        </w:tc>
        <w:tc>
          <w:tcPr>
            <w:tcW w:type="dxa" w:w="1008"/>
            <w:vAlign w:val="top"/>
            <w:tcMar>
              <w:top w:w="60" w:type="dxa"/>
              <w:start w:w="70" w:type="dxa"/>
              <w:bottom w:w="60" w:type="dxa"/>
              <w:end w:w="70" w:type="dxa"/>
            </w:tcMar>
          </w:tcPr>
          <w:p>
            <w:pPr>
              <w:pStyle w:val="TableText"/>
            </w:pPr>
            <w:r>
              <w:rPr>
                <w:sz w:val="13"/>
              </w:rPr>
              <w:t>Yes</w:t>
            </w:r>
          </w:p>
        </w:tc>
      </w:tr>
      <w:tr>
        <w:trPr>
          <w:cantSplit/>
        </w:trPr>
        <w:tc>
          <w:tcPr>
            <w:tcW w:type="dxa" w:w="2880"/>
            <w:vAlign w:val="top"/>
            <w:tcMar>
              <w:top w:w="60" w:type="dxa"/>
              <w:start w:w="70" w:type="dxa"/>
              <w:bottom w:w="60" w:type="dxa"/>
              <w:end w:w="70" w:type="dxa"/>
            </w:tcMar>
            <w:shd w:fill="F8F9FA"/>
          </w:tcPr>
          <w:p>
            <w:pPr>
              <w:pStyle w:val="TableText"/>
            </w:pPr>
            <w:r>
              <w:rPr>
                <w:sz w:val="13"/>
              </w:rPr>
              <w:t>Documentation</w:t>
            </w:r>
          </w:p>
        </w:tc>
        <w:tc>
          <w:tcPr>
            <w:tcW w:type="dxa" w:w="6336"/>
            <w:vAlign w:val="top"/>
            <w:tcMar>
              <w:top w:w="60" w:type="dxa"/>
              <w:start w:w="70" w:type="dxa"/>
              <w:bottom w:w="60" w:type="dxa"/>
              <w:end w:w="70" w:type="dxa"/>
            </w:tcMar>
            <w:shd w:fill="F8F9FA"/>
          </w:tcPr>
          <w:p>
            <w:pPr>
              <w:pStyle w:val="TableText"/>
            </w:pPr>
            <w:r>
              <w:rPr>
                <w:sz w:val="13"/>
              </w:rPr>
              <w:t>Architecture, lineage, dependencies and known limits</w:t>
            </w:r>
          </w:p>
        </w:tc>
        <w:tc>
          <w:tcPr>
            <w:tcW w:type="dxa" w:w="1008"/>
            <w:vAlign w:val="top"/>
            <w:tcMar>
              <w:top w:w="60" w:type="dxa"/>
              <w:start w:w="70" w:type="dxa"/>
              <w:bottom w:w="60" w:type="dxa"/>
              <w:end w:w="70" w:type="dxa"/>
            </w:tcMar>
            <w:shd w:fill="F8F9FA"/>
          </w:tcPr>
          <w:p>
            <w:pPr>
              <w:pStyle w:val="TableText"/>
            </w:pPr>
            <w:r>
              <w:rPr>
                <w:sz w:val="13"/>
              </w:rPr>
              <w:t>Yes</w:t>
            </w:r>
          </w:p>
        </w:tc>
      </w:tr>
    </w:tbl>
    <w:p>
      <w:pPr>
        <w:pStyle w:val="Heading2"/>
      </w:pPr>
      <w:r>
        <w:t>Measurable acceptance tests</w:t>
      </w:r>
    </w:p>
    <w:p>
      <w:pPr>
        <w:pStyle w:val="ListBullet"/>
        <w:spacing w:after="30"/>
      </w:pPr>
      <w:r>
        <w:t>Inject duplicate events and prove one business effect or documented reconciliation outcome.</w:t>
      </w:r>
    </w:p>
    <w:p>
      <w:pPr>
        <w:pStyle w:val="ListBullet"/>
        <w:spacing w:after="30"/>
      </w:pPr>
      <w:r>
        <w:t>Inject late events inside and outside allowed lateness and prove correction behavior.</w:t>
      </w:r>
    </w:p>
    <w:p>
      <w:pPr>
        <w:pStyle w:val="ListBullet"/>
        <w:spacing w:after="30"/>
      </w:pPr>
      <w:r>
        <w:t>Break schema compatibility and prove quarantine, alert and producer feedback.</w:t>
      </w:r>
    </w:p>
    <w:p>
      <w:pPr>
        <w:pStyle w:val="ListBullet"/>
        <w:spacing w:after="30"/>
      </w:pPr>
      <w:r>
        <w:t>Terminate workers/tasks and prove checkpoint/retry behavior without silent loss.</w:t>
      </w:r>
    </w:p>
    <w:p>
      <w:pPr>
        <w:pStyle w:val="ListBullet"/>
        <w:spacing w:after="30"/>
      </w:pPr>
      <w:r>
        <w:t>Run scoped replay/backfill while live processing continues within capacity/SLO envelope.</w:t>
      </w:r>
    </w:p>
    <w:p>
      <w:pPr>
        <w:pStyle w:val="ListBullet"/>
        <w:spacing w:after="30"/>
      </w:pPr>
      <w:r>
        <w:t>Deploy a bad candidate and complete rollback to the prior immutable artifact.</w:t>
      </w:r>
    </w:p>
    <w:p>
      <w:pPr>
        <w:pStyle w:val="ListBullet"/>
        <w:spacing w:after="30"/>
      </w:pPr>
      <w:r>
        <w:t>Reconcile source and target counts, values and keys for representative partitions.</w:t>
      </w:r>
    </w:p>
    <w:p>
      <w:pPr>
        <w:pStyle w:val="ListBullet"/>
        <w:spacing w:after="30"/>
      </w:pPr>
      <w:r>
        <w:t>Prove least-privilege IAM by testing denied unauthorized paths and approved private access.</w:t>
      </w:r>
    </w:p>
    <w:p>
      <w:r>
        <w:br w:type="page"/>
      </w:r>
    </w:p>
    <w:p>
      <w:pPr>
        <w:pStyle w:val="Heading1"/>
        <w:keepNext/>
      </w:pPr>
      <w:r>
        <w:t>32. Cross-Volume Dependencies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088"/>
            <w:shd w:fill="1A73E8"/>
            <w:vAlign w:val="center"/>
            <w:tcMar>
              <w:top w:w="60" w:type="dxa"/>
              <w:start w:w="70" w:type="dxa"/>
              <w:bottom w:w="60" w:type="dxa"/>
              <w:end w:w="70" w:type="dxa"/>
            </w:tcMar>
          </w:tcPr>
          <w:p>
            <w:r>
              <w:rPr>
                <w:b/>
                <w:color w:val="FFFFFF"/>
                <w:sz w:val="13"/>
              </w:rPr>
              <w:t>Volume</w:t>
            </w:r>
          </w:p>
        </w:tc>
        <w:tc>
          <w:tcPr>
            <w:tcW w:type="dxa" w:w="4032"/>
            <w:shd w:fill="1A73E8"/>
            <w:vAlign w:val="center"/>
            <w:tcMar>
              <w:top w:w="60" w:type="dxa"/>
              <w:start w:w="70" w:type="dxa"/>
              <w:bottom w:w="60" w:type="dxa"/>
              <w:end w:w="70" w:type="dxa"/>
            </w:tcMar>
          </w:tcPr>
          <w:p>
            <w:r>
              <w:rPr>
                <w:b/>
                <w:color w:val="FFFFFF"/>
                <w:sz w:val="13"/>
              </w:rPr>
              <w:t>Dependency from Volume 04</w:t>
            </w:r>
          </w:p>
        </w:tc>
        <w:tc>
          <w:tcPr>
            <w:tcW w:type="dxa" w:w="4032"/>
            <w:shd w:fill="1A73E8"/>
            <w:vAlign w:val="center"/>
            <w:tcMar>
              <w:top w:w="60" w:type="dxa"/>
              <w:start w:w="70" w:type="dxa"/>
              <w:bottom w:w="60" w:type="dxa"/>
              <w:end w:w="70" w:type="dxa"/>
            </w:tcMar>
          </w:tcPr>
          <w:p>
            <w:r>
              <w:rPr>
                <w:b/>
                <w:color w:val="FFFFFF"/>
                <w:sz w:val="13"/>
              </w:rPr>
              <w:t>Contract back to Volume 04</w:t>
            </w:r>
          </w:p>
        </w:tc>
      </w:tr>
      <w:tr>
        <w:trPr>
          <w:cantSplit/>
        </w:trPr>
        <w:tc>
          <w:tcPr>
            <w:tcW w:type="dxa" w:w="2088"/>
            <w:vAlign w:val="top"/>
            <w:tcMar>
              <w:top w:w="60" w:type="dxa"/>
              <w:start w:w="70" w:type="dxa"/>
              <w:bottom w:w="60" w:type="dxa"/>
              <w:end w:w="70" w:type="dxa"/>
            </w:tcMar>
          </w:tcPr>
          <w:p>
            <w:pPr>
              <w:pStyle w:val="TableText"/>
            </w:pPr>
            <w:r>
              <w:rPr>
                <w:sz w:val="13"/>
              </w:rPr>
              <w:t>01 Executive Architecture</w:t>
            </w:r>
          </w:p>
        </w:tc>
        <w:tc>
          <w:tcPr>
            <w:tcW w:type="dxa" w:w="4032"/>
            <w:vAlign w:val="top"/>
            <w:tcMar>
              <w:top w:w="60" w:type="dxa"/>
              <w:start w:w="70" w:type="dxa"/>
              <w:bottom w:w="60" w:type="dxa"/>
              <w:end w:w="70" w:type="dxa"/>
            </w:tcMar>
          </w:tcPr>
          <w:p>
            <w:pPr>
              <w:pStyle w:val="TableText"/>
            </w:pPr>
            <w:r>
              <w:rPr>
                <w:sz w:val="13"/>
              </w:rPr>
              <w:t>Principles, NFRs, tiers and roadmap</w:t>
            </w:r>
          </w:p>
        </w:tc>
        <w:tc>
          <w:tcPr>
            <w:tcW w:type="dxa" w:w="4032"/>
            <w:vAlign w:val="top"/>
            <w:tcMar>
              <w:top w:w="60" w:type="dxa"/>
              <w:start w:w="70" w:type="dxa"/>
              <w:bottom w:w="60" w:type="dxa"/>
              <w:end w:w="70" w:type="dxa"/>
            </w:tcMar>
          </w:tcPr>
          <w:p>
            <w:pPr>
              <w:pStyle w:val="TableText"/>
            </w:pPr>
            <w:r>
              <w:rPr>
                <w:sz w:val="13"/>
              </w:rPr>
              <w:t>Pipeline implementation evidence and refined decisions</w:t>
            </w:r>
          </w:p>
        </w:tc>
      </w:tr>
      <w:tr>
        <w:trPr>
          <w:cantSplit/>
        </w:trPr>
        <w:tc>
          <w:tcPr>
            <w:tcW w:type="dxa" w:w="2088"/>
            <w:vAlign w:val="top"/>
            <w:tcMar>
              <w:top w:w="60" w:type="dxa"/>
              <w:start w:w="70" w:type="dxa"/>
              <w:bottom w:w="60" w:type="dxa"/>
              <w:end w:w="70" w:type="dxa"/>
            </w:tcMar>
            <w:shd w:fill="F8F9FA"/>
          </w:tcPr>
          <w:p>
            <w:pPr>
              <w:pStyle w:val="TableText"/>
            </w:pPr>
            <w:r>
              <w:rPr>
                <w:sz w:val="13"/>
              </w:rPr>
              <w:t>02 Landing Zone</w:t>
            </w:r>
          </w:p>
        </w:tc>
        <w:tc>
          <w:tcPr>
            <w:tcW w:type="dxa" w:w="4032"/>
            <w:vAlign w:val="top"/>
            <w:tcMar>
              <w:top w:w="60" w:type="dxa"/>
              <w:start w:w="70" w:type="dxa"/>
              <w:bottom w:w="60" w:type="dxa"/>
              <w:end w:w="70" w:type="dxa"/>
            </w:tcMar>
            <w:shd w:fill="F8F9FA"/>
          </w:tcPr>
          <w:p>
            <w:pPr>
              <w:pStyle w:val="TableText"/>
            </w:pPr>
            <w:r>
              <w:rPr>
                <w:sz w:val="13"/>
              </w:rPr>
              <w:t>Projects, Shared VPC, IAM, KMS, VPC SC, logs and Terraform foundation</w:t>
            </w:r>
          </w:p>
        </w:tc>
        <w:tc>
          <w:tcPr>
            <w:tcW w:type="dxa" w:w="4032"/>
            <w:vAlign w:val="top"/>
            <w:tcMar>
              <w:top w:w="60" w:type="dxa"/>
              <w:start w:w="70" w:type="dxa"/>
              <w:bottom w:w="60" w:type="dxa"/>
              <w:end w:w="70" w:type="dxa"/>
            </w:tcMar>
            <w:shd w:fill="F8F9FA"/>
          </w:tcPr>
          <w:p>
            <w:pPr>
              <w:pStyle w:val="TableText"/>
            </w:pPr>
            <w:r>
              <w:rPr>
                <w:sz w:val="13"/>
              </w:rPr>
              <w:t>Runtime network/service-agent requirements</w:t>
            </w:r>
          </w:p>
        </w:tc>
      </w:tr>
      <w:tr>
        <w:trPr>
          <w:cantSplit/>
        </w:trPr>
        <w:tc>
          <w:tcPr>
            <w:tcW w:type="dxa" w:w="2088"/>
            <w:vAlign w:val="top"/>
            <w:tcMar>
              <w:top w:w="60" w:type="dxa"/>
              <w:start w:w="70" w:type="dxa"/>
              <w:bottom w:w="60" w:type="dxa"/>
              <w:end w:w="70" w:type="dxa"/>
            </w:tcMar>
          </w:tcPr>
          <w:p>
            <w:pPr>
              <w:pStyle w:val="TableText"/>
            </w:pPr>
            <w:r>
              <w:rPr>
                <w:sz w:val="13"/>
              </w:rPr>
              <w:t>03 Enterprise Data Platform</w:t>
            </w:r>
          </w:p>
        </w:tc>
        <w:tc>
          <w:tcPr>
            <w:tcW w:type="dxa" w:w="4032"/>
            <w:vAlign w:val="top"/>
            <w:tcMar>
              <w:top w:w="60" w:type="dxa"/>
              <w:start w:w="70" w:type="dxa"/>
              <w:bottom w:w="60" w:type="dxa"/>
              <w:end w:w="70" w:type="dxa"/>
            </w:tcMar>
          </w:tcPr>
          <w:p>
            <w:pPr>
              <w:pStyle w:val="TableText"/>
            </w:pPr>
            <w:r>
              <w:rPr>
                <w:sz w:val="13"/>
              </w:rPr>
              <w:t>Sources, layers, storage, BigQuery, governance and data products</w:t>
            </w:r>
          </w:p>
        </w:tc>
        <w:tc>
          <w:tcPr>
            <w:tcW w:type="dxa" w:w="4032"/>
            <w:vAlign w:val="top"/>
            <w:tcMar>
              <w:top w:w="60" w:type="dxa"/>
              <w:start w:w="70" w:type="dxa"/>
              <w:bottom w:w="60" w:type="dxa"/>
              <w:end w:w="70" w:type="dxa"/>
            </w:tcMar>
          </w:tcPr>
          <w:p>
            <w:pPr>
              <w:pStyle w:val="TableText"/>
            </w:pPr>
            <w:r>
              <w:rPr>
                <w:sz w:val="13"/>
              </w:rPr>
              <w:t>Transformation, publication and recovery implementation</w:t>
            </w:r>
          </w:p>
        </w:tc>
      </w:tr>
      <w:tr>
        <w:trPr>
          <w:cantSplit/>
        </w:trPr>
        <w:tc>
          <w:tcPr>
            <w:tcW w:type="dxa" w:w="2088"/>
            <w:vAlign w:val="top"/>
            <w:tcMar>
              <w:top w:w="60" w:type="dxa"/>
              <w:start w:w="70" w:type="dxa"/>
              <w:bottom w:w="60" w:type="dxa"/>
              <w:end w:w="70" w:type="dxa"/>
            </w:tcMar>
            <w:shd w:fill="F8F9FA"/>
          </w:tcPr>
          <w:p>
            <w:pPr>
              <w:pStyle w:val="TableText"/>
            </w:pPr>
            <w:r>
              <w:rPr>
                <w:sz w:val="13"/>
              </w:rPr>
              <w:t>05 Data Mesh</w:t>
            </w:r>
          </w:p>
        </w:tc>
        <w:tc>
          <w:tcPr>
            <w:tcW w:type="dxa" w:w="4032"/>
            <w:vAlign w:val="top"/>
            <w:tcMar>
              <w:top w:w="60" w:type="dxa"/>
              <w:start w:w="70" w:type="dxa"/>
              <w:bottom w:w="60" w:type="dxa"/>
              <w:end w:w="70" w:type="dxa"/>
            </w:tcMar>
            <w:shd w:fill="F8F9FA"/>
          </w:tcPr>
          <w:p>
            <w:pPr>
              <w:pStyle w:val="TableText"/>
            </w:pPr>
            <w:r>
              <w:rPr>
                <w:sz w:val="13"/>
              </w:rPr>
              <w:t>Domain ownership, contracts, SLOs and product lifecycle</w:t>
            </w:r>
          </w:p>
        </w:tc>
        <w:tc>
          <w:tcPr>
            <w:tcW w:type="dxa" w:w="4032"/>
            <w:vAlign w:val="top"/>
            <w:tcMar>
              <w:top w:w="60" w:type="dxa"/>
              <w:start w:w="70" w:type="dxa"/>
              <w:bottom w:w="60" w:type="dxa"/>
              <w:end w:w="70" w:type="dxa"/>
            </w:tcMar>
            <w:shd w:fill="F8F9FA"/>
          </w:tcPr>
          <w:p>
            <w:pPr>
              <w:pStyle w:val="TableText"/>
            </w:pPr>
            <w:r>
              <w:rPr>
                <w:sz w:val="13"/>
              </w:rPr>
              <w:t>Reusable paved roads and product telemetry</w:t>
            </w:r>
          </w:p>
        </w:tc>
      </w:tr>
      <w:tr>
        <w:trPr>
          <w:cantSplit/>
        </w:trPr>
        <w:tc>
          <w:tcPr>
            <w:tcW w:type="dxa" w:w="2088"/>
            <w:vAlign w:val="top"/>
            <w:tcMar>
              <w:top w:w="60" w:type="dxa"/>
              <w:start w:w="70" w:type="dxa"/>
              <w:bottom w:w="60" w:type="dxa"/>
              <w:end w:w="70" w:type="dxa"/>
            </w:tcMar>
          </w:tcPr>
          <w:p>
            <w:pPr>
              <w:pStyle w:val="TableText"/>
            </w:pPr>
            <w:r>
              <w:rPr>
                <w:sz w:val="13"/>
              </w:rPr>
              <w:t>06 Analytics</w:t>
            </w:r>
          </w:p>
        </w:tc>
        <w:tc>
          <w:tcPr>
            <w:tcW w:type="dxa" w:w="4032"/>
            <w:vAlign w:val="top"/>
            <w:tcMar>
              <w:top w:w="60" w:type="dxa"/>
              <w:start w:w="70" w:type="dxa"/>
              <w:bottom w:w="60" w:type="dxa"/>
              <w:end w:w="70" w:type="dxa"/>
            </w:tcMar>
          </w:tcPr>
          <w:p>
            <w:pPr>
              <w:pStyle w:val="TableText"/>
            </w:pPr>
            <w:r>
              <w:rPr>
                <w:sz w:val="13"/>
              </w:rPr>
              <w:t>Curated/semantic freshness and certified measures</w:t>
            </w:r>
          </w:p>
        </w:tc>
        <w:tc>
          <w:tcPr>
            <w:tcW w:type="dxa" w:w="4032"/>
            <w:vAlign w:val="top"/>
            <w:tcMar>
              <w:top w:w="60" w:type="dxa"/>
              <w:start w:w="70" w:type="dxa"/>
              <w:bottom w:w="60" w:type="dxa"/>
              <w:end w:w="70" w:type="dxa"/>
            </w:tcMar>
          </w:tcPr>
          <w:p>
            <w:pPr>
              <w:pStyle w:val="TableText"/>
            </w:pPr>
            <w:r>
              <w:rPr>
                <w:sz w:val="13"/>
              </w:rPr>
              <w:t>Consumer demand and query/performance feedback</w:t>
            </w:r>
          </w:p>
        </w:tc>
      </w:tr>
      <w:tr>
        <w:trPr>
          <w:cantSplit/>
        </w:trPr>
        <w:tc>
          <w:tcPr>
            <w:tcW w:type="dxa" w:w="2088"/>
            <w:vAlign w:val="top"/>
            <w:tcMar>
              <w:top w:w="60" w:type="dxa"/>
              <w:start w:w="70" w:type="dxa"/>
              <w:bottom w:w="60" w:type="dxa"/>
              <w:end w:w="70" w:type="dxa"/>
            </w:tcMar>
            <w:shd w:fill="F8F9FA"/>
          </w:tcPr>
          <w:p>
            <w:pPr>
              <w:pStyle w:val="TableText"/>
            </w:pPr>
            <w:r>
              <w:rPr>
                <w:sz w:val="13"/>
              </w:rPr>
              <w:t>07 AI/GenAI</w:t>
            </w:r>
          </w:p>
        </w:tc>
        <w:tc>
          <w:tcPr>
            <w:tcW w:type="dxa" w:w="4032"/>
            <w:vAlign w:val="top"/>
            <w:tcMar>
              <w:top w:w="60" w:type="dxa"/>
              <w:start w:w="70" w:type="dxa"/>
              <w:bottom w:w="60" w:type="dxa"/>
              <w:end w:w="70" w:type="dxa"/>
            </w:tcMar>
            <w:shd w:fill="F8F9FA"/>
          </w:tcPr>
          <w:p>
            <w:pPr>
              <w:pStyle w:val="TableText"/>
            </w:pPr>
            <w:r>
              <w:rPr>
                <w:sz w:val="13"/>
              </w:rPr>
              <w:t>Feature, RAG and training-data pipelines</w:t>
            </w:r>
          </w:p>
        </w:tc>
        <w:tc>
          <w:tcPr>
            <w:tcW w:type="dxa" w:w="4032"/>
            <w:vAlign w:val="top"/>
            <w:tcMar>
              <w:top w:w="60" w:type="dxa"/>
              <w:start w:w="70" w:type="dxa"/>
              <w:bottom w:w="60" w:type="dxa"/>
              <w:end w:w="70" w:type="dxa"/>
            </w:tcMar>
            <w:shd w:fill="F8F9FA"/>
          </w:tcPr>
          <w:p>
            <w:pPr>
              <w:pStyle w:val="TableText"/>
            </w:pPr>
            <w:r>
              <w:rPr>
                <w:sz w:val="13"/>
              </w:rPr>
              <w:t>AI data-quality and lineage requirements</w:t>
            </w:r>
          </w:p>
        </w:tc>
      </w:tr>
      <w:tr>
        <w:trPr>
          <w:cantSplit/>
        </w:trPr>
        <w:tc>
          <w:tcPr>
            <w:tcW w:type="dxa" w:w="2088"/>
            <w:vAlign w:val="top"/>
            <w:tcMar>
              <w:top w:w="60" w:type="dxa"/>
              <w:start w:w="70" w:type="dxa"/>
              <w:bottom w:w="60" w:type="dxa"/>
              <w:end w:w="70" w:type="dxa"/>
            </w:tcMar>
          </w:tcPr>
          <w:p>
            <w:pPr>
              <w:pStyle w:val="TableText"/>
            </w:pPr>
            <w:r>
              <w:rPr>
                <w:sz w:val="13"/>
              </w:rPr>
              <w:t>08 Security</w:t>
            </w:r>
          </w:p>
        </w:tc>
        <w:tc>
          <w:tcPr>
            <w:tcW w:type="dxa" w:w="4032"/>
            <w:vAlign w:val="top"/>
            <w:tcMar>
              <w:top w:w="60" w:type="dxa"/>
              <w:start w:w="70" w:type="dxa"/>
              <w:bottom w:w="60" w:type="dxa"/>
              <w:end w:w="70" w:type="dxa"/>
            </w:tcMar>
          </w:tcPr>
          <w:p>
            <w:pPr>
              <w:pStyle w:val="TableText"/>
            </w:pPr>
            <w:r>
              <w:rPr>
                <w:sz w:val="13"/>
              </w:rPr>
              <w:t>Zero Trust, classification, keys, perimeters and audit</w:t>
            </w:r>
          </w:p>
        </w:tc>
        <w:tc>
          <w:tcPr>
            <w:tcW w:type="dxa" w:w="4032"/>
            <w:vAlign w:val="top"/>
            <w:tcMar>
              <w:top w:w="60" w:type="dxa"/>
              <w:start w:w="70" w:type="dxa"/>
              <w:bottom w:w="60" w:type="dxa"/>
              <w:end w:w="70" w:type="dxa"/>
            </w:tcMar>
          </w:tcPr>
          <w:p>
            <w:pPr>
              <w:pStyle w:val="TableText"/>
            </w:pPr>
            <w:r>
              <w:rPr>
                <w:sz w:val="13"/>
              </w:rPr>
              <w:t>Service-specific runtime/flow controls</w:t>
            </w:r>
          </w:p>
        </w:tc>
      </w:tr>
      <w:tr>
        <w:trPr>
          <w:cantSplit/>
        </w:trPr>
        <w:tc>
          <w:tcPr>
            <w:tcW w:type="dxa" w:w="2088"/>
            <w:vAlign w:val="top"/>
            <w:tcMar>
              <w:top w:w="60" w:type="dxa"/>
              <w:start w:w="70" w:type="dxa"/>
              <w:bottom w:w="60" w:type="dxa"/>
              <w:end w:w="70" w:type="dxa"/>
            </w:tcMar>
            <w:shd w:fill="F8F9FA"/>
          </w:tcPr>
          <w:p>
            <w:pPr>
              <w:pStyle w:val="TableText"/>
            </w:pPr>
            <w:r>
              <w:rPr>
                <w:sz w:val="13"/>
              </w:rPr>
              <w:t>09 DevSecOps</w:t>
            </w:r>
          </w:p>
        </w:tc>
        <w:tc>
          <w:tcPr>
            <w:tcW w:type="dxa" w:w="4032"/>
            <w:vAlign w:val="top"/>
            <w:tcMar>
              <w:top w:w="60" w:type="dxa"/>
              <w:start w:w="70" w:type="dxa"/>
              <w:bottom w:w="60" w:type="dxa"/>
              <w:end w:w="70" w:type="dxa"/>
            </w:tcMar>
            <w:shd w:fill="F8F9FA"/>
          </w:tcPr>
          <w:p>
            <w:pPr>
              <w:pStyle w:val="TableText"/>
            </w:pPr>
            <w:r>
              <w:rPr>
                <w:sz w:val="13"/>
              </w:rPr>
              <w:t>Build, scan, promote and supply-chain controls</w:t>
            </w:r>
          </w:p>
        </w:tc>
        <w:tc>
          <w:tcPr>
            <w:tcW w:type="dxa" w:w="4032"/>
            <w:vAlign w:val="top"/>
            <w:tcMar>
              <w:top w:w="60" w:type="dxa"/>
              <w:start w:w="70" w:type="dxa"/>
              <w:bottom w:w="60" w:type="dxa"/>
              <w:end w:w="70" w:type="dxa"/>
            </w:tcMar>
            <w:shd w:fill="F8F9FA"/>
          </w:tcPr>
          <w:p>
            <w:pPr>
              <w:pStyle w:val="TableText"/>
            </w:pPr>
            <w:r>
              <w:rPr>
                <w:sz w:val="13"/>
              </w:rPr>
              <w:t>Pipeline test/artifact requirements</w:t>
            </w:r>
          </w:p>
        </w:tc>
      </w:tr>
      <w:tr>
        <w:trPr>
          <w:cantSplit/>
        </w:trPr>
        <w:tc>
          <w:tcPr>
            <w:tcW w:type="dxa" w:w="2088"/>
            <w:vAlign w:val="top"/>
            <w:tcMar>
              <w:top w:w="60" w:type="dxa"/>
              <w:start w:w="70" w:type="dxa"/>
              <w:bottom w:w="60" w:type="dxa"/>
              <w:end w:w="70" w:type="dxa"/>
            </w:tcMar>
          </w:tcPr>
          <w:p>
            <w:pPr>
              <w:pStyle w:val="TableText"/>
            </w:pPr>
            <w:r>
              <w:rPr>
                <w:sz w:val="13"/>
              </w:rPr>
              <w:t>10 FinOps</w:t>
            </w:r>
          </w:p>
        </w:tc>
        <w:tc>
          <w:tcPr>
            <w:tcW w:type="dxa" w:w="4032"/>
            <w:vAlign w:val="top"/>
            <w:tcMar>
              <w:top w:w="60" w:type="dxa"/>
              <w:start w:w="70" w:type="dxa"/>
              <w:bottom w:w="60" w:type="dxa"/>
              <w:end w:w="70" w:type="dxa"/>
            </w:tcMar>
          </w:tcPr>
          <w:p>
            <w:pPr>
              <w:pStyle w:val="TableText"/>
            </w:pPr>
            <w:r>
              <w:rPr>
                <w:sz w:val="13"/>
              </w:rPr>
              <w:t>Allocation, budgets, reservations and unit economics</w:t>
            </w:r>
          </w:p>
        </w:tc>
        <w:tc>
          <w:tcPr>
            <w:tcW w:type="dxa" w:w="4032"/>
            <w:vAlign w:val="top"/>
            <w:tcMar>
              <w:top w:w="60" w:type="dxa"/>
              <w:start w:w="70" w:type="dxa"/>
              <w:bottom w:w="60" w:type="dxa"/>
              <w:end w:w="70" w:type="dxa"/>
            </w:tcMar>
          </w:tcPr>
          <w:p>
            <w:pPr>
              <w:pStyle w:val="TableText"/>
            </w:pPr>
            <w:r>
              <w:rPr>
                <w:sz w:val="13"/>
              </w:rPr>
              <w:t>Pipeline cost drivers and labels</w:t>
            </w:r>
          </w:p>
        </w:tc>
      </w:tr>
      <w:tr>
        <w:trPr>
          <w:cantSplit/>
        </w:trPr>
        <w:tc>
          <w:tcPr>
            <w:tcW w:type="dxa" w:w="2088"/>
            <w:vAlign w:val="top"/>
            <w:tcMar>
              <w:top w:w="60" w:type="dxa"/>
              <w:start w:w="70" w:type="dxa"/>
              <w:bottom w:w="60" w:type="dxa"/>
              <w:end w:w="70" w:type="dxa"/>
            </w:tcMar>
            <w:shd w:fill="F8F9FA"/>
          </w:tcPr>
          <w:p>
            <w:pPr>
              <w:pStyle w:val="TableText"/>
            </w:pPr>
            <w:r>
              <w:rPr>
                <w:sz w:val="13"/>
              </w:rPr>
              <w:t>11 SRE</w:t>
            </w:r>
          </w:p>
        </w:tc>
        <w:tc>
          <w:tcPr>
            <w:tcW w:type="dxa" w:w="4032"/>
            <w:vAlign w:val="top"/>
            <w:tcMar>
              <w:top w:w="60" w:type="dxa"/>
              <w:start w:w="70" w:type="dxa"/>
              <w:bottom w:w="60" w:type="dxa"/>
              <w:end w:w="70" w:type="dxa"/>
            </w:tcMar>
            <w:shd w:fill="F8F9FA"/>
          </w:tcPr>
          <w:p>
            <w:pPr>
              <w:pStyle w:val="TableText"/>
            </w:pPr>
            <w:r>
              <w:rPr>
                <w:sz w:val="13"/>
              </w:rPr>
              <w:t>SLIs, alerts, on-call and incident management</w:t>
            </w:r>
          </w:p>
        </w:tc>
        <w:tc>
          <w:tcPr>
            <w:tcW w:type="dxa" w:w="4032"/>
            <w:vAlign w:val="top"/>
            <w:tcMar>
              <w:top w:w="60" w:type="dxa"/>
              <w:start w:w="70" w:type="dxa"/>
              <w:bottom w:w="60" w:type="dxa"/>
              <w:end w:w="70" w:type="dxa"/>
            </w:tcMar>
            <w:shd w:fill="F8F9FA"/>
          </w:tcPr>
          <w:p>
            <w:pPr>
              <w:pStyle w:val="TableText"/>
            </w:pPr>
            <w:r>
              <w:rPr>
                <w:sz w:val="13"/>
              </w:rPr>
              <w:t>Pipeline SLOs and runbooks</w:t>
            </w:r>
          </w:p>
        </w:tc>
      </w:tr>
      <w:tr>
        <w:trPr>
          <w:cantSplit/>
        </w:trPr>
        <w:tc>
          <w:tcPr>
            <w:tcW w:type="dxa" w:w="2088"/>
            <w:vAlign w:val="top"/>
            <w:tcMar>
              <w:top w:w="60" w:type="dxa"/>
              <w:start w:w="70" w:type="dxa"/>
              <w:bottom w:w="60" w:type="dxa"/>
              <w:end w:w="70" w:type="dxa"/>
            </w:tcMar>
          </w:tcPr>
          <w:p>
            <w:pPr>
              <w:pStyle w:val="TableText"/>
            </w:pPr>
            <w:r>
              <w:rPr>
                <w:sz w:val="13"/>
              </w:rPr>
              <w:t>12 DR</w:t>
            </w:r>
          </w:p>
        </w:tc>
        <w:tc>
          <w:tcPr>
            <w:tcW w:type="dxa" w:w="4032"/>
            <w:vAlign w:val="top"/>
            <w:tcMar>
              <w:top w:w="60" w:type="dxa"/>
              <w:start w:w="70" w:type="dxa"/>
              <w:bottom w:w="60" w:type="dxa"/>
              <w:end w:w="70" w:type="dxa"/>
            </w:tcMar>
          </w:tcPr>
          <w:p>
            <w:pPr>
              <w:pStyle w:val="TableText"/>
            </w:pPr>
            <w:r>
              <w:rPr>
                <w:sz w:val="13"/>
              </w:rPr>
              <w:t>Recovery tiers, failover and exercises</w:t>
            </w:r>
          </w:p>
        </w:tc>
        <w:tc>
          <w:tcPr>
            <w:tcW w:type="dxa" w:w="4032"/>
            <w:vAlign w:val="top"/>
            <w:tcMar>
              <w:top w:w="60" w:type="dxa"/>
              <w:start w:w="70" w:type="dxa"/>
              <w:bottom w:w="60" w:type="dxa"/>
              <w:end w:w="70" w:type="dxa"/>
            </w:tcMar>
          </w:tcPr>
          <w:p>
            <w:pPr>
              <w:pStyle w:val="TableText"/>
            </w:pPr>
            <w:r>
              <w:rPr>
                <w:sz w:val="13"/>
              </w:rPr>
              <w:t>Replay/backfill/reconciliation mechanisms</w:t>
            </w:r>
          </w:p>
        </w:tc>
      </w:tr>
      <w:tr>
        <w:trPr>
          <w:cantSplit/>
        </w:trPr>
        <w:tc>
          <w:tcPr>
            <w:tcW w:type="dxa" w:w="2088"/>
            <w:vAlign w:val="top"/>
            <w:tcMar>
              <w:top w:w="60" w:type="dxa"/>
              <w:start w:w="70" w:type="dxa"/>
              <w:bottom w:w="60" w:type="dxa"/>
              <w:end w:w="70" w:type="dxa"/>
            </w:tcMar>
            <w:shd w:fill="F8F9FA"/>
          </w:tcPr>
          <w:p>
            <w:pPr>
              <w:pStyle w:val="TableText"/>
            </w:pPr>
            <w:r>
              <w:rPr>
                <w:sz w:val="13"/>
              </w:rPr>
              <w:t>13 Terraform</w:t>
            </w:r>
          </w:p>
        </w:tc>
        <w:tc>
          <w:tcPr>
            <w:tcW w:type="dxa" w:w="4032"/>
            <w:vAlign w:val="top"/>
            <w:tcMar>
              <w:top w:w="60" w:type="dxa"/>
              <w:start w:w="70" w:type="dxa"/>
              <w:bottom w:w="60" w:type="dxa"/>
              <w:end w:w="70" w:type="dxa"/>
            </w:tcMar>
            <w:shd w:fill="F8F9FA"/>
          </w:tcPr>
          <w:p>
            <w:pPr>
              <w:pStyle w:val="TableText"/>
            </w:pPr>
            <w:r>
              <w:rPr>
                <w:sz w:val="13"/>
              </w:rPr>
              <w:t>Golden modules, state and policy as code</w:t>
            </w:r>
          </w:p>
        </w:tc>
        <w:tc>
          <w:tcPr>
            <w:tcW w:type="dxa" w:w="4032"/>
            <w:vAlign w:val="top"/>
            <w:tcMar>
              <w:top w:w="60" w:type="dxa"/>
              <w:start w:w="70" w:type="dxa"/>
              <w:bottom w:w="60" w:type="dxa"/>
              <w:end w:w="70" w:type="dxa"/>
            </w:tcMar>
            <w:shd w:fill="F8F9FA"/>
          </w:tcPr>
          <w:p>
            <w:pPr>
              <w:pStyle w:val="TableText"/>
            </w:pPr>
            <w:r>
              <w:rPr>
                <w:sz w:val="13"/>
              </w:rPr>
              <w:t>Resource/module requirements</w:t>
            </w:r>
          </w:p>
        </w:tc>
      </w:tr>
      <w:tr>
        <w:trPr>
          <w:cantSplit/>
        </w:trPr>
        <w:tc>
          <w:tcPr>
            <w:tcW w:type="dxa" w:w="2088"/>
            <w:vAlign w:val="top"/>
            <w:tcMar>
              <w:top w:w="60" w:type="dxa"/>
              <w:start w:w="70" w:type="dxa"/>
              <w:bottom w:w="60" w:type="dxa"/>
              <w:end w:w="70" w:type="dxa"/>
            </w:tcMar>
          </w:tcPr>
          <w:p>
            <w:pPr>
              <w:pStyle w:val="TableText"/>
            </w:pPr>
            <w:r>
              <w:rPr>
                <w:sz w:val="13"/>
              </w:rPr>
              <w:t>14 Industry</w:t>
            </w:r>
          </w:p>
        </w:tc>
        <w:tc>
          <w:tcPr>
            <w:tcW w:type="dxa" w:w="4032"/>
            <w:vAlign w:val="top"/>
            <w:tcMar>
              <w:top w:w="60" w:type="dxa"/>
              <w:start w:w="70" w:type="dxa"/>
              <w:bottom w:w="60" w:type="dxa"/>
              <w:end w:w="70" w:type="dxa"/>
            </w:tcMar>
          </w:tcPr>
          <w:p>
            <w:pPr>
              <w:pStyle w:val="TableText"/>
            </w:pPr>
            <w:r>
              <w:rPr>
                <w:sz w:val="13"/>
              </w:rPr>
              <w:t>Industry controls and reference use cases</w:t>
            </w:r>
          </w:p>
        </w:tc>
        <w:tc>
          <w:tcPr>
            <w:tcW w:type="dxa" w:w="4032"/>
            <w:vAlign w:val="top"/>
            <w:tcMar>
              <w:top w:w="60" w:type="dxa"/>
              <w:start w:w="70" w:type="dxa"/>
              <w:bottom w:w="60" w:type="dxa"/>
              <w:end w:w="70" w:type="dxa"/>
            </w:tcMar>
          </w:tcPr>
          <w:p>
            <w:pPr>
              <w:pStyle w:val="TableText"/>
            </w:pPr>
            <w:r>
              <w:rPr>
                <w:sz w:val="13"/>
              </w:rPr>
              <w:t>Reusable production pipeline patterns</w:t>
            </w:r>
          </w:p>
        </w:tc>
      </w:tr>
    </w:tbl>
    <w:p>
      <w:r>
        <w:br w:type="page"/>
      </w:r>
    </w:p>
    <w:p>
      <w:pPr>
        <w:pStyle w:val="Heading1"/>
        <w:keepNext/>
      </w:pPr>
      <w:r>
        <w:t>33. Decisions and Next Actions</w:t>
      </w:r>
    </w:p>
    <w:p>
      <w:pPr>
        <w:pStyle w:val="Heading2"/>
      </w:pPr>
      <w:r>
        <w:t>Approved reference decisions</w:t>
      </w:r>
    </w:p>
    <w:p>
      <w:pPr>
        <w:pStyle w:val="ListBullet"/>
        <w:spacing w:after="30"/>
      </w:pPr>
      <w:r>
        <w:t>Dataflow/Apache Beam is the primary new unified batch and streaming engine.</w:t>
      </w:r>
    </w:p>
    <w:p>
      <w:pPr>
        <w:pStyle w:val="ListBullet"/>
        <w:spacing w:after="30"/>
      </w:pPr>
      <w:r>
        <w:t>Managed Service for Apache Spark is conditional and serverless-first.</w:t>
      </w:r>
    </w:p>
    <w:p>
      <w:pPr>
        <w:pStyle w:val="ListBullet"/>
        <w:spacing w:after="30"/>
      </w:pPr>
      <w:r>
        <w:t>Dataform/BigQuery SQL is the default warehouse-native transformation framework.</w:t>
      </w:r>
    </w:p>
    <w:p>
      <w:pPr>
        <w:pStyle w:val="ListBullet"/>
        <w:spacing w:after="30"/>
      </w:pPr>
      <w:r>
        <w:t>Managed Airflow orchestrates complex DAGs; Workflows handles bounded API chains; Cloud Run Jobs handles bounded utilities.</w:t>
      </w:r>
    </w:p>
    <w:p>
      <w:pPr>
        <w:pStyle w:val="ListBullet"/>
        <w:spacing w:after="30"/>
      </w:pPr>
      <w:r>
        <w:t>Pub/Sub is the event backbone; Datastream is the supported CDC default; Storage Write API is the high-scale BigQuery write boundary.</w:t>
      </w:r>
    </w:p>
    <w:p>
      <w:pPr>
        <w:pStyle w:val="ListBullet"/>
        <w:spacing w:after="30"/>
      </w:pPr>
      <w:r>
        <w:t>Every Tier 0/1 pipeline is replayable, reconciled, observable, secure and deployed as an immutable artifact.</w:t>
      </w:r>
    </w:p>
    <w:p>
      <w:pPr>
        <w:pStyle w:val="Heading2"/>
      </w:pPr>
      <w:r>
        <w:t>Immediate next actions</w:t>
      </w:r>
    </w:p>
    <w:p>
      <w:pPr>
        <w:pStyle w:val="ListBullet"/>
        <w:spacing w:after="30"/>
      </w:pPr>
      <w:r>
        <w:t>Ratify pipeline contract, SLO and run-ledger schemas.</w:t>
      </w:r>
    </w:p>
    <w:p>
      <w:pPr>
        <w:pStyle w:val="ListBullet"/>
        <w:spacing w:after="30"/>
      </w:pPr>
      <w:r>
        <w:t>Validate service regions, quotas, IAM, CMEK and VPC Service Controls for the first three regional patterns.</w:t>
      </w:r>
    </w:p>
    <w:p>
      <w:pPr>
        <w:pStyle w:val="ListBullet"/>
        <w:spacing w:after="30"/>
      </w:pPr>
      <w:r>
        <w:t>Select one batch, one CDC and one streaming pilot data product.</w:t>
      </w:r>
    </w:p>
    <w:p>
      <w:pPr>
        <w:pStyle w:val="ListBullet"/>
        <w:spacing w:after="30"/>
      </w:pPr>
      <w:r>
        <w:t>Build and certify the golden Dataflow, Dataform, Spark, Pub/Sub and orchestration modules.</w:t>
      </w:r>
    </w:p>
    <w:p>
      <w:pPr>
        <w:pStyle w:val="ListBullet"/>
        <w:spacing w:after="30"/>
      </w:pPr>
      <w:r>
        <w:t>Execute duplicate, late-data, failure, replay, rollback, security and cost tests before production.</w:t>
      </w:r>
    </w:p>
    <w:p>
      <w:pPr>
        <w:pStyle w:val="ListBullet"/>
        <w:spacing w:after="30"/>
      </w:pPr>
      <w:r>
        <w:t>Update the blueprint deliverable tracker to mark Volume 04 as the authoritative data engineering baseline.</w:t>
      </w:r>
    </w:p>
    <w:p>
      <w:r>
        <w:br w:type="page"/>
      </w:r>
    </w:p>
    <w:p>
      <w:pPr>
        <w:pStyle w:val="Heading1"/>
        <w:keepNext/>
      </w:pPr>
      <w:r>
        <w:t>Appendix A. Companion Implementation Package</w:t>
      </w:r>
    </w:p>
    <w:p>
      <w:r>
        <w:t>The package includes executable starters and design artifacts. Each example README contains purpose, prerequisites, configuration, error handling, logging, security, testing, deployment, rollback and production limitations as required by the master prompt.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8928"/>
            <w:shd w:fill="1A73E8"/>
            <w:vAlign w:val="center"/>
            <w:tcMar>
              <w:top w:w="60" w:type="dxa"/>
              <w:start w:w="70" w:type="dxa"/>
              <w:bottom w:w="60" w:type="dxa"/>
              <w:end w:w="70" w:type="dxa"/>
            </w:tcMar>
          </w:tcPr>
          <w:p>
            <w:r>
              <w:rPr>
                <w:b/>
                <w:color w:val="FFFFFF"/>
                <w:sz w:val="12"/>
              </w:rPr>
              <w:t>Artifact</w:t>
            </w:r>
          </w:p>
        </w:tc>
        <w:tc>
          <w:tcPr>
            <w:tcW w:type="dxa" w:w="1296"/>
            <w:shd w:fill="1A73E8"/>
            <w:vAlign w:val="center"/>
            <w:tcMar>
              <w:top w:w="60" w:type="dxa"/>
              <w:start w:w="70" w:type="dxa"/>
              <w:bottom w:w="60" w:type="dxa"/>
              <w:end w:w="70" w:type="dxa"/>
            </w:tcMar>
          </w:tcPr>
          <w:p>
            <w:r>
              <w:rPr>
                <w:b/>
                <w:color w:val="FFFFFF"/>
                <w:sz w:val="12"/>
              </w:rPr>
              <w:t>Type</w:t>
            </w:r>
          </w:p>
        </w:tc>
      </w:tr>
      <w:tr>
        <w:trPr>
          <w:cantSplit/>
        </w:trPr>
        <w:tc>
          <w:tcPr>
            <w:tcW w:type="dxa" w:w="8928"/>
            <w:vAlign w:val="top"/>
            <w:tcMar>
              <w:top w:w="60" w:type="dxa"/>
              <w:start w:w="70" w:type="dxa"/>
              <w:bottom w:w="60" w:type="dxa"/>
              <w:end w:w="70" w:type="dxa"/>
            </w:tcMar>
          </w:tcPr>
          <w:p>
            <w:pPr>
              <w:pStyle w:val="TableText"/>
            </w:pPr>
            <w:r>
              <w:rPr>
                <w:sz w:val="12"/>
              </w:rPr>
              <w:t>examples/airflow/README.md</w:t>
            </w:r>
          </w:p>
        </w:tc>
        <w:tc>
          <w:tcPr>
            <w:tcW w:type="dxa" w:w="1296"/>
            <w:vAlign w:val="top"/>
            <w:tcMar>
              <w:top w:w="60" w:type="dxa"/>
              <w:start w:w="70" w:type="dxa"/>
              <w:bottom w:w="60" w:type="dxa"/>
              <w:end w:w="70" w:type="dxa"/>
            </w:tcMar>
          </w:tcPr>
          <w:p>
            <w:pPr>
              <w:pStyle w:val="TableText"/>
            </w:pPr>
            <w:r>
              <w:rPr>
                <w:sz w:val="12"/>
              </w:rPr>
              <w:t>.md</w:t>
            </w:r>
          </w:p>
        </w:tc>
      </w:tr>
      <w:tr>
        <w:trPr>
          <w:cantSplit/>
        </w:trPr>
        <w:tc>
          <w:tcPr>
            <w:tcW w:type="dxa" w:w="8928"/>
            <w:vAlign w:val="top"/>
            <w:tcMar>
              <w:top w:w="60" w:type="dxa"/>
              <w:start w:w="70" w:type="dxa"/>
              <w:bottom w:w="60" w:type="dxa"/>
              <w:end w:w="70" w:type="dxa"/>
            </w:tcMar>
            <w:shd w:fill="F8F9FA"/>
          </w:tcPr>
          <w:p>
            <w:pPr>
              <w:pStyle w:val="TableText"/>
            </w:pPr>
            <w:r>
              <w:rPr>
                <w:sz w:val="12"/>
              </w:rPr>
              <w:t>examples/airflow/pipeline_dag.py</w:t>
            </w:r>
          </w:p>
        </w:tc>
        <w:tc>
          <w:tcPr>
            <w:tcW w:type="dxa" w:w="1296"/>
            <w:vAlign w:val="top"/>
            <w:tcMar>
              <w:top w:w="60" w:type="dxa"/>
              <w:start w:w="70" w:type="dxa"/>
              <w:bottom w:w="60" w:type="dxa"/>
              <w:end w:w="70" w:type="dxa"/>
            </w:tcMar>
            <w:shd w:fill="F8F9FA"/>
          </w:tcPr>
          <w:p>
            <w:pPr>
              <w:pStyle w:val="TableText"/>
            </w:pPr>
            <w:r>
              <w:rPr>
                <w:sz w:val="12"/>
              </w:rPr>
              <w:t>.py</w:t>
            </w:r>
          </w:p>
        </w:tc>
      </w:tr>
      <w:tr>
        <w:trPr>
          <w:cantSplit/>
        </w:trPr>
        <w:tc>
          <w:tcPr>
            <w:tcW w:type="dxa" w:w="8928"/>
            <w:vAlign w:val="top"/>
            <w:tcMar>
              <w:top w:w="60" w:type="dxa"/>
              <w:start w:w="70" w:type="dxa"/>
              <w:bottom w:w="60" w:type="dxa"/>
              <w:end w:w="70" w:type="dxa"/>
            </w:tcMar>
          </w:tcPr>
          <w:p>
            <w:pPr>
              <w:pStyle w:val="TableText"/>
            </w:pPr>
            <w:r>
              <w:rPr>
                <w:sz w:val="12"/>
              </w:rPr>
              <w:t>examples/beam_batch/README.md</w:t>
            </w:r>
          </w:p>
        </w:tc>
        <w:tc>
          <w:tcPr>
            <w:tcW w:type="dxa" w:w="1296"/>
            <w:vAlign w:val="top"/>
            <w:tcMar>
              <w:top w:w="60" w:type="dxa"/>
              <w:start w:w="70" w:type="dxa"/>
              <w:bottom w:w="60" w:type="dxa"/>
              <w:end w:w="70" w:type="dxa"/>
            </w:tcMar>
          </w:tcPr>
          <w:p>
            <w:pPr>
              <w:pStyle w:val="TableText"/>
            </w:pPr>
            <w:r>
              <w:rPr>
                <w:sz w:val="12"/>
              </w:rPr>
              <w:t>.md</w:t>
            </w:r>
          </w:p>
        </w:tc>
      </w:tr>
      <w:tr>
        <w:trPr>
          <w:cantSplit/>
        </w:trPr>
        <w:tc>
          <w:tcPr>
            <w:tcW w:type="dxa" w:w="8928"/>
            <w:vAlign w:val="top"/>
            <w:tcMar>
              <w:top w:w="60" w:type="dxa"/>
              <w:start w:w="70" w:type="dxa"/>
              <w:bottom w:w="60" w:type="dxa"/>
              <w:end w:w="70" w:type="dxa"/>
            </w:tcMar>
            <w:shd w:fill="F8F9FA"/>
          </w:tcPr>
          <w:p>
            <w:pPr>
              <w:pStyle w:val="TableText"/>
            </w:pPr>
            <w:r>
              <w:rPr>
                <w:sz w:val="12"/>
              </w:rPr>
              <w:t>examples/beam_batch/batch_pipeline.py</w:t>
            </w:r>
          </w:p>
        </w:tc>
        <w:tc>
          <w:tcPr>
            <w:tcW w:type="dxa" w:w="1296"/>
            <w:vAlign w:val="top"/>
            <w:tcMar>
              <w:top w:w="60" w:type="dxa"/>
              <w:start w:w="70" w:type="dxa"/>
              <w:bottom w:w="60" w:type="dxa"/>
              <w:end w:w="70" w:type="dxa"/>
            </w:tcMar>
            <w:shd w:fill="F8F9FA"/>
          </w:tcPr>
          <w:p>
            <w:pPr>
              <w:pStyle w:val="TableText"/>
            </w:pPr>
            <w:r>
              <w:rPr>
                <w:sz w:val="12"/>
              </w:rPr>
              <w:t>.py</w:t>
            </w:r>
          </w:p>
        </w:tc>
      </w:tr>
      <w:tr>
        <w:trPr>
          <w:cantSplit/>
        </w:trPr>
        <w:tc>
          <w:tcPr>
            <w:tcW w:type="dxa" w:w="8928"/>
            <w:vAlign w:val="top"/>
            <w:tcMar>
              <w:top w:w="60" w:type="dxa"/>
              <w:start w:w="70" w:type="dxa"/>
              <w:bottom w:w="60" w:type="dxa"/>
              <w:end w:w="70" w:type="dxa"/>
            </w:tcMar>
          </w:tcPr>
          <w:p>
            <w:pPr>
              <w:pStyle w:val="TableText"/>
            </w:pPr>
            <w:r>
              <w:rPr>
                <w:sz w:val="12"/>
              </w:rPr>
              <w:t>examples/beam_streaming/Dockerfile</w:t>
            </w:r>
          </w:p>
        </w:tc>
        <w:tc>
          <w:tcPr>
            <w:tcW w:type="dxa" w:w="1296"/>
            <w:vAlign w:val="top"/>
            <w:tcMar>
              <w:top w:w="60" w:type="dxa"/>
              <w:start w:w="70" w:type="dxa"/>
              <w:bottom w:w="60" w:type="dxa"/>
              <w:end w:w="70" w:type="dxa"/>
            </w:tcMar>
          </w:tcPr>
          <w:p>
            <w:pPr>
              <w:pStyle w:val="TableText"/>
            </w:pPr>
            <w:r>
              <w:rPr>
                <w:sz w:val="12"/>
              </w:rPr>
              <w:t>text</w:t>
            </w:r>
          </w:p>
        </w:tc>
      </w:tr>
      <w:tr>
        <w:trPr>
          <w:cantSplit/>
        </w:trPr>
        <w:tc>
          <w:tcPr>
            <w:tcW w:type="dxa" w:w="8928"/>
            <w:vAlign w:val="top"/>
            <w:tcMar>
              <w:top w:w="60" w:type="dxa"/>
              <w:start w:w="70" w:type="dxa"/>
              <w:bottom w:w="60" w:type="dxa"/>
              <w:end w:w="70" w:type="dxa"/>
            </w:tcMar>
            <w:shd w:fill="F8F9FA"/>
          </w:tcPr>
          <w:p>
            <w:pPr>
              <w:pStyle w:val="TableText"/>
            </w:pPr>
            <w:r>
              <w:rPr>
                <w:sz w:val="12"/>
              </w:rPr>
              <w:t>examples/beam_streaming/README.md</w:t>
            </w:r>
          </w:p>
        </w:tc>
        <w:tc>
          <w:tcPr>
            <w:tcW w:type="dxa" w:w="1296"/>
            <w:vAlign w:val="top"/>
            <w:tcMar>
              <w:top w:w="60" w:type="dxa"/>
              <w:start w:w="70" w:type="dxa"/>
              <w:bottom w:w="60" w:type="dxa"/>
              <w:end w:w="70" w:type="dxa"/>
            </w:tcMar>
            <w:shd w:fill="F8F9FA"/>
          </w:tcPr>
          <w:p>
            <w:pPr>
              <w:pStyle w:val="TableText"/>
            </w:pPr>
            <w:r>
              <w:rPr>
                <w:sz w:val="12"/>
              </w:rPr>
              <w:t>.md</w:t>
            </w:r>
          </w:p>
        </w:tc>
      </w:tr>
      <w:tr>
        <w:trPr>
          <w:cantSplit/>
        </w:trPr>
        <w:tc>
          <w:tcPr>
            <w:tcW w:type="dxa" w:w="8928"/>
            <w:vAlign w:val="top"/>
            <w:tcMar>
              <w:top w:w="60" w:type="dxa"/>
              <w:start w:w="70" w:type="dxa"/>
              <w:bottom w:w="60" w:type="dxa"/>
              <w:end w:w="70" w:type="dxa"/>
            </w:tcMar>
          </w:tcPr>
          <w:p>
            <w:pPr>
              <w:pStyle w:val="TableText"/>
            </w:pPr>
            <w:r>
              <w:rPr>
                <w:sz w:val="12"/>
              </w:rPr>
              <w:t>examples/beam_streaming/metadata.json</w:t>
            </w:r>
          </w:p>
        </w:tc>
        <w:tc>
          <w:tcPr>
            <w:tcW w:type="dxa" w:w="1296"/>
            <w:vAlign w:val="top"/>
            <w:tcMar>
              <w:top w:w="60" w:type="dxa"/>
              <w:start w:w="70" w:type="dxa"/>
              <w:bottom w:w="60" w:type="dxa"/>
              <w:end w:w="70" w:type="dxa"/>
            </w:tcMar>
          </w:tcPr>
          <w:p>
            <w:pPr>
              <w:pStyle w:val="TableText"/>
            </w:pPr>
            <w:r>
              <w:rPr>
                <w:sz w:val="12"/>
              </w:rPr>
              <w:t>.json</w:t>
            </w:r>
          </w:p>
        </w:tc>
      </w:tr>
      <w:tr>
        <w:trPr>
          <w:cantSplit/>
        </w:trPr>
        <w:tc>
          <w:tcPr>
            <w:tcW w:type="dxa" w:w="8928"/>
            <w:vAlign w:val="top"/>
            <w:tcMar>
              <w:top w:w="60" w:type="dxa"/>
              <w:start w:w="70" w:type="dxa"/>
              <w:bottom w:w="60" w:type="dxa"/>
              <w:end w:w="70" w:type="dxa"/>
            </w:tcMar>
            <w:shd w:fill="F8F9FA"/>
          </w:tcPr>
          <w:p>
            <w:pPr>
              <w:pStyle w:val="TableText"/>
            </w:pPr>
            <w:r>
              <w:rPr>
                <w:sz w:val="12"/>
              </w:rPr>
              <w:t>examples/beam_streaming/pipeline.py</w:t>
            </w:r>
          </w:p>
        </w:tc>
        <w:tc>
          <w:tcPr>
            <w:tcW w:type="dxa" w:w="1296"/>
            <w:vAlign w:val="top"/>
            <w:tcMar>
              <w:top w:w="60" w:type="dxa"/>
              <w:start w:w="70" w:type="dxa"/>
              <w:bottom w:w="60" w:type="dxa"/>
              <w:end w:w="70" w:type="dxa"/>
            </w:tcMar>
            <w:shd w:fill="F8F9FA"/>
          </w:tcPr>
          <w:p>
            <w:pPr>
              <w:pStyle w:val="TableText"/>
            </w:pPr>
            <w:r>
              <w:rPr>
                <w:sz w:val="12"/>
              </w:rPr>
              <w:t>.py</w:t>
            </w:r>
          </w:p>
        </w:tc>
      </w:tr>
      <w:tr>
        <w:trPr>
          <w:cantSplit/>
        </w:trPr>
        <w:tc>
          <w:tcPr>
            <w:tcW w:type="dxa" w:w="8928"/>
            <w:vAlign w:val="top"/>
            <w:tcMar>
              <w:top w:w="60" w:type="dxa"/>
              <w:start w:w="70" w:type="dxa"/>
              <w:bottom w:w="60" w:type="dxa"/>
              <w:end w:w="70" w:type="dxa"/>
            </w:tcMar>
          </w:tcPr>
          <w:p>
            <w:pPr>
              <w:pStyle w:val="TableText"/>
            </w:pPr>
            <w:r>
              <w:rPr>
                <w:sz w:val="12"/>
              </w:rPr>
              <w:t>examples/beam_streaming/requirements.txt</w:t>
            </w:r>
          </w:p>
        </w:tc>
        <w:tc>
          <w:tcPr>
            <w:tcW w:type="dxa" w:w="1296"/>
            <w:vAlign w:val="top"/>
            <w:tcMar>
              <w:top w:w="60" w:type="dxa"/>
              <w:start w:w="70" w:type="dxa"/>
              <w:bottom w:w="60" w:type="dxa"/>
              <w:end w:w="70" w:type="dxa"/>
            </w:tcMar>
          </w:tcPr>
          <w:p>
            <w:pPr>
              <w:pStyle w:val="TableText"/>
            </w:pPr>
            <w:r>
              <w:rPr>
                <w:sz w:val="12"/>
              </w:rPr>
              <w:t>.txt</w:t>
            </w:r>
          </w:p>
        </w:tc>
      </w:tr>
      <w:tr>
        <w:trPr>
          <w:cantSplit/>
        </w:trPr>
        <w:tc>
          <w:tcPr>
            <w:tcW w:type="dxa" w:w="8928"/>
            <w:vAlign w:val="top"/>
            <w:tcMar>
              <w:top w:w="60" w:type="dxa"/>
              <w:start w:w="70" w:type="dxa"/>
              <w:bottom w:w="60" w:type="dxa"/>
              <w:end w:w="70" w:type="dxa"/>
            </w:tcMar>
            <w:shd w:fill="F8F9FA"/>
          </w:tcPr>
          <w:p>
            <w:pPr>
              <w:pStyle w:val="TableText"/>
            </w:pPr>
            <w:r>
              <w:rPr>
                <w:sz w:val="12"/>
              </w:rPr>
              <w:t>examples/bigquery/README.md</w:t>
            </w:r>
          </w:p>
        </w:tc>
        <w:tc>
          <w:tcPr>
            <w:tcW w:type="dxa" w:w="1296"/>
            <w:vAlign w:val="top"/>
            <w:tcMar>
              <w:top w:w="60" w:type="dxa"/>
              <w:start w:w="70" w:type="dxa"/>
              <w:bottom w:w="60" w:type="dxa"/>
              <w:end w:w="70" w:type="dxa"/>
            </w:tcMar>
            <w:shd w:fill="F8F9FA"/>
          </w:tcPr>
          <w:p>
            <w:pPr>
              <w:pStyle w:val="TableText"/>
            </w:pPr>
            <w:r>
              <w:rPr>
                <w:sz w:val="12"/>
              </w:rPr>
              <w:t>.md</w:t>
            </w:r>
          </w:p>
        </w:tc>
      </w:tr>
      <w:tr>
        <w:trPr>
          <w:cantSplit/>
        </w:trPr>
        <w:tc>
          <w:tcPr>
            <w:tcW w:type="dxa" w:w="8928"/>
            <w:vAlign w:val="top"/>
            <w:tcMar>
              <w:top w:w="60" w:type="dxa"/>
              <w:start w:w="70" w:type="dxa"/>
              <w:bottom w:w="60" w:type="dxa"/>
              <w:end w:w="70" w:type="dxa"/>
            </w:tcMar>
          </w:tcPr>
          <w:p>
            <w:pPr>
              <w:pStyle w:val="TableText"/>
            </w:pPr>
            <w:r>
              <w:rPr>
                <w:sz w:val="12"/>
              </w:rPr>
              <w:t>examples/bigquery/reconciliation.sql</w:t>
            </w:r>
          </w:p>
        </w:tc>
        <w:tc>
          <w:tcPr>
            <w:tcW w:type="dxa" w:w="1296"/>
            <w:vAlign w:val="top"/>
            <w:tcMar>
              <w:top w:w="60" w:type="dxa"/>
              <w:start w:w="70" w:type="dxa"/>
              <w:bottom w:w="60" w:type="dxa"/>
              <w:end w:w="70" w:type="dxa"/>
            </w:tcMar>
          </w:tcPr>
          <w:p>
            <w:pPr>
              <w:pStyle w:val="TableText"/>
            </w:pPr>
            <w:r>
              <w:rPr>
                <w:sz w:val="12"/>
              </w:rPr>
              <w:t>.sql</w:t>
            </w:r>
          </w:p>
        </w:tc>
      </w:tr>
      <w:tr>
        <w:trPr>
          <w:cantSplit/>
        </w:trPr>
        <w:tc>
          <w:tcPr>
            <w:tcW w:type="dxa" w:w="8928"/>
            <w:vAlign w:val="top"/>
            <w:tcMar>
              <w:top w:w="60" w:type="dxa"/>
              <w:start w:w="70" w:type="dxa"/>
              <w:bottom w:w="60" w:type="dxa"/>
              <w:end w:w="70" w:type="dxa"/>
            </w:tcMar>
            <w:shd w:fill="F8F9FA"/>
          </w:tcPr>
          <w:p>
            <w:pPr>
              <w:pStyle w:val="TableText"/>
            </w:pPr>
            <w:r>
              <w:rPr>
                <w:sz w:val="12"/>
              </w:rPr>
              <w:t>examples/bigquery/scd2_merge.sql</w:t>
            </w:r>
          </w:p>
        </w:tc>
        <w:tc>
          <w:tcPr>
            <w:tcW w:type="dxa" w:w="1296"/>
            <w:vAlign w:val="top"/>
            <w:tcMar>
              <w:top w:w="60" w:type="dxa"/>
              <w:start w:w="70" w:type="dxa"/>
              <w:bottom w:w="60" w:type="dxa"/>
              <w:end w:w="70" w:type="dxa"/>
            </w:tcMar>
            <w:shd w:fill="F8F9FA"/>
          </w:tcPr>
          <w:p>
            <w:pPr>
              <w:pStyle w:val="TableText"/>
            </w:pPr>
            <w:r>
              <w:rPr>
                <w:sz w:val="12"/>
              </w:rPr>
              <w:t>.sql</w:t>
            </w:r>
          </w:p>
        </w:tc>
      </w:tr>
      <w:tr>
        <w:trPr>
          <w:cantSplit/>
        </w:trPr>
        <w:tc>
          <w:tcPr>
            <w:tcW w:type="dxa" w:w="8928"/>
            <w:vAlign w:val="top"/>
            <w:tcMar>
              <w:top w:w="60" w:type="dxa"/>
              <w:start w:w="70" w:type="dxa"/>
              <w:bottom w:w="60" w:type="dxa"/>
              <w:end w:w="70" w:type="dxa"/>
            </w:tcMar>
          </w:tcPr>
          <w:p>
            <w:pPr>
              <w:pStyle w:val="TableText"/>
            </w:pPr>
            <w:r>
              <w:rPr>
                <w:sz w:val="12"/>
              </w:rPr>
              <w:t>examples/cicd/README.md</w:t>
            </w:r>
          </w:p>
        </w:tc>
        <w:tc>
          <w:tcPr>
            <w:tcW w:type="dxa" w:w="1296"/>
            <w:vAlign w:val="top"/>
            <w:tcMar>
              <w:top w:w="60" w:type="dxa"/>
              <w:start w:w="70" w:type="dxa"/>
              <w:bottom w:w="60" w:type="dxa"/>
              <w:end w:w="70" w:type="dxa"/>
            </w:tcMar>
          </w:tcPr>
          <w:p>
            <w:pPr>
              <w:pStyle w:val="TableText"/>
            </w:pPr>
            <w:r>
              <w:rPr>
                <w:sz w:val="12"/>
              </w:rPr>
              <w:t>.md</w:t>
            </w:r>
          </w:p>
        </w:tc>
      </w:tr>
      <w:tr>
        <w:trPr>
          <w:cantSplit/>
        </w:trPr>
        <w:tc>
          <w:tcPr>
            <w:tcW w:type="dxa" w:w="8928"/>
            <w:vAlign w:val="top"/>
            <w:tcMar>
              <w:top w:w="60" w:type="dxa"/>
              <w:start w:w="70" w:type="dxa"/>
              <w:bottom w:w="60" w:type="dxa"/>
              <w:end w:w="70" w:type="dxa"/>
            </w:tcMar>
            <w:shd w:fill="F8F9FA"/>
          </w:tcPr>
          <w:p>
            <w:pPr>
              <w:pStyle w:val="TableText"/>
            </w:pPr>
            <w:r>
              <w:rPr>
                <w:sz w:val="12"/>
              </w:rPr>
              <w:t>examples/cicd/cloudbuild.yaml</w:t>
            </w:r>
          </w:p>
        </w:tc>
        <w:tc>
          <w:tcPr>
            <w:tcW w:type="dxa" w:w="1296"/>
            <w:vAlign w:val="top"/>
            <w:tcMar>
              <w:top w:w="60" w:type="dxa"/>
              <w:start w:w="70" w:type="dxa"/>
              <w:bottom w:w="60" w:type="dxa"/>
              <w:end w:w="70" w:type="dxa"/>
            </w:tcMar>
            <w:shd w:fill="F8F9FA"/>
          </w:tcPr>
          <w:p>
            <w:pPr>
              <w:pStyle w:val="TableText"/>
            </w:pPr>
            <w:r>
              <w:rPr>
                <w:sz w:val="12"/>
              </w:rPr>
              <w:t>.yaml</w:t>
            </w:r>
          </w:p>
        </w:tc>
      </w:tr>
      <w:tr>
        <w:trPr>
          <w:cantSplit/>
        </w:trPr>
        <w:tc>
          <w:tcPr>
            <w:tcW w:type="dxa" w:w="8928"/>
            <w:vAlign w:val="top"/>
            <w:tcMar>
              <w:top w:w="60" w:type="dxa"/>
              <w:start w:w="70" w:type="dxa"/>
              <w:bottom w:w="60" w:type="dxa"/>
              <w:end w:w="70" w:type="dxa"/>
            </w:tcMar>
          </w:tcPr>
          <w:p>
            <w:pPr>
              <w:pStyle w:val="TableText"/>
            </w:pPr>
            <w:r>
              <w:rPr>
                <w:sz w:val="12"/>
              </w:rPr>
              <w:t>examples/cloud_run_job/Dockerfile</w:t>
            </w:r>
          </w:p>
        </w:tc>
        <w:tc>
          <w:tcPr>
            <w:tcW w:type="dxa" w:w="1296"/>
            <w:vAlign w:val="top"/>
            <w:tcMar>
              <w:top w:w="60" w:type="dxa"/>
              <w:start w:w="70" w:type="dxa"/>
              <w:bottom w:w="60" w:type="dxa"/>
              <w:end w:w="70" w:type="dxa"/>
            </w:tcMar>
          </w:tcPr>
          <w:p>
            <w:pPr>
              <w:pStyle w:val="TableText"/>
            </w:pPr>
            <w:r>
              <w:rPr>
                <w:sz w:val="12"/>
              </w:rPr>
              <w:t>text</w:t>
            </w:r>
          </w:p>
        </w:tc>
      </w:tr>
      <w:tr>
        <w:trPr>
          <w:cantSplit/>
        </w:trPr>
        <w:tc>
          <w:tcPr>
            <w:tcW w:type="dxa" w:w="8928"/>
            <w:vAlign w:val="top"/>
            <w:tcMar>
              <w:top w:w="60" w:type="dxa"/>
              <w:start w:w="70" w:type="dxa"/>
              <w:bottom w:w="60" w:type="dxa"/>
              <w:end w:w="70" w:type="dxa"/>
            </w:tcMar>
            <w:shd w:fill="F8F9FA"/>
          </w:tcPr>
          <w:p>
            <w:pPr>
              <w:pStyle w:val="TableText"/>
            </w:pPr>
            <w:r>
              <w:rPr>
                <w:sz w:val="12"/>
              </w:rPr>
              <w:t>examples/cloud_run_job/README.md</w:t>
            </w:r>
          </w:p>
        </w:tc>
        <w:tc>
          <w:tcPr>
            <w:tcW w:type="dxa" w:w="1296"/>
            <w:vAlign w:val="top"/>
            <w:tcMar>
              <w:top w:w="60" w:type="dxa"/>
              <w:start w:w="70" w:type="dxa"/>
              <w:bottom w:w="60" w:type="dxa"/>
              <w:end w:w="70" w:type="dxa"/>
            </w:tcMar>
            <w:shd w:fill="F8F9FA"/>
          </w:tcPr>
          <w:p>
            <w:pPr>
              <w:pStyle w:val="TableText"/>
            </w:pPr>
            <w:r>
              <w:rPr>
                <w:sz w:val="12"/>
              </w:rPr>
              <w:t>.md</w:t>
            </w:r>
          </w:p>
        </w:tc>
      </w:tr>
      <w:tr>
        <w:trPr>
          <w:cantSplit/>
        </w:trPr>
        <w:tc>
          <w:tcPr>
            <w:tcW w:type="dxa" w:w="8928"/>
            <w:vAlign w:val="top"/>
            <w:tcMar>
              <w:top w:w="60" w:type="dxa"/>
              <w:start w:w="70" w:type="dxa"/>
              <w:bottom w:w="60" w:type="dxa"/>
              <w:end w:w="70" w:type="dxa"/>
            </w:tcMar>
          </w:tcPr>
          <w:p>
            <w:pPr>
              <w:pStyle w:val="TableText"/>
            </w:pPr>
            <w:r>
              <w:rPr>
                <w:sz w:val="12"/>
              </w:rPr>
              <w:t>examples/cloud_run_job/main.py</w:t>
            </w:r>
          </w:p>
        </w:tc>
        <w:tc>
          <w:tcPr>
            <w:tcW w:type="dxa" w:w="1296"/>
            <w:vAlign w:val="top"/>
            <w:tcMar>
              <w:top w:w="60" w:type="dxa"/>
              <w:start w:w="70" w:type="dxa"/>
              <w:bottom w:w="60" w:type="dxa"/>
              <w:end w:w="70" w:type="dxa"/>
            </w:tcMar>
          </w:tcPr>
          <w:p>
            <w:pPr>
              <w:pStyle w:val="TableText"/>
            </w:pPr>
            <w:r>
              <w:rPr>
                <w:sz w:val="12"/>
              </w:rPr>
              <w:t>.py</w:t>
            </w:r>
          </w:p>
        </w:tc>
      </w:tr>
      <w:tr>
        <w:trPr>
          <w:cantSplit/>
        </w:trPr>
        <w:tc>
          <w:tcPr>
            <w:tcW w:type="dxa" w:w="8928"/>
            <w:vAlign w:val="top"/>
            <w:tcMar>
              <w:top w:w="60" w:type="dxa"/>
              <w:start w:w="70" w:type="dxa"/>
              <w:bottom w:w="60" w:type="dxa"/>
              <w:end w:w="70" w:type="dxa"/>
            </w:tcMar>
            <w:shd w:fill="F8F9FA"/>
          </w:tcPr>
          <w:p>
            <w:pPr>
              <w:pStyle w:val="TableText"/>
            </w:pPr>
            <w:r>
              <w:rPr>
                <w:sz w:val="12"/>
              </w:rPr>
              <w:t>examples/contracts/README.md</w:t>
            </w:r>
          </w:p>
        </w:tc>
        <w:tc>
          <w:tcPr>
            <w:tcW w:type="dxa" w:w="1296"/>
            <w:vAlign w:val="top"/>
            <w:tcMar>
              <w:top w:w="60" w:type="dxa"/>
              <w:start w:w="70" w:type="dxa"/>
              <w:bottom w:w="60" w:type="dxa"/>
              <w:end w:w="70" w:type="dxa"/>
            </w:tcMar>
            <w:shd w:fill="F8F9FA"/>
          </w:tcPr>
          <w:p>
            <w:pPr>
              <w:pStyle w:val="TableText"/>
            </w:pPr>
            <w:r>
              <w:rPr>
                <w:sz w:val="12"/>
              </w:rPr>
              <w:t>.md</w:t>
            </w:r>
          </w:p>
        </w:tc>
      </w:tr>
      <w:tr>
        <w:trPr>
          <w:cantSplit/>
        </w:trPr>
        <w:tc>
          <w:tcPr>
            <w:tcW w:type="dxa" w:w="8928"/>
            <w:vAlign w:val="top"/>
            <w:tcMar>
              <w:top w:w="60" w:type="dxa"/>
              <w:start w:w="70" w:type="dxa"/>
              <w:bottom w:w="60" w:type="dxa"/>
              <w:end w:w="70" w:type="dxa"/>
            </w:tcMar>
          </w:tcPr>
          <w:p>
            <w:pPr>
              <w:pStyle w:val="TableText"/>
            </w:pPr>
            <w:r>
              <w:rPr>
                <w:sz w:val="12"/>
              </w:rPr>
              <w:t>examples/contracts/pipeline_contract.yaml</w:t>
            </w:r>
          </w:p>
        </w:tc>
        <w:tc>
          <w:tcPr>
            <w:tcW w:type="dxa" w:w="1296"/>
            <w:vAlign w:val="top"/>
            <w:tcMar>
              <w:top w:w="60" w:type="dxa"/>
              <w:start w:w="70" w:type="dxa"/>
              <w:bottom w:w="60" w:type="dxa"/>
              <w:end w:w="70" w:type="dxa"/>
            </w:tcMar>
          </w:tcPr>
          <w:p>
            <w:pPr>
              <w:pStyle w:val="TableText"/>
            </w:pPr>
            <w:r>
              <w:rPr>
                <w:sz w:val="12"/>
              </w:rPr>
              <w:t>.yaml</w:t>
            </w:r>
          </w:p>
        </w:tc>
      </w:tr>
      <w:tr>
        <w:trPr>
          <w:cantSplit/>
        </w:trPr>
        <w:tc>
          <w:tcPr>
            <w:tcW w:type="dxa" w:w="8928"/>
            <w:vAlign w:val="top"/>
            <w:tcMar>
              <w:top w:w="60" w:type="dxa"/>
              <w:start w:w="70" w:type="dxa"/>
              <w:bottom w:w="60" w:type="dxa"/>
              <w:end w:w="70" w:type="dxa"/>
            </w:tcMar>
            <w:shd w:fill="F8F9FA"/>
          </w:tcPr>
          <w:p>
            <w:pPr>
              <w:pStyle w:val="TableText"/>
            </w:pPr>
            <w:r>
              <w:rPr>
                <w:sz w:val="12"/>
              </w:rPr>
              <w:t>examples/dataform/README.md</w:t>
            </w:r>
          </w:p>
        </w:tc>
        <w:tc>
          <w:tcPr>
            <w:tcW w:type="dxa" w:w="1296"/>
            <w:vAlign w:val="top"/>
            <w:tcMar>
              <w:top w:w="60" w:type="dxa"/>
              <w:start w:w="70" w:type="dxa"/>
              <w:bottom w:w="60" w:type="dxa"/>
              <w:end w:w="70" w:type="dxa"/>
            </w:tcMar>
            <w:shd w:fill="F8F9FA"/>
          </w:tcPr>
          <w:p>
            <w:pPr>
              <w:pStyle w:val="TableText"/>
            </w:pPr>
            <w:r>
              <w:rPr>
                <w:sz w:val="12"/>
              </w:rPr>
              <w:t>.md</w:t>
            </w:r>
          </w:p>
        </w:tc>
      </w:tr>
      <w:tr>
        <w:trPr>
          <w:cantSplit/>
        </w:trPr>
        <w:tc>
          <w:tcPr>
            <w:tcW w:type="dxa" w:w="8928"/>
            <w:vAlign w:val="top"/>
            <w:tcMar>
              <w:top w:w="60" w:type="dxa"/>
              <w:start w:w="70" w:type="dxa"/>
              <w:bottom w:w="60" w:type="dxa"/>
              <w:end w:w="70" w:type="dxa"/>
            </w:tcMar>
          </w:tcPr>
          <w:p>
            <w:pPr>
              <w:pStyle w:val="TableText"/>
            </w:pPr>
            <w:r>
              <w:rPr>
                <w:sz w:val="12"/>
              </w:rPr>
              <w:t>examples/dataform/definitions/orders_curated.sqlx</w:t>
            </w:r>
          </w:p>
        </w:tc>
        <w:tc>
          <w:tcPr>
            <w:tcW w:type="dxa" w:w="1296"/>
            <w:vAlign w:val="top"/>
            <w:tcMar>
              <w:top w:w="60" w:type="dxa"/>
              <w:start w:w="70" w:type="dxa"/>
              <w:bottom w:w="60" w:type="dxa"/>
              <w:end w:w="70" w:type="dxa"/>
            </w:tcMar>
          </w:tcPr>
          <w:p>
            <w:pPr>
              <w:pStyle w:val="TableText"/>
            </w:pPr>
            <w:r>
              <w:rPr>
                <w:sz w:val="12"/>
              </w:rPr>
              <w:t>.sqlx</w:t>
            </w:r>
          </w:p>
        </w:tc>
      </w:tr>
      <w:tr>
        <w:trPr>
          <w:cantSplit/>
        </w:trPr>
        <w:tc>
          <w:tcPr>
            <w:tcW w:type="dxa" w:w="8928"/>
            <w:vAlign w:val="top"/>
            <w:tcMar>
              <w:top w:w="60" w:type="dxa"/>
              <w:start w:w="70" w:type="dxa"/>
              <w:bottom w:w="60" w:type="dxa"/>
              <w:end w:w="70" w:type="dxa"/>
            </w:tcMar>
            <w:shd w:fill="F8F9FA"/>
          </w:tcPr>
          <w:p>
            <w:pPr>
              <w:pStyle w:val="TableText"/>
            </w:pPr>
            <w:r>
              <w:rPr>
                <w:sz w:val="12"/>
              </w:rPr>
              <w:t>examples/dataform/workflow_settings.yaml</w:t>
            </w:r>
          </w:p>
        </w:tc>
        <w:tc>
          <w:tcPr>
            <w:tcW w:type="dxa" w:w="1296"/>
            <w:vAlign w:val="top"/>
            <w:tcMar>
              <w:top w:w="60" w:type="dxa"/>
              <w:start w:w="70" w:type="dxa"/>
              <w:bottom w:w="60" w:type="dxa"/>
              <w:end w:w="70" w:type="dxa"/>
            </w:tcMar>
            <w:shd w:fill="F8F9FA"/>
          </w:tcPr>
          <w:p>
            <w:pPr>
              <w:pStyle w:val="TableText"/>
            </w:pPr>
            <w:r>
              <w:rPr>
                <w:sz w:val="12"/>
              </w:rPr>
              <w:t>.yaml</w:t>
            </w:r>
          </w:p>
        </w:tc>
      </w:tr>
      <w:tr>
        <w:trPr>
          <w:cantSplit/>
        </w:trPr>
        <w:tc>
          <w:tcPr>
            <w:tcW w:type="dxa" w:w="8928"/>
            <w:vAlign w:val="top"/>
            <w:tcMar>
              <w:top w:w="60" w:type="dxa"/>
              <w:start w:w="70" w:type="dxa"/>
              <w:bottom w:w="60" w:type="dxa"/>
              <w:end w:w="70" w:type="dxa"/>
            </w:tcMar>
          </w:tcPr>
          <w:p>
            <w:pPr>
              <w:pStyle w:val="TableText"/>
            </w:pPr>
            <w:r>
              <w:rPr>
                <w:sz w:val="12"/>
              </w:rPr>
              <w:t>examples/datastream/README.md</w:t>
            </w:r>
          </w:p>
        </w:tc>
        <w:tc>
          <w:tcPr>
            <w:tcW w:type="dxa" w:w="1296"/>
            <w:vAlign w:val="top"/>
            <w:tcMar>
              <w:top w:w="60" w:type="dxa"/>
              <w:start w:w="70" w:type="dxa"/>
              <w:bottom w:w="60" w:type="dxa"/>
              <w:end w:w="70" w:type="dxa"/>
            </w:tcMar>
          </w:tcPr>
          <w:p>
            <w:pPr>
              <w:pStyle w:val="TableText"/>
            </w:pPr>
            <w:r>
              <w:rPr>
                <w:sz w:val="12"/>
              </w:rPr>
              <w:t>.md</w:t>
            </w:r>
          </w:p>
        </w:tc>
      </w:tr>
      <w:tr>
        <w:trPr>
          <w:cantSplit/>
        </w:trPr>
        <w:tc>
          <w:tcPr>
            <w:tcW w:type="dxa" w:w="8928"/>
            <w:vAlign w:val="top"/>
            <w:tcMar>
              <w:top w:w="60" w:type="dxa"/>
              <w:start w:w="70" w:type="dxa"/>
              <w:bottom w:w="60" w:type="dxa"/>
              <w:end w:w="70" w:type="dxa"/>
            </w:tcMar>
            <w:shd w:fill="F8F9FA"/>
          </w:tcPr>
          <w:p>
            <w:pPr>
              <w:pStyle w:val="TableText"/>
            </w:pPr>
            <w:r>
              <w:rPr>
                <w:sz w:val="12"/>
              </w:rPr>
              <w:t>examples/datastream/main.tf</w:t>
            </w:r>
          </w:p>
        </w:tc>
        <w:tc>
          <w:tcPr>
            <w:tcW w:type="dxa" w:w="1296"/>
            <w:vAlign w:val="top"/>
            <w:tcMar>
              <w:top w:w="60" w:type="dxa"/>
              <w:start w:w="70" w:type="dxa"/>
              <w:bottom w:w="60" w:type="dxa"/>
              <w:end w:w="70" w:type="dxa"/>
            </w:tcMar>
            <w:shd w:fill="F8F9FA"/>
          </w:tcPr>
          <w:p>
            <w:pPr>
              <w:pStyle w:val="TableText"/>
            </w:pPr>
            <w:r>
              <w:rPr>
                <w:sz w:val="12"/>
              </w:rPr>
              <w:t>.tf</w:t>
            </w:r>
          </w:p>
        </w:tc>
      </w:tr>
    </w:tbl>
    <w:p>
      <w:pPr>
        <w:pStyle w:val="Small"/>
      </w:pPr>
      <w:r>
        <w:t>Additional artifacts omitted from the table for space: 13. See package manifest for the complete inventory.</w:t>
      </w:r>
    </w:p>
    <w:p>
      <w:r>
        <w:br w:type="page"/>
      </w:r>
    </w:p>
    <w:p>
      <w:pPr>
        <w:pStyle w:val="Heading1"/>
        <w:keepNext/>
      </w:pPr>
      <w:r>
        <w:t>Appendix B. Matrices and Registers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5184"/>
            <w:shd w:fill="1A73E8"/>
            <w:vAlign w:val="center"/>
            <w:tcMar>
              <w:top w:w="60" w:type="dxa"/>
              <w:start w:w="70" w:type="dxa"/>
              <w:bottom w:w="60" w:type="dxa"/>
              <w:end w:w="70" w:type="dxa"/>
            </w:tcMar>
          </w:tcPr>
          <w:p>
            <w:r>
              <w:rPr>
                <w:b/>
                <w:color w:val="FFFFFF"/>
                <w:sz w:val="13"/>
              </w:rPr>
              <w:t>Matrix</w:t>
            </w:r>
          </w:p>
        </w:tc>
        <w:tc>
          <w:tcPr>
            <w:tcW w:type="dxa" w:w="1008"/>
            <w:shd w:fill="1A73E8"/>
            <w:vAlign w:val="center"/>
            <w:tcMar>
              <w:top w:w="60" w:type="dxa"/>
              <w:start w:w="70" w:type="dxa"/>
              <w:bottom w:w="60" w:type="dxa"/>
              <w:end w:w="70" w:type="dxa"/>
            </w:tcMar>
          </w:tcPr>
          <w:p>
            <w:r>
              <w:rPr>
                <w:b/>
                <w:color w:val="FFFFFF"/>
                <w:sz w:val="13"/>
              </w:rPr>
              <w:t>Rows</w:t>
            </w:r>
          </w:p>
        </w:tc>
        <w:tc>
          <w:tcPr>
            <w:tcW w:type="dxa" w:w="4032"/>
            <w:shd w:fill="1A73E8"/>
            <w:vAlign w:val="center"/>
            <w:tcMar>
              <w:top w:w="60" w:type="dxa"/>
              <w:start w:w="70" w:type="dxa"/>
              <w:bottom w:w="60" w:type="dxa"/>
              <w:end w:w="70" w:type="dxa"/>
            </w:tcMar>
          </w:tcPr>
          <w:p>
            <w:r>
              <w:rPr>
                <w:b/>
                <w:color w:val="FFFFFF"/>
                <w:sz w:val="13"/>
              </w:rPr>
              <w:t>Format</w:t>
            </w:r>
          </w:p>
        </w:tc>
      </w:tr>
      <w:tr>
        <w:trPr>
          <w:cantSplit/>
        </w:trPr>
        <w:tc>
          <w:tcPr>
            <w:tcW w:type="dxa" w:w="5184"/>
            <w:vAlign w:val="top"/>
            <w:tcMar>
              <w:top w:w="60" w:type="dxa"/>
              <w:start w:w="70" w:type="dxa"/>
              <w:bottom w:w="60" w:type="dxa"/>
              <w:end w:w="70" w:type="dxa"/>
            </w:tcMar>
          </w:tcPr>
          <w:p>
            <w:pPr>
              <w:pStyle w:val="TableText"/>
            </w:pPr>
            <w:r>
              <w:rPr>
                <w:sz w:val="13"/>
              </w:rPr>
              <w:t>connector_standards.csv</w:t>
            </w:r>
          </w:p>
        </w:tc>
        <w:tc>
          <w:tcPr>
            <w:tcW w:type="dxa" w:w="1008"/>
            <w:vAlign w:val="top"/>
            <w:tcMar>
              <w:top w:w="60" w:type="dxa"/>
              <w:start w:w="70" w:type="dxa"/>
              <w:bottom w:w="60" w:type="dxa"/>
              <w:end w:w="70" w:type="dxa"/>
            </w:tcMar>
          </w:tcPr>
          <w:p>
            <w:pPr>
              <w:pStyle w:val="TableText"/>
            </w:pPr>
            <w:r>
              <w:rPr>
                <w:sz w:val="13"/>
              </w:rPr>
              <w:t>5</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cost_driver_matrix.csv</w:t>
            </w:r>
          </w:p>
        </w:tc>
        <w:tc>
          <w:tcPr>
            <w:tcW w:type="dxa" w:w="1008"/>
            <w:vAlign w:val="top"/>
            <w:tcMar>
              <w:top w:w="60" w:type="dxa"/>
              <w:start w:w="70" w:type="dxa"/>
              <w:bottom w:w="60" w:type="dxa"/>
              <w:end w:w="70" w:type="dxa"/>
            </w:tcMar>
            <w:shd w:fill="F8F9FA"/>
          </w:tcPr>
          <w:p>
            <w:pPr>
              <w:pStyle w:val="TableText"/>
            </w:pPr>
            <w:r>
              <w:rPr>
                <w:sz w:val="13"/>
              </w:rPr>
              <w:t>6</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data_quality_rules.csv</w:t>
            </w:r>
          </w:p>
        </w:tc>
        <w:tc>
          <w:tcPr>
            <w:tcW w:type="dxa" w:w="1008"/>
            <w:vAlign w:val="top"/>
            <w:tcMar>
              <w:top w:w="60" w:type="dxa"/>
              <w:start w:w="70" w:type="dxa"/>
              <w:bottom w:w="60" w:type="dxa"/>
              <w:end w:w="70" w:type="dxa"/>
            </w:tcMar>
          </w:tcPr>
          <w:p>
            <w:pPr>
              <w:pStyle w:val="TableText"/>
            </w:pPr>
            <w:r>
              <w:rPr>
                <w:sz w:val="13"/>
              </w:rPr>
              <w:t>6</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error_handling_matrix.csv</w:t>
            </w:r>
          </w:p>
        </w:tc>
        <w:tc>
          <w:tcPr>
            <w:tcW w:type="dxa" w:w="1008"/>
            <w:vAlign w:val="top"/>
            <w:tcMar>
              <w:top w:w="60" w:type="dxa"/>
              <w:start w:w="70" w:type="dxa"/>
              <w:bottom w:w="60" w:type="dxa"/>
              <w:end w:w="70" w:type="dxa"/>
            </w:tcMar>
            <w:shd w:fill="F8F9FA"/>
          </w:tcPr>
          <w:p>
            <w:pPr>
              <w:pStyle w:val="TableText"/>
            </w:pPr>
            <w:r>
              <w:rPr>
                <w:sz w:val="13"/>
              </w:rPr>
              <w:t>5</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governance_raci.csv</w:t>
            </w:r>
          </w:p>
        </w:tc>
        <w:tc>
          <w:tcPr>
            <w:tcW w:type="dxa" w:w="1008"/>
            <w:vAlign w:val="top"/>
            <w:tcMar>
              <w:top w:w="60" w:type="dxa"/>
              <w:start w:w="70" w:type="dxa"/>
              <w:bottom w:w="60" w:type="dxa"/>
              <w:end w:w="70" w:type="dxa"/>
            </w:tcMar>
          </w:tcPr>
          <w:p>
            <w:pPr>
              <w:pStyle w:val="TableText"/>
            </w:pPr>
            <w:r>
              <w:rPr>
                <w:sz w:val="13"/>
              </w:rPr>
              <w:t>6</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iam_matrix.csv</w:t>
            </w:r>
          </w:p>
        </w:tc>
        <w:tc>
          <w:tcPr>
            <w:tcW w:type="dxa" w:w="1008"/>
            <w:vAlign w:val="top"/>
            <w:tcMar>
              <w:top w:w="60" w:type="dxa"/>
              <w:start w:w="70" w:type="dxa"/>
              <w:bottom w:w="60" w:type="dxa"/>
              <w:end w:w="70" w:type="dxa"/>
            </w:tcMar>
            <w:shd w:fill="F8F9FA"/>
          </w:tcPr>
          <w:p>
            <w:pPr>
              <w:pStyle w:val="TableText"/>
            </w:pPr>
            <w:r>
              <w:rPr>
                <w:sz w:val="13"/>
              </w:rPr>
              <w:t>6</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pipeline_slo_catalog.csv</w:t>
            </w:r>
          </w:p>
        </w:tc>
        <w:tc>
          <w:tcPr>
            <w:tcW w:type="dxa" w:w="1008"/>
            <w:vAlign w:val="top"/>
            <w:tcMar>
              <w:top w:w="60" w:type="dxa"/>
              <w:start w:w="70" w:type="dxa"/>
              <w:bottom w:w="60" w:type="dxa"/>
              <w:end w:w="70" w:type="dxa"/>
            </w:tcMar>
          </w:tcPr>
          <w:p>
            <w:pPr>
              <w:pStyle w:val="TableText"/>
            </w:pPr>
            <w:r>
              <w:rPr>
                <w:sz w:val="13"/>
              </w:rPr>
              <w:t>3</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pipeline_taxonomy.csv</w:t>
            </w:r>
          </w:p>
        </w:tc>
        <w:tc>
          <w:tcPr>
            <w:tcW w:type="dxa" w:w="1008"/>
            <w:vAlign w:val="top"/>
            <w:tcMar>
              <w:top w:w="60" w:type="dxa"/>
              <w:start w:w="70" w:type="dxa"/>
              <w:bottom w:w="60" w:type="dxa"/>
              <w:end w:w="70" w:type="dxa"/>
            </w:tcMar>
            <w:shd w:fill="F8F9FA"/>
          </w:tcPr>
          <w:p>
            <w:pPr>
              <w:pStyle w:val="TableText"/>
            </w:pPr>
            <w:r>
              <w:rPr>
                <w:sz w:val="13"/>
              </w:rPr>
              <w:t>6</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production_readiness_checklist.csv</w:t>
            </w:r>
          </w:p>
        </w:tc>
        <w:tc>
          <w:tcPr>
            <w:tcW w:type="dxa" w:w="1008"/>
            <w:vAlign w:val="top"/>
            <w:tcMar>
              <w:top w:w="60" w:type="dxa"/>
              <w:start w:w="70" w:type="dxa"/>
              <w:bottom w:w="60" w:type="dxa"/>
              <w:end w:w="70" w:type="dxa"/>
            </w:tcMar>
          </w:tcPr>
          <w:p>
            <w:pPr>
              <w:pStyle w:val="TableText"/>
            </w:pPr>
            <w:r>
              <w:rPr>
                <w:sz w:val="13"/>
              </w:rPr>
              <w:t>10</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promotion_matrix.csv</w:t>
            </w:r>
          </w:p>
        </w:tc>
        <w:tc>
          <w:tcPr>
            <w:tcW w:type="dxa" w:w="1008"/>
            <w:vAlign w:val="top"/>
            <w:tcMar>
              <w:top w:w="60" w:type="dxa"/>
              <w:start w:w="70" w:type="dxa"/>
              <w:bottom w:w="60" w:type="dxa"/>
              <w:end w:w="70" w:type="dxa"/>
            </w:tcMar>
            <w:shd w:fill="F8F9FA"/>
          </w:tcPr>
          <w:p>
            <w:pPr>
              <w:pStyle w:val="TableText"/>
            </w:pPr>
            <w:r>
              <w:rPr>
                <w:sz w:val="13"/>
              </w:rPr>
              <w:t>4</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reference_register.csv</w:t>
            </w:r>
          </w:p>
        </w:tc>
        <w:tc>
          <w:tcPr>
            <w:tcW w:type="dxa" w:w="1008"/>
            <w:vAlign w:val="top"/>
            <w:tcMar>
              <w:top w:w="60" w:type="dxa"/>
              <w:start w:w="70" w:type="dxa"/>
              <w:bottom w:w="60" w:type="dxa"/>
              <w:end w:w="70" w:type="dxa"/>
            </w:tcMar>
          </w:tcPr>
          <w:p>
            <w:pPr>
              <w:pStyle w:val="TableText"/>
            </w:pPr>
            <w:r>
              <w:rPr>
                <w:sz w:val="13"/>
              </w:rPr>
              <w:t>11</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risk_register.csv</w:t>
            </w:r>
          </w:p>
        </w:tc>
        <w:tc>
          <w:tcPr>
            <w:tcW w:type="dxa" w:w="1008"/>
            <w:vAlign w:val="top"/>
            <w:tcMar>
              <w:top w:w="60" w:type="dxa"/>
              <w:start w:w="70" w:type="dxa"/>
              <w:bottom w:w="60" w:type="dxa"/>
              <w:end w:w="70" w:type="dxa"/>
            </w:tcMar>
            <w:shd w:fill="F8F9FA"/>
          </w:tcPr>
          <w:p>
            <w:pPr>
              <w:pStyle w:val="TableText"/>
            </w:pPr>
            <w:r>
              <w:rPr>
                <w:sz w:val="13"/>
              </w:rPr>
              <w:t>10</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service_selection_matrix.csv</w:t>
            </w:r>
          </w:p>
        </w:tc>
        <w:tc>
          <w:tcPr>
            <w:tcW w:type="dxa" w:w="1008"/>
            <w:vAlign w:val="top"/>
            <w:tcMar>
              <w:top w:w="60" w:type="dxa"/>
              <w:start w:w="70" w:type="dxa"/>
              <w:bottom w:w="60" w:type="dxa"/>
              <w:end w:w="70" w:type="dxa"/>
            </w:tcMar>
          </w:tcPr>
          <w:p>
            <w:pPr>
              <w:pStyle w:val="TableText"/>
            </w:pPr>
            <w:r>
              <w:rPr>
                <w:sz w:val="13"/>
              </w:rPr>
              <w:t>6</w:t>
            </w:r>
          </w:p>
        </w:tc>
        <w:tc>
          <w:tcPr>
            <w:tcW w:type="dxa" w:w="4032"/>
            <w:vAlign w:val="top"/>
            <w:tcMar>
              <w:top w:w="60" w:type="dxa"/>
              <w:start w:w="70" w:type="dxa"/>
              <w:bottom w:w="60" w:type="dxa"/>
              <w:end w:w="70" w:type="dxa"/>
            </w:tcMar>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shd w:fill="F8F9FA"/>
          </w:tcPr>
          <w:p>
            <w:pPr>
              <w:pStyle w:val="TableText"/>
            </w:pPr>
            <w:r>
              <w:rPr>
                <w:sz w:val="13"/>
              </w:rPr>
              <w:t>source_to_target_mapping.csv</w:t>
            </w:r>
          </w:p>
        </w:tc>
        <w:tc>
          <w:tcPr>
            <w:tcW w:type="dxa" w:w="1008"/>
            <w:vAlign w:val="top"/>
            <w:tcMar>
              <w:top w:w="60" w:type="dxa"/>
              <w:start w:w="70" w:type="dxa"/>
              <w:bottom w:w="60" w:type="dxa"/>
              <w:end w:w="70" w:type="dxa"/>
            </w:tcMar>
            <w:shd w:fill="F8F9FA"/>
          </w:tcPr>
          <w:p>
            <w:pPr>
              <w:pStyle w:val="TableText"/>
            </w:pPr>
            <w:r>
              <w:rPr>
                <w:sz w:val="13"/>
              </w:rPr>
              <w:t>5</w:t>
            </w:r>
          </w:p>
        </w:tc>
        <w:tc>
          <w:tcPr>
            <w:tcW w:type="dxa" w:w="4032"/>
            <w:vAlign w:val="top"/>
            <w:tcMar>
              <w:top w:w="60" w:type="dxa"/>
              <w:start w:w="70" w:type="dxa"/>
              <w:bottom w:w="60" w:type="dxa"/>
              <w:end w:w="70" w:type="dxa"/>
            </w:tcMar>
            <w:shd w:fill="F8F9FA"/>
          </w:tcPr>
          <w:p>
            <w:pPr>
              <w:pStyle w:val="TableText"/>
            </w:pPr>
            <w:r>
              <w:rPr>
                <w:sz w:val="13"/>
              </w:rPr>
              <w:t>CSV - editable and machine-readable</w:t>
            </w:r>
          </w:p>
        </w:tc>
      </w:tr>
      <w:tr>
        <w:trPr>
          <w:cantSplit/>
        </w:trPr>
        <w:tc>
          <w:tcPr>
            <w:tcW w:type="dxa" w:w="5184"/>
            <w:vAlign w:val="top"/>
            <w:tcMar>
              <w:top w:w="60" w:type="dxa"/>
              <w:start w:w="70" w:type="dxa"/>
              <w:bottom w:w="60" w:type="dxa"/>
              <w:end w:w="70" w:type="dxa"/>
            </w:tcMar>
          </w:tcPr>
          <w:p>
            <w:pPr>
              <w:pStyle w:val="TableText"/>
            </w:pPr>
            <w:r>
              <w:rPr>
                <w:sz w:val="13"/>
              </w:rPr>
              <w:t>testing_matrix.csv</w:t>
            </w:r>
          </w:p>
        </w:tc>
        <w:tc>
          <w:tcPr>
            <w:tcW w:type="dxa" w:w="1008"/>
            <w:vAlign w:val="top"/>
            <w:tcMar>
              <w:top w:w="60" w:type="dxa"/>
              <w:start w:w="70" w:type="dxa"/>
              <w:bottom w:w="60" w:type="dxa"/>
              <w:end w:w="70" w:type="dxa"/>
            </w:tcMar>
          </w:tcPr>
          <w:p>
            <w:pPr>
              <w:pStyle w:val="TableText"/>
            </w:pPr>
            <w:r>
              <w:rPr>
                <w:sz w:val="13"/>
              </w:rPr>
              <w:t>7</w:t>
            </w:r>
          </w:p>
        </w:tc>
        <w:tc>
          <w:tcPr>
            <w:tcW w:type="dxa" w:w="4032"/>
            <w:vAlign w:val="top"/>
            <w:tcMar>
              <w:top w:w="60" w:type="dxa"/>
              <w:start w:w="70" w:type="dxa"/>
              <w:bottom w:w="60" w:type="dxa"/>
              <w:end w:w="70" w:type="dxa"/>
            </w:tcMar>
          </w:tcPr>
          <w:p>
            <w:pPr>
              <w:pStyle w:val="TableText"/>
            </w:pPr>
            <w:r>
              <w:rPr>
                <w:sz w:val="13"/>
              </w:rPr>
              <w:t>CSV - editable and machine-readable</w:t>
            </w:r>
          </w:p>
        </w:tc>
      </w:tr>
    </w:tbl>
    <w:p>
      <w:r>
        <w:br w:type="page"/>
      </w:r>
    </w:p>
    <w:p>
      <w:pPr>
        <w:pStyle w:val="Heading1"/>
        <w:keepNext/>
      </w:pPr>
      <w:r>
        <w:t>Appendix C. Official Reference Register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320"/>
            <w:shd w:fill="1A73E8"/>
            <w:vAlign w:val="center"/>
            <w:tcMar>
              <w:top w:w="60" w:type="dxa"/>
              <w:start w:w="70" w:type="dxa"/>
              <w:bottom w:w="60" w:type="dxa"/>
              <w:end w:w="70" w:type="dxa"/>
            </w:tcMar>
          </w:tcPr>
          <w:p>
            <w:r>
              <w:rPr>
                <w:b/>
                <w:color w:val="FFFFFF"/>
                <w:sz w:val="13"/>
              </w:rPr>
              <w:t>Reference</w:t>
            </w:r>
          </w:p>
        </w:tc>
        <w:tc>
          <w:tcPr>
            <w:tcW w:type="dxa" w:w="5904"/>
            <w:shd w:fill="1A73E8"/>
            <w:vAlign w:val="center"/>
            <w:tcMar>
              <w:top w:w="60" w:type="dxa"/>
              <w:start w:w="70" w:type="dxa"/>
              <w:bottom w:w="60" w:type="dxa"/>
              <w:end w:w="70" w:type="dxa"/>
            </w:tcMar>
          </w:tcPr>
          <w:p>
            <w:r>
              <w:rPr>
                <w:b/>
                <w:color w:val="FFFFFF"/>
                <w:sz w:val="13"/>
              </w:rPr>
              <w:t>Official location</w:t>
            </w:r>
          </w:p>
        </w:tc>
      </w:tr>
      <w:tr>
        <w:trPr>
          <w:cantSplit/>
        </w:trPr>
        <w:tc>
          <w:tcPr>
            <w:tcW w:type="dxa" w:w="4320"/>
            <w:vAlign w:val="top"/>
            <w:tcMar>
              <w:top w:w="60" w:type="dxa"/>
              <w:start w:w="70" w:type="dxa"/>
              <w:bottom w:w="60" w:type="dxa"/>
              <w:end w:w="70" w:type="dxa"/>
            </w:tcMar>
          </w:tcPr>
          <w:p>
            <w:pPr>
              <w:pStyle w:val="TableText"/>
            </w:pPr>
            <w:r>
              <w:rPr>
                <w:sz w:val="13"/>
              </w:rPr>
              <w:t>Dataflow pipeline best practices</w:t>
            </w:r>
          </w:p>
        </w:tc>
        <w:tc>
          <w:tcPr>
            <w:tcW w:type="dxa" w:w="5904"/>
            <w:vAlign w:val="top"/>
            <w:tcMar>
              <w:top w:w="60" w:type="dxa"/>
              <w:start w:w="70" w:type="dxa"/>
              <w:bottom w:w="60" w:type="dxa"/>
              <w:end w:w="70" w:type="dxa"/>
            </w:tcMar>
          </w:tcPr>
          <w:p>
            <w:pPr>
              <w:pStyle w:val="TableText"/>
            </w:pPr>
            <w:r>
              <w:rPr>
                <w:sz w:val="13"/>
              </w:rPr>
              <w:t>https://cloud.google.com/dataflow/docs/guides/pipeline-best-practices</w:t>
            </w:r>
          </w:p>
        </w:tc>
      </w:tr>
      <w:tr>
        <w:trPr>
          <w:cantSplit/>
        </w:trPr>
        <w:tc>
          <w:tcPr>
            <w:tcW w:type="dxa" w:w="4320"/>
            <w:vAlign w:val="top"/>
            <w:tcMar>
              <w:top w:w="60" w:type="dxa"/>
              <w:start w:w="70" w:type="dxa"/>
              <w:bottom w:w="60" w:type="dxa"/>
              <w:end w:w="70" w:type="dxa"/>
            </w:tcMar>
            <w:shd w:fill="F8F9FA"/>
          </w:tcPr>
          <w:p>
            <w:pPr>
              <w:pStyle w:val="TableText"/>
            </w:pPr>
            <w:r>
              <w:rPr>
                <w:sz w:val="13"/>
              </w:rPr>
              <w:t>Dataflow streaming modes</w:t>
            </w:r>
          </w:p>
        </w:tc>
        <w:tc>
          <w:tcPr>
            <w:tcW w:type="dxa" w:w="5904"/>
            <w:vAlign w:val="top"/>
            <w:tcMar>
              <w:top w:w="60" w:type="dxa"/>
              <w:start w:w="70" w:type="dxa"/>
              <w:bottom w:w="60" w:type="dxa"/>
              <w:end w:w="70" w:type="dxa"/>
            </w:tcMar>
            <w:shd w:fill="F8F9FA"/>
          </w:tcPr>
          <w:p>
            <w:pPr>
              <w:pStyle w:val="TableText"/>
            </w:pPr>
            <w:r>
              <w:rPr>
                <w:sz w:val="13"/>
              </w:rPr>
              <w:t>https://cloud.google.com/dataflow/docs/guides/streaming-modes</w:t>
            </w:r>
          </w:p>
        </w:tc>
      </w:tr>
      <w:tr>
        <w:trPr>
          <w:cantSplit/>
        </w:trPr>
        <w:tc>
          <w:tcPr>
            <w:tcW w:type="dxa" w:w="4320"/>
            <w:vAlign w:val="top"/>
            <w:tcMar>
              <w:top w:w="60" w:type="dxa"/>
              <w:start w:w="70" w:type="dxa"/>
              <w:bottom w:w="60" w:type="dxa"/>
              <w:end w:w="70" w:type="dxa"/>
            </w:tcMar>
          </w:tcPr>
          <w:p>
            <w:pPr>
              <w:pStyle w:val="TableText"/>
            </w:pPr>
            <w:r>
              <w:rPr>
                <w:sz w:val="13"/>
              </w:rPr>
              <w:t>Dataflow Flex Templates</w:t>
            </w:r>
          </w:p>
        </w:tc>
        <w:tc>
          <w:tcPr>
            <w:tcW w:type="dxa" w:w="5904"/>
            <w:vAlign w:val="top"/>
            <w:tcMar>
              <w:top w:w="60" w:type="dxa"/>
              <w:start w:w="70" w:type="dxa"/>
              <w:bottom w:w="60" w:type="dxa"/>
              <w:end w:w="70" w:type="dxa"/>
            </w:tcMar>
          </w:tcPr>
          <w:p>
            <w:pPr>
              <w:pStyle w:val="TableText"/>
            </w:pPr>
            <w:r>
              <w:rPr>
                <w:sz w:val="13"/>
              </w:rPr>
              <w:t>https://cloud.google.com/dataflow/docs/guides/templates/configuring-flex-templates</w:t>
            </w:r>
          </w:p>
        </w:tc>
      </w:tr>
      <w:tr>
        <w:trPr>
          <w:cantSplit/>
        </w:trPr>
        <w:tc>
          <w:tcPr>
            <w:tcW w:type="dxa" w:w="4320"/>
            <w:vAlign w:val="top"/>
            <w:tcMar>
              <w:top w:w="60" w:type="dxa"/>
              <w:start w:w="70" w:type="dxa"/>
              <w:bottom w:w="60" w:type="dxa"/>
              <w:end w:w="70" w:type="dxa"/>
            </w:tcMar>
            <w:shd w:fill="F8F9FA"/>
          </w:tcPr>
          <w:p>
            <w:pPr>
              <w:pStyle w:val="TableText"/>
            </w:pPr>
            <w:r>
              <w:rPr>
                <w:sz w:val="13"/>
              </w:rPr>
              <w:t>Managed Service for Apache Spark</w:t>
            </w:r>
          </w:p>
        </w:tc>
        <w:tc>
          <w:tcPr>
            <w:tcW w:type="dxa" w:w="5904"/>
            <w:vAlign w:val="top"/>
            <w:tcMar>
              <w:top w:w="60" w:type="dxa"/>
              <w:start w:w="70" w:type="dxa"/>
              <w:bottom w:w="60" w:type="dxa"/>
              <w:end w:w="70" w:type="dxa"/>
            </w:tcMar>
            <w:shd w:fill="F8F9FA"/>
          </w:tcPr>
          <w:p>
            <w:pPr>
              <w:pStyle w:val="TableText"/>
            </w:pPr>
            <w:r>
              <w:rPr>
                <w:sz w:val="13"/>
              </w:rPr>
              <w:t>https://cloud.google.com/dataproc-serverless/docs</w:t>
            </w:r>
          </w:p>
        </w:tc>
      </w:tr>
      <w:tr>
        <w:trPr>
          <w:cantSplit/>
        </w:trPr>
        <w:tc>
          <w:tcPr>
            <w:tcW w:type="dxa" w:w="4320"/>
            <w:vAlign w:val="top"/>
            <w:tcMar>
              <w:top w:w="60" w:type="dxa"/>
              <w:start w:w="70" w:type="dxa"/>
              <w:bottom w:w="60" w:type="dxa"/>
              <w:end w:w="70" w:type="dxa"/>
            </w:tcMar>
          </w:tcPr>
          <w:p>
            <w:pPr>
              <w:pStyle w:val="TableText"/>
            </w:pPr>
            <w:r>
              <w:rPr>
                <w:sz w:val="13"/>
              </w:rPr>
              <w:t>Dataform SQL workflows</w:t>
            </w:r>
          </w:p>
        </w:tc>
        <w:tc>
          <w:tcPr>
            <w:tcW w:type="dxa" w:w="5904"/>
            <w:vAlign w:val="top"/>
            <w:tcMar>
              <w:top w:w="60" w:type="dxa"/>
              <w:start w:w="70" w:type="dxa"/>
              <w:bottom w:w="60" w:type="dxa"/>
              <w:end w:w="70" w:type="dxa"/>
            </w:tcMar>
          </w:tcPr>
          <w:p>
            <w:pPr>
              <w:pStyle w:val="TableText"/>
            </w:pPr>
            <w:r>
              <w:rPr>
                <w:sz w:val="13"/>
              </w:rPr>
              <w:t>https://cloud.google.com/dataform/docs/sql-workflows</w:t>
            </w:r>
          </w:p>
        </w:tc>
      </w:tr>
      <w:tr>
        <w:trPr>
          <w:cantSplit/>
        </w:trPr>
        <w:tc>
          <w:tcPr>
            <w:tcW w:type="dxa" w:w="4320"/>
            <w:vAlign w:val="top"/>
            <w:tcMar>
              <w:top w:w="60" w:type="dxa"/>
              <w:start w:w="70" w:type="dxa"/>
              <w:bottom w:w="60" w:type="dxa"/>
              <w:end w:w="70" w:type="dxa"/>
            </w:tcMar>
            <w:shd w:fill="F8F9FA"/>
          </w:tcPr>
          <w:p>
            <w:pPr>
              <w:pStyle w:val="TableText"/>
            </w:pPr>
            <w:r>
              <w:rPr>
                <w:sz w:val="13"/>
              </w:rPr>
              <w:t>Dataform assertions</w:t>
            </w:r>
          </w:p>
        </w:tc>
        <w:tc>
          <w:tcPr>
            <w:tcW w:type="dxa" w:w="5904"/>
            <w:vAlign w:val="top"/>
            <w:tcMar>
              <w:top w:w="60" w:type="dxa"/>
              <w:start w:w="70" w:type="dxa"/>
              <w:bottom w:w="60" w:type="dxa"/>
              <w:end w:w="70" w:type="dxa"/>
            </w:tcMar>
            <w:shd w:fill="F8F9FA"/>
          </w:tcPr>
          <w:p>
            <w:pPr>
              <w:pStyle w:val="TableText"/>
            </w:pPr>
            <w:r>
              <w:rPr>
                <w:sz w:val="13"/>
              </w:rPr>
              <w:t>https://cloud.google.com/dataform/docs/assertions</w:t>
            </w:r>
          </w:p>
        </w:tc>
      </w:tr>
      <w:tr>
        <w:trPr>
          <w:cantSplit/>
        </w:trPr>
        <w:tc>
          <w:tcPr>
            <w:tcW w:type="dxa" w:w="4320"/>
            <w:vAlign w:val="top"/>
            <w:tcMar>
              <w:top w:w="60" w:type="dxa"/>
              <w:start w:w="70" w:type="dxa"/>
              <w:bottom w:w="60" w:type="dxa"/>
              <w:end w:w="70" w:type="dxa"/>
            </w:tcMar>
          </w:tcPr>
          <w:p>
            <w:pPr>
              <w:pStyle w:val="TableText"/>
            </w:pPr>
            <w:r>
              <w:rPr>
                <w:sz w:val="13"/>
              </w:rPr>
              <w:t>Managed Service for Apache Airflow</w:t>
            </w:r>
          </w:p>
        </w:tc>
        <w:tc>
          <w:tcPr>
            <w:tcW w:type="dxa" w:w="5904"/>
            <w:vAlign w:val="top"/>
            <w:tcMar>
              <w:top w:w="60" w:type="dxa"/>
              <w:start w:w="70" w:type="dxa"/>
              <w:bottom w:w="60" w:type="dxa"/>
              <w:end w:w="70" w:type="dxa"/>
            </w:tcMar>
          </w:tcPr>
          <w:p>
            <w:pPr>
              <w:pStyle w:val="TableText"/>
            </w:pPr>
            <w:r>
              <w:rPr>
                <w:sz w:val="13"/>
              </w:rPr>
              <w:t>https://cloud.google.com/composer/docs</w:t>
            </w:r>
          </w:p>
        </w:tc>
      </w:tr>
      <w:tr>
        <w:trPr>
          <w:cantSplit/>
        </w:trPr>
        <w:tc>
          <w:tcPr>
            <w:tcW w:type="dxa" w:w="4320"/>
            <w:vAlign w:val="top"/>
            <w:tcMar>
              <w:top w:w="60" w:type="dxa"/>
              <w:start w:w="70" w:type="dxa"/>
              <w:bottom w:w="60" w:type="dxa"/>
              <w:end w:w="70" w:type="dxa"/>
            </w:tcMar>
            <w:shd w:fill="F8F9FA"/>
          </w:tcPr>
          <w:p>
            <w:pPr>
              <w:pStyle w:val="TableText"/>
            </w:pPr>
            <w:r>
              <w:rPr>
                <w:sz w:val="13"/>
              </w:rPr>
              <w:t>Pub/Sub exactly-once delivery</w:t>
            </w:r>
          </w:p>
        </w:tc>
        <w:tc>
          <w:tcPr>
            <w:tcW w:type="dxa" w:w="5904"/>
            <w:vAlign w:val="top"/>
            <w:tcMar>
              <w:top w:w="60" w:type="dxa"/>
              <w:start w:w="70" w:type="dxa"/>
              <w:bottom w:w="60" w:type="dxa"/>
              <w:end w:w="70" w:type="dxa"/>
            </w:tcMar>
            <w:shd w:fill="F8F9FA"/>
          </w:tcPr>
          <w:p>
            <w:pPr>
              <w:pStyle w:val="TableText"/>
            </w:pPr>
            <w:r>
              <w:rPr>
                <w:sz w:val="13"/>
              </w:rPr>
              <w:t>https://cloud.google.com/pubsub/docs/exactly-once-delivery</w:t>
            </w:r>
          </w:p>
        </w:tc>
      </w:tr>
      <w:tr>
        <w:trPr>
          <w:cantSplit/>
        </w:trPr>
        <w:tc>
          <w:tcPr>
            <w:tcW w:type="dxa" w:w="4320"/>
            <w:vAlign w:val="top"/>
            <w:tcMar>
              <w:top w:w="60" w:type="dxa"/>
              <w:start w:w="70" w:type="dxa"/>
              <w:bottom w:w="60" w:type="dxa"/>
              <w:end w:w="70" w:type="dxa"/>
            </w:tcMar>
          </w:tcPr>
          <w:p>
            <w:pPr>
              <w:pStyle w:val="TableText"/>
            </w:pPr>
            <w:r>
              <w:rPr>
                <w:sz w:val="13"/>
              </w:rPr>
              <w:t>Pub/Sub dead-letter topics</w:t>
            </w:r>
          </w:p>
        </w:tc>
        <w:tc>
          <w:tcPr>
            <w:tcW w:type="dxa" w:w="5904"/>
            <w:vAlign w:val="top"/>
            <w:tcMar>
              <w:top w:w="60" w:type="dxa"/>
              <w:start w:w="70" w:type="dxa"/>
              <w:bottom w:w="60" w:type="dxa"/>
              <w:end w:w="70" w:type="dxa"/>
            </w:tcMar>
          </w:tcPr>
          <w:p>
            <w:pPr>
              <w:pStyle w:val="TableText"/>
            </w:pPr>
            <w:r>
              <w:rPr>
                <w:sz w:val="13"/>
              </w:rPr>
              <w:t>https://cloud.google.com/pubsub/docs/dead-letter-topics</w:t>
            </w:r>
          </w:p>
        </w:tc>
      </w:tr>
      <w:tr>
        <w:trPr>
          <w:cantSplit/>
        </w:trPr>
        <w:tc>
          <w:tcPr>
            <w:tcW w:type="dxa" w:w="4320"/>
            <w:vAlign w:val="top"/>
            <w:tcMar>
              <w:top w:w="60" w:type="dxa"/>
              <w:start w:w="70" w:type="dxa"/>
              <w:bottom w:w="60" w:type="dxa"/>
              <w:end w:w="70" w:type="dxa"/>
            </w:tcMar>
            <w:shd w:fill="F8F9FA"/>
          </w:tcPr>
          <w:p>
            <w:pPr>
              <w:pStyle w:val="TableText"/>
            </w:pPr>
            <w:r>
              <w:rPr>
                <w:sz w:val="13"/>
              </w:rPr>
              <w:t>Datastream BigQuery destination</w:t>
            </w:r>
          </w:p>
        </w:tc>
        <w:tc>
          <w:tcPr>
            <w:tcW w:type="dxa" w:w="5904"/>
            <w:vAlign w:val="top"/>
            <w:tcMar>
              <w:top w:w="60" w:type="dxa"/>
              <w:start w:w="70" w:type="dxa"/>
              <w:bottom w:w="60" w:type="dxa"/>
              <w:end w:w="70" w:type="dxa"/>
            </w:tcMar>
            <w:shd w:fill="F8F9FA"/>
          </w:tcPr>
          <w:p>
            <w:pPr>
              <w:pStyle w:val="TableText"/>
            </w:pPr>
            <w:r>
              <w:rPr>
                <w:sz w:val="13"/>
              </w:rPr>
              <w:t>https://cloud.google.com/datastream/docs/configure-bigquery-destination</w:t>
            </w:r>
          </w:p>
        </w:tc>
      </w:tr>
      <w:tr>
        <w:trPr>
          <w:cantSplit/>
        </w:trPr>
        <w:tc>
          <w:tcPr>
            <w:tcW w:type="dxa" w:w="4320"/>
            <w:vAlign w:val="top"/>
            <w:tcMar>
              <w:top w:w="60" w:type="dxa"/>
              <w:start w:w="70" w:type="dxa"/>
              <w:bottom w:w="60" w:type="dxa"/>
              <w:end w:w="70" w:type="dxa"/>
            </w:tcMar>
          </w:tcPr>
          <w:p>
            <w:pPr>
              <w:pStyle w:val="TableText"/>
            </w:pPr>
            <w:r>
              <w:rPr>
                <w:sz w:val="13"/>
              </w:rPr>
              <w:t>BigQuery Storage Write API</w:t>
            </w:r>
          </w:p>
        </w:tc>
        <w:tc>
          <w:tcPr>
            <w:tcW w:type="dxa" w:w="5904"/>
            <w:vAlign w:val="top"/>
            <w:tcMar>
              <w:top w:w="60" w:type="dxa"/>
              <w:start w:w="70" w:type="dxa"/>
              <w:bottom w:w="60" w:type="dxa"/>
              <w:end w:w="70" w:type="dxa"/>
            </w:tcMar>
          </w:tcPr>
          <w:p>
            <w:pPr>
              <w:pStyle w:val="TableText"/>
            </w:pPr>
            <w:r>
              <w:rPr>
                <w:sz w:val="13"/>
              </w:rPr>
              <w:t>https://cloud.google.com/bigquery/docs/write-api</w:t>
            </w:r>
          </w:p>
        </w:tc>
      </w:tr>
    </w:tbl>
    <w:p>
      <w:pPr>
        <w:pStyle w:val="Small"/>
      </w:pPr>
      <w:r>
        <w:t>Product names, previews, quotas, locations, SLAs, IAM permissions, Terraform arguments, pricing, CMEK and VPC Service Controls support can change. Implementation teams must validate current official documentation and record material differences in workload ADRs.</w:t>
      </w:r>
    </w:p>
    <w:p>
      <w:r>
        <w:br w:type="page"/>
      </w:r>
    </w:p>
    <w:p>
      <w:pPr>
        <w:pStyle w:val="Heading1"/>
        <w:keepNext/>
      </w:pPr>
      <w:r>
        <w:t>Appendix D. Document Completion Statement</w:t>
      </w:r>
    </w:p>
    <w:p>
      <w:r>
        <w:t>Volume 04 is the authoritative data engineering pipeline baseline for the Enterprise Google Cloud Data Platform Blueprint. It establishes strategy, taxonomy, batch, micro-batch, streaming, event-time, state, correctness, recovery, ETL/ELT, selected service patterns, orchestration, metadata, reusable templates, connectors, errors, quality, observability, SLOs, performance, cost, security, development, testing, deployment, support, service assessments, ADRs, risks, roadmap, validation and readiness.</w:t>
      </w:r>
    </w:p>
    <w:tbl>
      <w:tblPr>
        <w:tblStyle w:val="TableGrid"/>
        <w:tblW w:type="auto" w:w="0"/>
        <w:tblLook w:firstColumn="1" w:firstRow="1" w:lastColumn="0" w:lastRow="0" w:noHBand="0" w:noVBand="1" w:val="04A0"/>
      </w:tblPr>
      <w:tblGrid>
        <w:gridCol w:w="10454"/>
      </w:tblGrid>
      <w:tr>
        <w:tc>
          <w:tcPr>
            <w:tcW w:type="dxa" w:w="10454"/>
            <w:shd w:fill="E8F0FE"/>
            <w:tcMar>
              <w:top w:w="90" w:type="dxa"/>
              <w:start w:w="100" w:type="dxa"/>
              <w:bottom w:w="90" w:type="dxa"/>
              <w:end w:w="100" w:type="dxa"/>
            </w:tcMar>
          </w:tcPr>
          <w:p>
            <w:pPr>
              <w:pStyle w:val="Callout"/>
            </w:pPr>
            <w:r>
              <w:rPr>
                <w:b/>
                <w:color w:val="1A73E8"/>
              </w:rPr>
              <w:t xml:space="preserve">Completion condition. </w:t>
            </w:r>
            <w:r>
              <w:t>This reference architecture is ready for enterprise review and workload adaptation. It is not a substitute for discovery, data-contract approval, security/privacy assessment, regional and quota validation, performance testing, current-product validation or production readiness review.</w:t>
            </w:r>
          </w:p>
        </w:tc>
      </w:tr>
    </w:tbl>
    <w:sectPr w:rsidR="00FC693F" w:rsidRPr="0006063C" w:rsidSect="00034616">
      <w:headerReference w:type="default" r:id="rId9"/>
      <w:footerReference w:type="default" r:id="rId10"/>
      <w:pgSz w:w="12240" w:h="15840"/>
      <w:pgMar w:top="835"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368"/>
        <w:sz w:val="14"/>
      </w:rPr>
      <w:t xml:space="preserve">Enterprise Reference Architecture | Volume 04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Enterprise Google Cloud Data Platform Blueprint | Volume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02124"/>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A73E8"/>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202124"/>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A73E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val="0"/>
      <w:color w:val="1A73E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00"/>
    </w:pPr>
    <w:rPr>
      <w:rFonts w:asciiTheme="majorHAnsi" w:eastAsiaTheme="majorEastAsia" w:hAnsiTheme="majorHAnsi" w:cstheme="majorBidi" w:ascii="Aptos" w:hAnsi="Aptos"/>
      <w:b w:val="0"/>
      <w:i/>
      <w:iCs/>
      <w:color w:val="5F63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b w:val="0"/>
      <w:color w:val="5F6368"/>
      <w:sz w:val="14"/>
    </w:rPr>
  </w:style>
  <w:style w:type="paragraph" w:customStyle="1" w:styleId="TableText">
    <w:name w:val="Table Text"/>
    <w:pPr>
      <w:spacing w:after="40"/>
    </w:pPr>
    <w:rPr>
      <w:rFonts w:ascii="Aptos" w:hAnsi="Aptos"/>
      <w:b w:val="0"/>
      <w:color w:val="202124"/>
      <w:sz w:val="14"/>
    </w:rPr>
  </w:style>
  <w:style w:type="paragraph" w:customStyle="1" w:styleId="Callout">
    <w:name w:val="Callout"/>
    <w:pPr>
      <w:spacing w:after="40"/>
    </w:pPr>
    <w:rPr>
      <w:rFonts w:ascii="Aptos" w:hAnsi="Aptos"/>
      <w:b w:val="0"/>
      <w:color w:val="202124"/>
      <w:sz w:val="17"/>
    </w:rPr>
  </w:style>
  <w:style w:type="paragraph" w:customStyle="1" w:styleId="Code">
    <w:name w:val="Code"/>
    <w:pPr>
      <w:spacing w:after="40"/>
    </w:pPr>
    <w:rPr>
      <w:rFonts w:ascii="Aptos Mono" w:hAnsi="Aptos Mono"/>
      <w:b w:val="0"/>
      <w:color w:val="202124"/>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04 - Data Engineering Pipelines</dc:title>
  <dc:subject>Enterprise Google Cloud Data Platform Blueprint</dc:subject>
  <dc:creator>Enterprise Data Platform Architecture</dc:creator>
  <cp:keywords>Google Cloud, Dataflow, Apache Beam, Spark, Dataform, BigQuery, Airflow, Pub/Sub, Datastream, data engineering</cp:keywords>
  <dc:description>Architecture Baseline 1.0</dc:description>
  <cp:lastModifiedBy/>
  <cp:revision>1</cp:revision>
  <dcterms:created xsi:type="dcterms:W3CDTF">2013-12-23T23:15:00Z</dcterms:created>
  <dcterms:modified xsi:type="dcterms:W3CDTF">2013-12-23T23:15:00Z</dcterms:modified>
  <cp:category/>
</cp:coreProperties>
</file>