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28"/>
        </w:rPr>
        <w:t>Volume 05 - Enterprise Data Mesh</w:t>
      </w:r>
    </w:p>
    <w:p>
      <w:pPr>
        <w:jc w:val="center"/>
      </w:pPr>
      <w:r>
        <w:rPr>
          <w:b/>
          <w:color w:val="17365D"/>
          <w:sz w:val="52"/>
        </w:rPr>
        <w:t>Architecture Decision Record Register</w:t>
      </w:r>
    </w:p>
    <w:p>
      <w:pPr>
        <w:jc w:val="center"/>
      </w:pPr>
      <w:r>
        <w:rPr>
          <w:i/>
        </w:rPr>
        <w:t>Fifteen reusable decision records extracted and expanded from the detailed Volume 05 document.</w:t>
      </w:r>
    </w:p>
    <w:p>
      <w:pPr>
        <w:pStyle w:val="Heading1"/>
      </w:pPr>
      <w:r>
        <w:t>ADR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ADR ID</w:t>
            </w:r>
          </w:p>
        </w:tc>
        <w:tc>
          <w:tcPr>
            <w:tcW w:type="dxa" w:w="2556"/>
            <w:shd w:fill="1F4E78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Decision title</w:t>
            </w:r>
          </w:p>
        </w:tc>
        <w:tc>
          <w:tcPr>
            <w:tcW w:type="dxa" w:w="2556"/>
            <w:shd w:fill="1F4E78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F4E78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Date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MESH-ADR-001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Adopt federated data mesh instead of centralized-only data delivery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MESH-ADR-002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Use domain-owned data products as the primary delivery unit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MESH-ADR-003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Use Knowledge Catalog as enterprise metadata and discovery plane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MESH-ADR-004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Use Analytics Hub for managed product sharing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MESH-ADR-005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Use BigQuery and BigLake as standard product interfaces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MESH-ADR-006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Mandate data contracts for certified 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MESH-ADR-007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Use policy tags, row policies, and masking for sensitive products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MESH-ADR-008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Require product-level SLOs and observability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MESH-ADR-009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Adopt domain project factory patterns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MESH-ADR-010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Use group-based access and avoid direct user grants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MESH-ADR-011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Implement certification before marketplace publication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MESH-ADR-012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Treat AI-ready products as a stricter certification class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MESH-ADR-013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Use chargeback and showback at product and domain level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MESH-ADR-014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Use versioned deprecation instead of breaking product changes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/>
                <w:sz w:val="16"/>
              </w:rPr>
              <w:t>MESH-ADR-015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Use domain stewards as certification evidence owners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</w:tbl>
    <w:p>
      <w:r>
        <w:br w:type="page"/>
      </w:r>
    </w:p>
    <w:p>
      <w:pPr>
        <w:pStyle w:val="Heading1"/>
      </w:pPr>
      <w:r>
        <w:t>MESH-ADR-001: Adopt federated data mesh instead of centralized-only data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Decision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Architecture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Enterprise Data Mesh</w:t>
            </w:r>
          </w:p>
        </w:tc>
      </w:tr>
    </w:tbl>
    <w:p>
      <w:pPr>
        <w:pStyle w:val="Heading2"/>
      </w:pPr>
      <w:r>
        <w:t>Problem</w:t>
      </w:r>
    </w:p>
    <w:p>
      <w:r>
        <w:t>Centralized data teams cannot scale product delivery across hundreds of domains.</w:t>
      </w:r>
    </w:p>
    <w:p>
      <w:pPr>
        <w:pStyle w:val="Heading2"/>
      </w:pPr>
      <w:r>
        <w:t>Context</w:t>
      </w:r>
    </w:p>
    <w:p>
      <w:r>
        <w:t>A Fortune 100 enterprise needs consistent platform controls while allowing business domains to deliver data products at their own pace. A centralized-only delivery organization becomes a queue and weakens business accountability.</w:t>
      </w:r>
    </w:p>
    <w:p>
      <w:pPr>
        <w:pStyle w:val="Heading2"/>
      </w:pPr>
      <w:r>
        <w:t>Decision drivers</w:t>
      </w:r>
    </w:p>
    <w:p>
      <w:pPr>
        <w:pStyle w:val="ListBullet"/>
      </w:pPr>
      <w:r>
        <w:t>Domain scalability</w:t>
      </w:r>
    </w:p>
    <w:p>
      <w:pPr>
        <w:pStyle w:val="ListBullet"/>
      </w:pPr>
      <w:r>
        <w:t>Business accountability</w:t>
      </w:r>
    </w:p>
    <w:p>
      <w:pPr>
        <w:pStyle w:val="ListBullet"/>
      </w:pPr>
      <w:r>
        <w:t>Standardized controls</w:t>
      </w:r>
    </w:p>
    <w:p>
      <w:pPr>
        <w:pStyle w:val="ListBullet"/>
      </w:pPr>
      <w:r>
        <w:t>Reduced delivery bottlenecks</w:t>
      </w:r>
    </w:p>
    <w:p>
      <w:pPr>
        <w:pStyle w:val="ListBullet"/>
      </w:pPr>
      <w:r>
        <w:t>Regulatory traceability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Centralized platform and delivery team only</w:t>
      </w:r>
    </w:p>
    <w:p>
      <w:pPr>
        <w:pStyle w:val="ListBullet"/>
      </w:pPr>
      <w:r>
        <w:t>Uncoordinated decentralized data marts</w:t>
      </w:r>
    </w:p>
    <w:p>
      <w:pPr>
        <w:pStyle w:val="ListBullet"/>
      </w:pPr>
      <w:r>
        <w:t>Federated data mesh with central platform capabilities</w:t>
      </w:r>
    </w:p>
    <w:p>
      <w:pPr>
        <w:pStyle w:val="Heading2"/>
      </w:pPr>
      <w:r>
        <w:t>Decision</w:t>
      </w:r>
    </w:p>
    <w:p>
      <w:r>
        <w:t>Adopt a federated data mesh with a central self-service platform and domain-owned data products.</w:t>
      </w:r>
    </w:p>
    <w:p>
      <w:pPr>
        <w:pStyle w:val="Heading2"/>
      </w:pPr>
      <w:r>
        <w:t>Rationale</w:t>
      </w:r>
    </w:p>
    <w:p>
      <w:r>
        <w:t>The model preserves enterprise guardrails while moving product accountability and delivery closer to business knowledge.</w:t>
      </w:r>
    </w:p>
    <w:p>
      <w:pPr>
        <w:pStyle w:val="Heading2"/>
      </w:pPr>
      <w:r>
        <w:t>Tradeoffs</w:t>
      </w:r>
    </w:p>
    <w:p>
      <w:r>
        <w:t>Requires stronger product ownership and governance automation.</w:t>
      </w:r>
    </w:p>
    <w:p>
      <w:pPr>
        <w:pStyle w:val="Heading2"/>
      </w:pPr>
      <w:r>
        <w:t>Risks</w:t>
      </w:r>
    </w:p>
    <w:p>
      <w:r>
        <w:t>Organizational adoption, inconsistent execution, or control gaps if automation is incomplete.</w:t>
      </w:r>
    </w:p>
    <w:p>
      <w:pPr>
        <w:pStyle w:val="Heading2"/>
      </w:pPr>
      <w:r>
        <w:t>Mitigations</w:t>
      </w:r>
    </w:p>
    <w:p>
      <w:pPr>
        <w:pStyle w:val="ListBullet"/>
      </w:pPr>
      <w:r>
        <w:t>Executive sponsorship</w:t>
      </w:r>
    </w:p>
    <w:p>
      <w:pPr>
        <w:pStyle w:val="ListBullet"/>
      </w:pPr>
      <w:r>
        <w:t>Domain KPIs</w:t>
      </w:r>
    </w:p>
    <w:p>
      <w:pPr>
        <w:pStyle w:val="ListBullet"/>
      </w:pPr>
      <w:r>
        <w:t>Automated policy gates</w:t>
      </w:r>
    </w:p>
    <w:p>
      <w:pPr>
        <w:pStyle w:val="ListBullet"/>
      </w:pPr>
      <w:r>
        <w:t>Progressive maturity model</w:t>
      </w:r>
    </w:p>
    <w:p>
      <w:pPr>
        <w:pStyle w:val="ListBullet"/>
      </w:pPr>
      <w:r>
        <w:t>Platform onboarding support</w:t>
      </w:r>
    </w:p>
    <w:p>
      <w:pPr>
        <w:pStyle w:val="Heading2"/>
      </w:pPr>
      <w:r>
        <w:t>Implementation implications</w:t>
      </w:r>
    </w:p>
    <w:p>
      <w:r>
        <w:t>Create a platform product team, establish domain onboarding, deploy project and data-product factories, and pilot two domains before broader rollout.</w:t>
      </w:r>
    </w:p>
    <w:p>
      <w:pPr>
        <w:pStyle w:val="Heading2"/>
      </w:pPr>
      <w:r>
        <w:t>Cost implications</w:t>
      </w:r>
    </w:p>
    <w:p>
      <w:r>
        <w:t>Initial platform and enablement investment increases, while long-term central delivery bottlenecks and duplicate pipelines should decrease.</w:t>
      </w:r>
    </w:p>
    <w:p>
      <w:pPr>
        <w:pStyle w:val="Heading2"/>
      </w:pPr>
      <w:r>
        <w:t>Security implications</w:t>
      </w:r>
    </w:p>
    <w:p>
      <w:r>
        <w:t>Central security controls remain non-negotiable; domains receive delegated permissions only through approved patterns.</w:t>
      </w:r>
    </w:p>
    <w:p>
      <w:pPr>
        <w:pStyle w:val="Heading2"/>
      </w:pPr>
      <w:r>
        <w:t>Operational implications</w:t>
      </w:r>
    </w:p>
    <w:p>
      <w:r>
        <w:t>Certified products require named support ownership, SLOs, dashboards, runbooks, and escalation paths.</w:t>
      </w:r>
    </w:p>
    <w:p>
      <w:pPr>
        <w:pStyle w:val="Heading2"/>
      </w:pPr>
      <w:r>
        <w:t>Review trigger</w:t>
      </w:r>
    </w:p>
    <w:p>
      <w:r>
        <w:t>Annual review or material change to Google Cloud capabilities, regulation, or enterprise operating model.</w:t>
      </w:r>
    </w:p>
    <w:p>
      <w:r>
        <w:br w:type="page"/>
      </w:r>
    </w:p>
    <w:p>
      <w:pPr>
        <w:pStyle w:val="Heading1"/>
      </w:pPr>
      <w:r>
        <w:t>MESH-ADR-002: Use domain-owned data products as the primary delivery unit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Decision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Architecture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Enterprise Data Mesh</w:t>
            </w:r>
          </w:p>
        </w:tc>
      </w:tr>
    </w:tbl>
    <w:p>
      <w:pPr>
        <w:pStyle w:val="Heading2"/>
      </w:pPr>
      <w:r>
        <w:t>Problem</w:t>
      </w:r>
    </w:p>
    <w:p>
      <w:r>
        <w:t>Datasets without product commitments are hard to trust or reuse.</w:t>
      </w:r>
    </w:p>
    <w:p>
      <w:pPr>
        <w:pStyle w:val="Heading2"/>
      </w:pPr>
      <w:r>
        <w:t>Context</w:t>
      </w:r>
    </w:p>
    <w:p>
      <w:r>
        <w:t>The enterprise has many technically accessible datasets but inconsistent ownership, semantics, quality, and support commitments.</w:t>
      </w:r>
    </w:p>
    <w:p>
      <w:pPr>
        <w:pStyle w:val="Heading2"/>
      </w:pPr>
      <w:r>
        <w:t>Decision drivers</w:t>
      </w:r>
    </w:p>
    <w:p>
      <w:pPr>
        <w:pStyle w:val="ListBullet"/>
      </w:pPr>
      <w:r>
        <w:t>Trust</w:t>
      </w:r>
    </w:p>
    <w:p>
      <w:pPr>
        <w:pStyle w:val="ListBullet"/>
      </w:pPr>
      <w:r>
        <w:t>Reusability</w:t>
      </w:r>
    </w:p>
    <w:p>
      <w:pPr>
        <w:pStyle w:val="ListBullet"/>
      </w:pPr>
      <w:r>
        <w:t>Accountability</w:t>
      </w:r>
    </w:p>
    <w:p>
      <w:pPr>
        <w:pStyle w:val="ListBullet"/>
      </w:pPr>
      <w:r>
        <w:t>Consumer experience</w:t>
      </w:r>
    </w:p>
    <w:p>
      <w:pPr>
        <w:pStyle w:val="ListBullet"/>
      </w:pPr>
      <w:r>
        <w:t>Measurable service levels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Dataset ownership only</w:t>
      </w:r>
    </w:p>
    <w:p>
      <w:pPr>
        <w:pStyle w:val="ListBullet"/>
      </w:pPr>
      <w:r>
        <w:t>Report or dashboard ownership</w:t>
      </w:r>
    </w:p>
    <w:p>
      <w:pPr>
        <w:pStyle w:val="ListBullet"/>
      </w:pPr>
      <w:r>
        <w:t>Domain-owned data product ownership</w:t>
      </w:r>
    </w:p>
    <w:p>
      <w:pPr>
        <w:pStyle w:val="Heading2"/>
      </w:pPr>
      <w:r>
        <w:t>Decision</w:t>
      </w:r>
    </w:p>
    <w:p>
      <w:r>
        <w:t>Certified data products become the standard unit of enterprise data consumption.</w:t>
      </w:r>
    </w:p>
    <w:p>
      <w:pPr>
        <w:pStyle w:val="Heading2"/>
      </w:pPr>
      <w:r>
        <w:t>Rationale</w:t>
      </w:r>
    </w:p>
    <w:p>
      <w:r>
        <w:t>A product definition combines data, interface, documentation, quality, access, support, and lifecycle commitments.</w:t>
      </w:r>
    </w:p>
    <w:p>
      <w:pPr>
        <w:pStyle w:val="Heading2"/>
      </w:pPr>
      <w:r>
        <w:t>Tradeoffs</w:t>
      </w:r>
    </w:p>
    <w:p>
      <w:r>
        <w:t>Adds metadata, quality, support, and SLO obligations.</w:t>
      </w:r>
    </w:p>
    <w:p>
      <w:pPr>
        <w:pStyle w:val="Heading2"/>
      </w:pPr>
      <w:r>
        <w:t>Risks</w:t>
      </w:r>
    </w:p>
    <w:p>
      <w:r>
        <w:t>Teams may rename datasets as products without assuming product responsibilities.</w:t>
      </w:r>
    </w:p>
    <w:p>
      <w:pPr>
        <w:pStyle w:val="Heading2"/>
      </w:pPr>
      <w:r>
        <w:t>Mitigations</w:t>
      </w:r>
    </w:p>
    <w:p>
      <w:pPr>
        <w:pStyle w:val="ListBullet"/>
      </w:pPr>
      <w:r>
        <w:t>Certification checklist</w:t>
      </w:r>
    </w:p>
    <w:p>
      <w:pPr>
        <w:pStyle w:val="ListBullet"/>
      </w:pPr>
      <w:r>
        <w:t>Product templates</w:t>
      </w:r>
    </w:p>
    <w:p>
      <w:pPr>
        <w:pStyle w:val="ListBullet"/>
      </w:pPr>
      <w:r>
        <w:t>Product owner training</w:t>
      </w:r>
    </w:p>
    <w:p>
      <w:pPr>
        <w:pStyle w:val="ListBullet"/>
      </w:pPr>
      <w:r>
        <w:t>Marketplace publication gates</w:t>
      </w:r>
    </w:p>
    <w:p>
      <w:pPr>
        <w:pStyle w:val="Heading2"/>
      </w:pPr>
      <w:r>
        <w:t>Implementation implications</w:t>
      </w:r>
    </w:p>
    <w:p>
      <w:r>
        <w:t>Create a product descriptor, contract template, SLO template, ownership model, and certification workflow integrated with CI/CD.</w:t>
      </w:r>
    </w:p>
    <w:p>
      <w:pPr>
        <w:pStyle w:val="Heading2"/>
      </w:pPr>
      <w:r>
        <w:t>Cost implications</w:t>
      </w:r>
    </w:p>
    <w:p>
      <w:r>
        <w:t>Product management adds operational cost but reduces duplicated discovery, reconciliation, and downstream repair work.</w:t>
      </w:r>
    </w:p>
    <w:p>
      <w:pPr>
        <w:pStyle w:val="Heading2"/>
      </w:pPr>
      <w:r>
        <w:t>Security implications</w:t>
      </w:r>
    </w:p>
    <w:p>
      <w:r>
        <w:t>Each product carries classification, permitted uses, access groups, and policy enforcement requirements.</w:t>
      </w:r>
    </w:p>
    <w:p>
      <w:pPr>
        <w:pStyle w:val="Heading2"/>
      </w:pPr>
      <w:r>
        <w:t>Operational implications</w:t>
      </w:r>
    </w:p>
    <w:p>
      <w:r>
        <w:t>Product owners and technical custodians jointly own incident response and lifecycle management.</w:t>
      </w:r>
    </w:p>
    <w:p>
      <w:pPr>
        <w:pStyle w:val="Heading2"/>
      </w:pPr>
      <w:r>
        <w:t>Review trigger</w:t>
      </w:r>
    </w:p>
    <w:p>
      <w:r>
        <w:t>Annual review or material change to data-product operating standards.</w:t>
      </w:r>
    </w:p>
    <w:p>
      <w:r>
        <w:br w:type="page"/>
      </w:r>
    </w:p>
    <w:p>
      <w:pPr>
        <w:pStyle w:val="Heading1"/>
      </w:pPr>
      <w:r>
        <w:t>MESH-ADR-003: Use Knowledge Catalog as enterprise metadata and discovery plane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Decision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Architecture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Enterprise Data Mesh</w:t>
            </w:r>
          </w:p>
        </w:tc>
      </w:tr>
    </w:tbl>
    <w:p>
      <w:pPr>
        <w:pStyle w:val="Heading2"/>
      </w:pPr>
      <w:r>
        <w:t>Problem</w:t>
      </w:r>
    </w:p>
    <w:p>
      <w:r>
        <w:t>Consumers need a single context layer for products and governance.</w:t>
      </w:r>
    </w:p>
    <w:p>
      <w:pPr>
        <w:pStyle w:val="Heading2"/>
      </w:pPr>
      <w:r>
        <w:t>Context</w:t>
      </w:r>
    </w:p>
    <w:p>
      <w:r>
        <w:t>Metadata is fragmented across engineering tools, spreadsheets, and team-specific documentation, preventing dependable discovery and governance evidence.</w:t>
      </w:r>
    </w:p>
    <w:p>
      <w:pPr>
        <w:pStyle w:val="Heading2"/>
      </w:pPr>
      <w:r>
        <w:t>Decision drivers</w:t>
      </w:r>
    </w:p>
    <w:p>
      <w:pPr>
        <w:pStyle w:val="ListBullet"/>
      </w:pPr>
      <w:r>
        <w:t>Enterprise discovery</w:t>
      </w:r>
    </w:p>
    <w:p>
      <w:pPr>
        <w:pStyle w:val="ListBullet"/>
      </w:pPr>
      <w:r>
        <w:t>Metadata consistency</w:t>
      </w:r>
    </w:p>
    <w:p>
      <w:pPr>
        <w:pStyle w:val="ListBullet"/>
      </w:pPr>
      <w:r>
        <w:t>Lineage</w:t>
      </w:r>
    </w:p>
    <w:p>
      <w:pPr>
        <w:pStyle w:val="ListBullet"/>
      </w:pPr>
      <w:r>
        <w:t>Governance evidence</w:t>
      </w:r>
    </w:p>
    <w:p>
      <w:pPr>
        <w:pStyle w:val="ListBullet"/>
      </w:pPr>
      <w:r>
        <w:t>AI-ready context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Spreadsheet inventory</w:t>
      </w:r>
    </w:p>
    <w:p>
      <w:pPr>
        <w:pStyle w:val="ListBullet"/>
      </w:pPr>
      <w:r>
        <w:t>Third-party catalog as primary system</w:t>
      </w:r>
    </w:p>
    <w:p>
      <w:pPr>
        <w:pStyle w:val="ListBullet"/>
      </w:pPr>
      <w:r>
        <w:t>Knowledge Catalog as Google Cloud-native governance plane</w:t>
      </w:r>
    </w:p>
    <w:p>
      <w:pPr>
        <w:pStyle w:val="Heading2"/>
      </w:pPr>
      <w:r>
        <w:t>Decision</w:t>
      </w:r>
    </w:p>
    <w:p>
      <w:r>
        <w:t>Use Knowledge Catalog as the Google Cloud-native catalog and governance context layer.</w:t>
      </w:r>
    </w:p>
    <w:p>
      <w:pPr>
        <w:pStyle w:val="Heading2"/>
      </w:pPr>
      <w:r>
        <w:t>Rationale</w:t>
      </w:r>
    </w:p>
    <w:p>
      <w:r>
        <w:t>It provides the default metadata plane for Google Cloud data assets and can anchor product discovery, classifications, glossary terms, and certification evidence.</w:t>
      </w:r>
    </w:p>
    <w:p>
      <w:pPr>
        <w:pStyle w:val="Heading2"/>
      </w:pPr>
      <w:r>
        <w:t>Tradeoffs</w:t>
      </w:r>
    </w:p>
    <w:p>
      <w:r>
        <w:t>Requires integration and metadata-completeness discipline.</w:t>
      </w:r>
    </w:p>
    <w:p>
      <w:pPr>
        <w:pStyle w:val="Heading2"/>
      </w:pPr>
      <w:r>
        <w:t>Risks</w:t>
      </w:r>
    </w:p>
    <w:p>
      <w:r>
        <w:t>Incomplete metadata could make the catalog untrusted.</w:t>
      </w:r>
    </w:p>
    <w:p>
      <w:pPr>
        <w:pStyle w:val="Heading2"/>
      </w:pPr>
      <w:r>
        <w:t>Mitigations</w:t>
      </w:r>
    </w:p>
    <w:p>
      <w:pPr>
        <w:pStyle w:val="ListBullet"/>
      </w:pPr>
      <w:r>
        <w:t>CI/CD metadata sync</w:t>
      </w:r>
    </w:p>
    <w:p>
      <w:pPr>
        <w:pStyle w:val="ListBullet"/>
      </w:pPr>
      <w:r>
        <w:t>Mandatory ownership fields</w:t>
      </w:r>
    </w:p>
    <w:p>
      <w:pPr>
        <w:pStyle w:val="ListBullet"/>
      </w:pPr>
      <w:r>
        <w:t>Steward scorecards</w:t>
      </w:r>
    </w:p>
    <w:p>
      <w:pPr>
        <w:pStyle w:val="ListBullet"/>
      </w:pPr>
      <w:r>
        <w:t>Certification gates</w:t>
      </w:r>
    </w:p>
    <w:p>
      <w:pPr>
        <w:pStyle w:val="Heading2"/>
      </w:pPr>
      <w:r>
        <w:t>Implementation implications</w:t>
      </w:r>
    </w:p>
    <w:p>
      <w:r>
        <w:t>Define mandatory metadata aspects, integrate product pipelines, register products, and publish glossary and classification standards.</w:t>
      </w:r>
    </w:p>
    <w:p>
      <w:pPr>
        <w:pStyle w:val="Heading2"/>
      </w:pPr>
      <w:r>
        <w:t>Cost implications</w:t>
      </w:r>
    </w:p>
    <w:p>
      <w:r>
        <w:t>Scanning, metadata processing, integration, and stewardship have ongoing costs that must be budgeted.</w:t>
      </w:r>
    </w:p>
    <w:p>
      <w:pPr>
        <w:pStyle w:val="Heading2"/>
      </w:pPr>
      <w:r>
        <w:t>Security implications</w:t>
      </w:r>
    </w:p>
    <w:p>
      <w:r>
        <w:t>Catalog visibility must not expose restricted metadata or reveal sensitive asset existence to unauthorized users.</w:t>
      </w:r>
    </w:p>
    <w:p>
      <w:pPr>
        <w:pStyle w:val="Heading2"/>
      </w:pPr>
      <w:r>
        <w:t>Operational implications</w:t>
      </w:r>
    </w:p>
    <w:p>
      <w:r>
        <w:t>Platform team operates integrations; domain stewards maintain business metadata.</w:t>
      </w:r>
    </w:p>
    <w:p>
      <w:pPr>
        <w:pStyle w:val="Heading2"/>
      </w:pPr>
      <w:r>
        <w:t>Review trigger</w:t>
      </w:r>
    </w:p>
    <w:p>
      <w:r>
        <w:t>Annual review or significant change to Google Cloud metadata services.</w:t>
      </w:r>
    </w:p>
    <w:p>
      <w:r>
        <w:br w:type="page"/>
      </w:r>
    </w:p>
    <w:p>
      <w:pPr>
        <w:pStyle w:val="Heading1"/>
      </w:pPr>
      <w:r>
        <w:t>MESH-ADR-004: Use Analytics Hub for managed product sharing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Decision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Architecture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Enterprise Data Mesh</w:t>
            </w:r>
          </w:p>
        </w:tc>
      </w:tr>
    </w:tbl>
    <w:p>
      <w:pPr>
        <w:pStyle w:val="Heading2"/>
      </w:pPr>
      <w:r>
        <w:t>Problem</w:t>
      </w:r>
    </w:p>
    <w:p>
      <w:r>
        <w:t>Consumers need auditable subscription patterns.</w:t>
      </w:r>
    </w:p>
    <w:p>
      <w:pPr>
        <w:pStyle w:val="Heading2"/>
      </w:pPr>
      <w:r>
        <w:t>Context</w:t>
      </w:r>
    </w:p>
    <w:p>
      <w:r>
        <w:t>Direct dataset IAM and unmanaged copies make ownership, consumer inventory, versioning, and revocation difficult to govern.</w:t>
      </w:r>
    </w:p>
    <w:p>
      <w:pPr>
        <w:pStyle w:val="Heading2"/>
      </w:pPr>
      <w:r>
        <w:t>Decision drivers</w:t>
      </w:r>
    </w:p>
    <w:p>
      <w:pPr>
        <w:pStyle w:val="ListBullet"/>
      </w:pPr>
      <w:r>
        <w:t>Auditable sharing</w:t>
      </w:r>
    </w:p>
    <w:p>
      <w:pPr>
        <w:pStyle w:val="ListBullet"/>
      </w:pPr>
      <w:r>
        <w:t>Producer-consumer separation</w:t>
      </w:r>
    </w:p>
    <w:p>
      <w:pPr>
        <w:pStyle w:val="ListBullet"/>
      </w:pPr>
      <w:r>
        <w:t>Discoverability</w:t>
      </w:r>
    </w:p>
    <w:p>
      <w:pPr>
        <w:pStyle w:val="ListBullet"/>
      </w:pPr>
      <w:r>
        <w:t>Controlled subscription</w:t>
      </w:r>
    </w:p>
    <w:p>
      <w:pPr>
        <w:pStyle w:val="ListBullet"/>
      </w:pPr>
      <w:r>
        <w:t>Reduced copying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Direct dataset IAM</w:t>
      </w:r>
    </w:p>
    <w:p>
      <w:pPr>
        <w:pStyle w:val="ListBullet"/>
      </w:pPr>
      <w:r>
        <w:t>Manual data copies</w:t>
      </w:r>
    </w:p>
    <w:p>
      <w:pPr>
        <w:pStyle w:val="ListBullet"/>
      </w:pPr>
      <w:r>
        <w:t>Analytics Hub exchanges and listings</w:t>
      </w:r>
    </w:p>
    <w:p>
      <w:pPr>
        <w:pStyle w:val="Heading2"/>
      </w:pPr>
      <w:r>
        <w:t>Decision</w:t>
      </w:r>
    </w:p>
    <w:p>
      <w:r>
        <w:t>Publish certified products through Analytics Hub exchanges and listings where appropriate.</w:t>
      </w:r>
    </w:p>
    <w:p>
      <w:pPr>
        <w:pStyle w:val="Heading2"/>
      </w:pPr>
      <w:r>
        <w:t>Rationale</w:t>
      </w:r>
    </w:p>
    <w:p>
      <w:r>
        <w:t>Managed listings formalize producer-consumer relationships and reduce broad direct grants.</w:t>
      </w:r>
    </w:p>
    <w:p>
      <w:pPr>
        <w:pStyle w:val="Heading2"/>
      </w:pPr>
      <w:r>
        <w:t>Tradeoffs</w:t>
      </w:r>
    </w:p>
    <w:p>
      <w:r>
        <w:t>Requires a marketplace operating model.</w:t>
      </w:r>
    </w:p>
    <w:p>
      <w:pPr>
        <w:pStyle w:val="Heading2"/>
      </w:pPr>
      <w:r>
        <w:t>Risks</w:t>
      </w:r>
    </w:p>
    <w:p>
      <w:r>
        <w:t>Listings may be published without adequate consumer-use controls.</w:t>
      </w:r>
    </w:p>
    <w:p>
      <w:pPr>
        <w:pStyle w:val="Heading2"/>
      </w:pPr>
      <w:r>
        <w:t>Mitigations</w:t>
      </w:r>
    </w:p>
    <w:p>
      <w:pPr>
        <w:pStyle w:val="ListBullet"/>
      </w:pPr>
      <w:r>
        <w:t>Exchange types</w:t>
      </w:r>
    </w:p>
    <w:p>
      <w:pPr>
        <w:pStyle w:val="ListBullet"/>
      </w:pPr>
      <w:r>
        <w:t>Publication standards</w:t>
      </w:r>
    </w:p>
    <w:p>
      <w:pPr>
        <w:pStyle w:val="ListBullet"/>
      </w:pPr>
      <w:r>
        <w:t>Legal and security approval for external sharing</w:t>
      </w:r>
    </w:p>
    <w:p>
      <w:pPr>
        <w:pStyle w:val="ListBullet"/>
      </w:pPr>
      <w:r>
        <w:t>Subscription recertification</w:t>
      </w:r>
    </w:p>
    <w:p>
      <w:pPr>
        <w:pStyle w:val="Heading2"/>
      </w:pPr>
      <w:r>
        <w:t>Implementation implications</w:t>
      </w:r>
    </w:p>
    <w:p>
      <w:r>
        <w:t>Define internal, restricted, partner, and external exchange patterns with owner, steward, and security approvals.</w:t>
      </w:r>
    </w:p>
    <w:p>
      <w:pPr>
        <w:pStyle w:val="Heading2"/>
      </w:pPr>
      <w:r>
        <w:t>Cost implications</w:t>
      </w:r>
    </w:p>
    <w:p>
      <w:r>
        <w:t>Sharing can reduce duplicate storage but may increase producer query and support costs; attribution rules are required.</w:t>
      </w:r>
    </w:p>
    <w:p>
      <w:pPr>
        <w:pStyle w:val="Heading2"/>
      </w:pPr>
      <w:r>
        <w:t>Security implications</w:t>
      </w:r>
    </w:p>
    <w:p>
      <w:r>
        <w:t>Use approved exchanges, subscriber allowlists, row/column controls, and contractual restrictions.</w:t>
      </w:r>
    </w:p>
    <w:p>
      <w:pPr>
        <w:pStyle w:val="Heading2"/>
      </w:pPr>
      <w:r>
        <w:t>Operational implications</w:t>
      </w:r>
    </w:p>
    <w:p>
      <w:r>
        <w:t>Marketplace operations maintain exchange taxonomy, publication workflow, and subscription reviews.</w:t>
      </w:r>
    </w:p>
    <w:p>
      <w:pPr>
        <w:pStyle w:val="Heading2"/>
      </w:pPr>
      <w:r>
        <w:t>Review trigger</w:t>
      </w:r>
    </w:p>
    <w:p>
      <w:r>
        <w:t>Annual review or material change to Analytics Hub capabilities.</w:t>
      </w:r>
    </w:p>
    <w:p>
      <w:r>
        <w:br w:type="page"/>
      </w:r>
    </w:p>
    <w:p>
      <w:pPr>
        <w:pStyle w:val="Heading1"/>
      </w:pPr>
      <w:r>
        <w:t>MESH-ADR-005: Use BigQuery and BigLake as standard product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Decision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Architecture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Enterprise Data Mesh</w:t>
            </w:r>
          </w:p>
        </w:tc>
      </w:tr>
    </w:tbl>
    <w:p>
      <w:pPr>
        <w:pStyle w:val="Heading2"/>
      </w:pPr>
      <w:r>
        <w:t>Problem</w:t>
      </w:r>
    </w:p>
    <w:p>
      <w:r>
        <w:t>Products must support warehouse and lakehouse patterns.</w:t>
      </w:r>
    </w:p>
    <w:p>
      <w:pPr>
        <w:pStyle w:val="Heading2"/>
      </w:pPr>
      <w:r>
        <w:t>Context</w:t>
      </w:r>
    </w:p>
    <w:p>
      <w:r>
        <w:t>The enterprise needs high-performance SQL products and governed access to open-format data without proliferating incompatible serving technologies.</w:t>
      </w:r>
    </w:p>
    <w:p>
      <w:pPr>
        <w:pStyle w:val="Heading2"/>
      </w:pPr>
      <w:r>
        <w:t>Decision drivers</w:t>
      </w:r>
    </w:p>
    <w:p>
      <w:pPr>
        <w:pStyle w:val="ListBullet"/>
      </w:pPr>
      <w:r>
        <w:t>Standard interfaces</w:t>
      </w:r>
    </w:p>
    <w:p>
      <w:pPr>
        <w:pStyle w:val="ListBullet"/>
      </w:pPr>
      <w:r>
        <w:t>SQL performance</w:t>
      </w:r>
    </w:p>
    <w:p>
      <w:pPr>
        <w:pStyle w:val="ListBullet"/>
      </w:pPr>
      <w:r>
        <w:t>Open formats</w:t>
      </w:r>
    </w:p>
    <w:p>
      <w:pPr>
        <w:pStyle w:val="ListBullet"/>
      </w:pPr>
      <w:r>
        <w:t>Fine-grained access</w:t>
      </w:r>
    </w:p>
    <w:p>
      <w:pPr>
        <w:pStyle w:val="ListBullet"/>
      </w:pPr>
      <w:r>
        <w:t>Interoperability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BigQuery only</w:t>
      </w:r>
    </w:p>
    <w:p>
      <w:pPr>
        <w:pStyle w:val="ListBullet"/>
      </w:pPr>
      <w:r>
        <w:t>Object storage only</w:t>
      </w:r>
    </w:p>
    <w:p>
      <w:pPr>
        <w:pStyle w:val="ListBullet"/>
      </w:pPr>
      <w:r>
        <w:t>Mixed unmanaged interfaces</w:t>
      </w:r>
    </w:p>
    <w:p>
      <w:pPr>
        <w:pStyle w:val="ListBullet"/>
      </w:pPr>
      <w:r>
        <w:t>BigQuery plus BigLake standards</w:t>
      </w:r>
    </w:p>
    <w:p>
      <w:pPr>
        <w:pStyle w:val="Heading2"/>
      </w:pPr>
      <w:r>
        <w:t>Decision</w:t>
      </w:r>
    </w:p>
    <w:p>
      <w:r>
        <w:t>Use BigQuery for curated analytical products and BigLake for governed open-format products.</w:t>
      </w:r>
    </w:p>
    <w:p>
      <w:pPr>
        <w:pStyle w:val="Heading2"/>
      </w:pPr>
      <w:r>
        <w:t>Rationale</w:t>
      </w:r>
    </w:p>
    <w:p>
      <w:r>
        <w:t>The combination supports warehouse and lakehouse consumption while retaining a common Google Cloud governance and access model.</w:t>
      </w:r>
    </w:p>
    <w:p>
      <w:pPr>
        <w:pStyle w:val="Heading2"/>
      </w:pPr>
      <w:r>
        <w:t>Tradeoffs</w:t>
      </w:r>
    </w:p>
    <w:p>
      <w:r>
        <w:t>Requires file-layout and interface-selection standards.</w:t>
      </w:r>
    </w:p>
    <w:p>
      <w:pPr>
        <w:pStyle w:val="Heading2"/>
      </w:pPr>
      <w:r>
        <w:t>Risks</w:t>
      </w:r>
    </w:p>
    <w:p>
      <w:r>
        <w:t>Domains may expose raw storage as a product without sufficient curation.</w:t>
      </w:r>
    </w:p>
    <w:p>
      <w:pPr>
        <w:pStyle w:val="Heading2"/>
      </w:pPr>
      <w:r>
        <w:t>Mitigations</w:t>
      </w:r>
    </w:p>
    <w:p>
      <w:pPr>
        <w:pStyle w:val="ListBullet"/>
      </w:pPr>
      <w:r>
        <w:t>Interface decision matrix</w:t>
      </w:r>
    </w:p>
    <w:p>
      <w:pPr>
        <w:pStyle w:val="ListBullet"/>
      </w:pPr>
      <w:r>
        <w:t>File compaction standards</w:t>
      </w:r>
    </w:p>
    <w:p>
      <w:pPr>
        <w:pStyle w:val="ListBullet"/>
      </w:pPr>
      <w:r>
        <w:t>Certification tests</w:t>
      </w:r>
    </w:p>
    <w:p>
      <w:pPr>
        <w:pStyle w:val="ListBullet"/>
      </w:pPr>
      <w:r>
        <w:t>Query performance thresholds</w:t>
      </w:r>
    </w:p>
    <w:p>
      <w:pPr>
        <w:pStyle w:val="Heading2"/>
      </w:pPr>
      <w:r>
        <w:t>Implementation implications</w:t>
      </w:r>
    </w:p>
    <w:p>
      <w:r>
        <w:t>Publish standard Terraform modules, dataset policies, BigLake connection patterns, and file-format guidelines.</w:t>
      </w:r>
    </w:p>
    <w:p>
      <w:pPr>
        <w:pStyle w:val="Heading2"/>
      </w:pPr>
      <w:r>
        <w:t>Cost implications</w:t>
      </w:r>
    </w:p>
    <w:p>
      <w:r>
        <w:t>BigQuery compute and storage, BigLake metadata/query costs, and cross-region transfer must be measured by product.</w:t>
      </w:r>
    </w:p>
    <w:p>
      <w:pPr>
        <w:pStyle w:val="Heading2"/>
      </w:pPr>
      <w:r>
        <w:t>Security implications</w:t>
      </w:r>
    </w:p>
    <w:p>
      <w:r>
        <w:t>Use dataset IAM, policy tags, authorized views, and controlled connections rather than direct bucket grants.</w:t>
      </w:r>
    </w:p>
    <w:p>
      <w:pPr>
        <w:pStyle w:val="Heading2"/>
      </w:pPr>
      <w:r>
        <w:t>Operational implications</w:t>
      </w:r>
    </w:p>
    <w:p>
      <w:r>
        <w:t>Product teams monitor freshness, query performance, cost, and file health.</w:t>
      </w:r>
    </w:p>
    <w:p>
      <w:pPr>
        <w:pStyle w:val="Heading2"/>
      </w:pPr>
      <w:r>
        <w:t>Review trigger</w:t>
      </w:r>
    </w:p>
    <w:p>
      <w:r>
        <w:t>Annual review or material change to BigQuery or BigLake architecture.</w:t>
      </w:r>
    </w:p>
    <w:p>
      <w:r>
        <w:br w:type="page"/>
      </w:r>
    </w:p>
    <w:p>
      <w:pPr>
        <w:pStyle w:val="Heading1"/>
      </w:pPr>
      <w:r>
        <w:t>MESH-ADR-006: Mandate data contracts for certified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Decision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Architecture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Enterprise Data Mesh</w:t>
            </w:r>
          </w:p>
        </w:tc>
      </w:tr>
    </w:tbl>
    <w:p>
      <w:pPr>
        <w:pStyle w:val="Heading2"/>
      </w:pPr>
      <w:r>
        <w:t>Problem</w:t>
      </w:r>
    </w:p>
    <w:p>
      <w:r>
        <w:t>Consumers need predictable schema, semantics, and freshness.</w:t>
      </w:r>
    </w:p>
    <w:p>
      <w:pPr>
        <w:pStyle w:val="Heading2"/>
      </w:pPr>
      <w:r>
        <w:t>Context</w:t>
      </w:r>
    </w:p>
    <w:p>
      <w:r>
        <w:t>Unmanaged schema changes and undocumented semantics create downstream incidents and hidden coupling.</w:t>
      </w:r>
    </w:p>
    <w:p>
      <w:pPr>
        <w:pStyle w:val="Heading2"/>
      </w:pPr>
      <w:r>
        <w:t>Decision drivers</w:t>
      </w:r>
    </w:p>
    <w:p>
      <w:pPr>
        <w:pStyle w:val="ListBullet"/>
      </w:pPr>
      <w:r>
        <w:t>Interface stability</w:t>
      </w:r>
    </w:p>
    <w:p>
      <w:pPr>
        <w:pStyle w:val="ListBullet"/>
      </w:pPr>
      <w:r>
        <w:t>Consumer trust</w:t>
      </w:r>
    </w:p>
    <w:p>
      <w:pPr>
        <w:pStyle w:val="ListBullet"/>
      </w:pPr>
      <w:r>
        <w:t>Change management</w:t>
      </w:r>
    </w:p>
    <w:p>
      <w:pPr>
        <w:pStyle w:val="ListBullet"/>
      </w:pPr>
      <w:r>
        <w:t>Quality</w:t>
      </w:r>
    </w:p>
    <w:p>
      <w:pPr>
        <w:pStyle w:val="ListBullet"/>
      </w:pPr>
      <w:r>
        <w:t>Automation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Informal documentation</w:t>
      </w:r>
    </w:p>
    <w:p>
      <w:pPr>
        <w:pStyle w:val="ListBullet"/>
      </w:pPr>
      <w:r>
        <w:t>Schema-only contracts</w:t>
      </w:r>
    </w:p>
    <w:p>
      <w:pPr>
        <w:pStyle w:val="ListBullet"/>
      </w:pPr>
      <w:r>
        <w:t>Full data-product contracts</w:t>
      </w:r>
    </w:p>
    <w:p>
      <w:pPr>
        <w:pStyle w:val="Heading2"/>
      </w:pPr>
      <w:r>
        <w:t>Decision</w:t>
      </w:r>
    </w:p>
    <w:p>
      <w:r>
        <w:t>Full data contracts are mandatory for product certification.</w:t>
      </w:r>
    </w:p>
    <w:p>
      <w:pPr>
        <w:pStyle w:val="Heading2"/>
      </w:pPr>
      <w:r>
        <w:t>Rationale</w:t>
      </w:r>
    </w:p>
    <w:p>
      <w:r>
        <w:t>Contracts provide a testable agreement for schema, semantics, SLOs, classifications, ownership, and change policy.</w:t>
      </w:r>
    </w:p>
    <w:p>
      <w:pPr>
        <w:pStyle w:val="Heading2"/>
      </w:pPr>
      <w:r>
        <w:t>Tradeoffs</w:t>
      </w:r>
    </w:p>
    <w:p>
      <w:r>
        <w:t>Increases initial product effort.</w:t>
      </w:r>
    </w:p>
    <w:p>
      <w:pPr>
        <w:pStyle w:val="Heading2"/>
      </w:pPr>
      <w:r>
        <w:t>Risks</w:t>
      </w:r>
    </w:p>
    <w:p>
      <w:r>
        <w:t>Contracts may drift from deployed schemas.</w:t>
      </w:r>
    </w:p>
    <w:p>
      <w:pPr>
        <w:pStyle w:val="Heading2"/>
      </w:pPr>
      <w:r>
        <w:t>Mitigations</w:t>
      </w:r>
    </w:p>
    <w:p>
      <w:pPr>
        <w:pStyle w:val="ListBullet"/>
      </w:pPr>
      <w:r>
        <w:t>CI validation</w:t>
      </w:r>
    </w:p>
    <w:p>
      <w:pPr>
        <w:pStyle w:val="ListBullet"/>
      </w:pPr>
      <w:r>
        <w:t>Schema comparison</w:t>
      </w:r>
    </w:p>
    <w:p>
      <w:pPr>
        <w:pStyle w:val="ListBullet"/>
      </w:pPr>
      <w:r>
        <w:t>Contract repository</w:t>
      </w:r>
    </w:p>
    <w:p>
      <w:pPr>
        <w:pStyle w:val="ListBullet"/>
      </w:pPr>
      <w:r>
        <w:t>Release gates</w:t>
      </w:r>
    </w:p>
    <w:p>
      <w:pPr>
        <w:pStyle w:val="Heading2"/>
      </w:pPr>
      <w:r>
        <w:t>Implementation implications</w:t>
      </w:r>
    </w:p>
    <w:p>
      <w:r>
        <w:t>Provide YAML/JSON contract templates, schema registry integration, compatibility checks, and release approval workflow.</w:t>
      </w:r>
    </w:p>
    <w:p>
      <w:pPr>
        <w:pStyle w:val="Heading2"/>
      </w:pPr>
      <w:r>
        <w:t>Cost implications</w:t>
      </w:r>
    </w:p>
    <w:p>
      <w:r>
        <w:t>Additional engineering effort is offset by lower incident and rework costs.</w:t>
      </w:r>
    </w:p>
    <w:p>
      <w:pPr>
        <w:pStyle w:val="Heading2"/>
      </w:pPr>
      <w:r>
        <w:t>Security implications</w:t>
      </w:r>
    </w:p>
    <w:p>
      <w:r>
        <w:t>Contracts include classification, permitted use, retention, and privacy constraints.</w:t>
      </w:r>
    </w:p>
    <w:p>
      <w:pPr>
        <w:pStyle w:val="Heading2"/>
      </w:pPr>
      <w:r>
        <w:t>Operational implications</w:t>
      </w:r>
    </w:p>
    <w:p>
      <w:r>
        <w:t>Contract violations generate alerts and can block publication.</w:t>
      </w:r>
    </w:p>
    <w:p>
      <w:pPr>
        <w:pStyle w:val="Heading2"/>
      </w:pPr>
      <w:r>
        <w:t>Review trigger</w:t>
      </w:r>
    </w:p>
    <w:p>
      <w:r>
        <w:t>Annual review or material change to product contract standards.</w:t>
      </w:r>
    </w:p>
    <w:p>
      <w:r>
        <w:br w:type="page"/>
      </w:r>
    </w:p>
    <w:p>
      <w:pPr>
        <w:pStyle w:val="Heading1"/>
      </w:pPr>
      <w:r>
        <w:t>MESH-ADR-007: Use policy tags, row policies, and masking for sensitive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Decision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Architecture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Enterprise Data Mesh</w:t>
            </w:r>
          </w:p>
        </w:tc>
      </w:tr>
    </w:tbl>
    <w:p>
      <w:pPr>
        <w:pStyle w:val="Heading2"/>
      </w:pPr>
      <w:r>
        <w:t>Problem</w:t>
      </w:r>
    </w:p>
    <w:p>
      <w:r>
        <w:t>Sensitive products need fine-grained controls.</w:t>
      </w:r>
    </w:p>
    <w:p>
      <w:pPr>
        <w:pStyle w:val="Heading2"/>
      </w:pPr>
      <w:r>
        <w:t>Context</w:t>
      </w:r>
    </w:p>
    <w:p>
      <w:r>
        <w:t>Dataset-level access is too coarse for products containing mixed sensitivity, geography, or legal-use restrictions.</w:t>
      </w:r>
    </w:p>
    <w:p>
      <w:pPr>
        <w:pStyle w:val="Heading2"/>
      </w:pPr>
      <w:r>
        <w:t>Decision drivers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Privacy</w:t>
      </w:r>
    </w:p>
    <w:p>
      <w:pPr>
        <w:pStyle w:val="ListBullet"/>
      </w:pPr>
      <w:r>
        <w:t>Regulatory compliance</w:t>
      </w:r>
    </w:p>
    <w:p>
      <w:pPr>
        <w:pStyle w:val="ListBullet"/>
      </w:pPr>
      <w:r>
        <w:t>Reusable products</w:t>
      </w:r>
    </w:p>
    <w:p>
      <w:pPr>
        <w:pStyle w:val="ListBullet"/>
      </w:pPr>
      <w:r>
        <w:t>Reduced copying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Dataset-only IAM</w:t>
      </w:r>
    </w:p>
    <w:p>
      <w:pPr>
        <w:pStyle w:val="ListBullet"/>
      </w:pPr>
      <w:r>
        <w:t>Separate masked copies</w:t>
      </w:r>
    </w:p>
    <w:p>
      <w:pPr>
        <w:pStyle w:val="ListBullet"/>
      </w:pPr>
      <w:r>
        <w:t>Fine-grained policies with authorized interfaces</w:t>
      </w:r>
    </w:p>
    <w:p>
      <w:pPr>
        <w:pStyle w:val="Heading2"/>
      </w:pPr>
      <w:r>
        <w:t>Decision</w:t>
      </w:r>
    </w:p>
    <w:p>
      <w:r>
        <w:t>Use policy tags, row access policies, dynamic masking, and authorized interfaces for sensitive products.</w:t>
      </w:r>
    </w:p>
    <w:p>
      <w:pPr>
        <w:pStyle w:val="Heading2"/>
      </w:pPr>
      <w:r>
        <w:t>Rationale</w:t>
      </w:r>
    </w:p>
    <w:p>
      <w:r>
        <w:t>Fine-grained controls allow one governed product to support multiple authorized consumer populations.</w:t>
      </w:r>
    </w:p>
    <w:p>
      <w:pPr>
        <w:pStyle w:val="Heading2"/>
      </w:pPr>
      <w:r>
        <w:t>Tradeoffs</w:t>
      </w:r>
    </w:p>
    <w:p>
      <w:r>
        <w:t>Requires taxonomy and entitlement governance.</w:t>
      </w:r>
    </w:p>
    <w:p>
      <w:pPr>
        <w:pStyle w:val="Heading2"/>
      </w:pPr>
      <w:r>
        <w:t>Risks</w:t>
      </w:r>
    </w:p>
    <w:p>
      <w:r>
        <w:t>Misclassification or policy misconfiguration may expose sensitive data.</w:t>
      </w:r>
    </w:p>
    <w:p>
      <w:pPr>
        <w:pStyle w:val="Heading2"/>
      </w:pPr>
      <w:r>
        <w:t>Mitigations</w:t>
      </w:r>
    </w:p>
    <w:p>
      <w:pPr>
        <w:pStyle w:val="ListBullet"/>
      </w:pPr>
      <w:r>
        <w:t>Automated classification</w:t>
      </w:r>
    </w:p>
    <w:p>
      <w:pPr>
        <w:pStyle w:val="ListBullet"/>
      </w:pPr>
      <w:r>
        <w:t>Schema validation</w:t>
      </w:r>
    </w:p>
    <w:p>
      <w:pPr>
        <w:pStyle w:val="ListBullet"/>
      </w:pPr>
      <w:r>
        <w:t>Policy tests</w:t>
      </w:r>
    </w:p>
    <w:p>
      <w:pPr>
        <w:pStyle w:val="ListBullet"/>
      </w:pPr>
      <w:r>
        <w:t>Access reviews</w:t>
      </w:r>
    </w:p>
    <w:p>
      <w:pPr>
        <w:pStyle w:val="ListBullet"/>
      </w:pPr>
      <w:r>
        <w:t>Security approval</w:t>
      </w:r>
    </w:p>
    <w:p>
      <w:pPr>
        <w:pStyle w:val="Heading2"/>
      </w:pPr>
      <w:r>
        <w:t>Implementation implications</w:t>
      </w:r>
    </w:p>
    <w:p>
      <w:r>
        <w:t>Create enterprise taxonomies, mapping rules, test personas, and automated policy deployment.</w:t>
      </w:r>
    </w:p>
    <w:p>
      <w:pPr>
        <w:pStyle w:val="Heading2"/>
      </w:pPr>
      <w:r>
        <w:t>Cost implications</w:t>
      </w:r>
    </w:p>
    <w:p>
      <w:r>
        <w:t>Policy management adds governance overhead but reduces storage duplication and copy management.</w:t>
      </w:r>
    </w:p>
    <w:p>
      <w:pPr>
        <w:pStyle w:val="Heading2"/>
      </w:pPr>
      <w:r>
        <w:t>Security implications</w:t>
      </w:r>
    </w:p>
    <w:p>
      <w:r>
        <w:t>This is a primary control decision; controls must be validated with positive and negative access tests.</w:t>
      </w:r>
    </w:p>
    <w:p>
      <w:pPr>
        <w:pStyle w:val="Heading2"/>
      </w:pPr>
      <w:r>
        <w:t>Operational implications</w:t>
      </w:r>
    </w:p>
    <w:p>
      <w:r>
        <w:t>Security and domain teams jointly own access incidents and recertification.</w:t>
      </w:r>
    </w:p>
    <w:p>
      <w:pPr>
        <w:pStyle w:val="Heading2"/>
      </w:pPr>
      <w:r>
        <w:t>Review trigger</w:t>
      </w:r>
    </w:p>
    <w:p>
      <w:r>
        <w:t>Annual review or regulatory/control-model change.</w:t>
      </w:r>
    </w:p>
    <w:p>
      <w:r>
        <w:br w:type="page"/>
      </w:r>
    </w:p>
    <w:p>
      <w:pPr>
        <w:pStyle w:val="Heading1"/>
      </w:pPr>
      <w:r>
        <w:t>MESH-ADR-008: Require product-level SLOs and observability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Decision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Architecture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Enterprise Data Mesh</w:t>
            </w:r>
          </w:p>
        </w:tc>
      </w:tr>
    </w:tbl>
    <w:p>
      <w:pPr>
        <w:pStyle w:val="Heading2"/>
      </w:pPr>
      <w:r>
        <w:t>Problem</w:t>
      </w:r>
    </w:p>
    <w:p>
      <w:r>
        <w:t>Product trust depends on measurable operations.</w:t>
      </w:r>
    </w:p>
    <w:p>
      <w:pPr>
        <w:pStyle w:val="Heading2"/>
      </w:pPr>
      <w:r>
        <w:t>Context</w:t>
      </w:r>
    </w:p>
    <w:p>
      <w:r>
        <w:t>Platform availability alone does not prove that a particular product is fresh, complete, accurate, or available to consumers.</w:t>
      </w:r>
    </w:p>
    <w:p>
      <w:pPr>
        <w:pStyle w:val="Heading2"/>
      </w:pPr>
      <w:r>
        <w:t>Decision drivers</w:t>
      </w:r>
    </w:p>
    <w:p>
      <w:pPr>
        <w:pStyle w:val="ListBullet"/>
      </w:pPr>
      <w:r>
        <w:t>Trust</w:t>
      </w:r>
    </w:p>
    <w:p>
      <w:pPr>
        <w:pStyle w:val="ListBullet"/>
      </w:pPr>
      <w:r>
        <w:t>Operational accountability</w:t>
      </w:r>
    </w:p>
    <w:p>
      <w:pPr>
        <w:pStyle w:val="ListBullet"/>
      </w:pPr>
      <w:r>
        <w:t>Consumer transparency</w:t>
      </w:r>
    </w:p>
    <w:p>
      <w:pPr>
        <w:pStyle w:val="ListBullet"/>
      </w:pPr>
      <w:r>
        <w:t>Incident management</w:t>
      </w:r>
    </w:p>
    <w:p>
      <w:pPr>
        <w:pStyle w:val="ListBullet"/>
      </w:pPr>
      <w:r>
        <w:t>Capacity planning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Best-effort support</w:t>
      </w:r>
    </w:p>
    <w:p>
      <w:pPr>
        <w:pStyle w:val="ListBullet"/>
      </w:pPr>
      <w:r>
        <w:t>Platform-only SLOs</w:t>
      </w:r>
    </w:p>
    <w:p>
      <w:pPr>
        <w:pStyle w:val="ListBullet"/>
      </w:pPr>
      <w:r>
        <w:t>Product-specific SLOs</w:t>
      </w:r>
    </w:p>
    <w:p>
      <w:pPr>
        <w:pStyle w:val="Heading2"/>
      </w:pPr>
      <w:r>
        <w:t>Decision</w:t>
      </w:r>
    </w:p>
    <w:p>
      <w:r>
        <w:t>Each certified product has freshness, quality, availability, and support SLOs.</w:t>
      </w:r>
    </w:p>
    <w:p>
      <w:pPr>
        <w:pStyle w:val="Heading2"/>
      </w:pPr>
      <w:r>
        <w:t>Rationale</w:t>
      </w:r>
    </w:p>
    <w:p>
      <w:r>
        <w:t>Product-specific service objectives make ownership enforceable and allow consumers to select products based on reliability.</w:t>
      </w:r>
    </w:p>
    <w:p>
      <w:pPr>
        <w:pStyle w:val="Heading2"/>
      </w:pPr>
      <w:r>
        <w:t>Tradeoffs</w:t>
      </w:r>
    </w:p>
    <w:p>
      <w:r>
        <w:t>Requires monitoring cost and operational ownership.</w:t>
      </w:r>
    </w:p>
    <w:p>
      <w:pPr>
        <w:pStyle w:val="Heading2"/>
      </w:pPr>
      <w:r>
        <w:t>Risks</w:t>
      </w:r>
    </w:p>
    <w:p>
      <w:r>
        <w:t>Teams may define weak or non-actionable SLOs.</w:t>
      </w:r>
    </w:p>
    <w:p>
      <w:pPr>
        <w:pStyle w:val="Heading2"/>
      </w:pPr>
      <w:r>
        <w:t>Mitigations</w:t>
      </w:r>
    </w:p>
    <w:p>
      <w:pPr>
        <w:pStyle w:val="ListBullet"/>
      </w:pPr>
      <w:r>
        <w:t>Standard SLI catalogue</w:t>
      </w:r>
    </w:p>
    <w:p>
      <w:pPr>
        <w:pStyle w:val="ListBullet"/>
      </w:pPr>
      <w:r>
        <w:t>Tier-based defaults</w:t>
      </w:r>
    </w:p>
    <w:p>
      <w:pPr>
        <w:pStyle w:val="ListBullet"/>
      </w:pPr>
      <w:r>
        <w:t>Generated dashboards</w:t>
      </w:r>
    </w:p>
    <w:p>
      <w:pPr>
        <w:pStyle w:val="ListBullet"/>
      </w:pPr>
      <w:r>
        <w:t>Periodic SLO review</w:t>
      </w:r>
    </w:p>
    <w:p>
      <w:pPr>
        <w:pStyle w:val="Heading2"/>
      </w:pPr>
      <w:r>
        <w:t>Implementation implications</w:t>
      </w:r>
    </w:p>
    <w:p>
      <w:r>
        <w:t>Deploy standard metrics, dashboards, alert policies, product scorecards, and error-budget reporting.</w:t>
      </w:r>
    </w:p>
    <w:p>
      <w:pPr>
        <w:pStyle w:val="Heading2"/>
      </w:pPr>
      <w:r>
        <w:t>Cost implications</w:t>
      </w:r>
    </w:p>
    <w:p>
      <w:r>
        <w:t>Monitoring, logging, and support costs must be allocated to the product.</w:t>
      </w:r>
    </w:p>
    <w:p>
      <w:pPr>
        <w:pStyle w:val="Heading2"/>
      </w:pPr>
      <w:r>
        <w:t>Security implications</w:t>
      </w:r>
    </w:p>
    <w:p>
      <w:r>
        <w:t>Security-related SLOs include access-review completion and unauthorized-access alert response.</w:t>
      </w:r>
    </w:p>
    <w:p>
      <w:pPr>
        <w:pStyle w:val="Heading2"/>
      </w:pPr>
      <w:r>
        <w:t>Operational implications</w:t>
      </w:r>
    </w:p>
    <w:p>
      <w:r>
        <w:t>Product teams own alerts, runbooks, on-call routing, and post-incident review.</w:t>
      </w:r>
    </w:p>
    <w:p>
      <w:pPr>
        <w:pStyle w:val="Heading2"/>
      </w:pPr>
      <w:r>
        <w:t>Review trigger</w:t>
      </w:r>
    </w:p>
    <w:p>
      <w:r>
        <w:t>Quarterly SLO review and annual architecture review.</w:t>
      </w:r>
    </w:p>
    <w:p>
      <w:r>
        <w:br w:type="page"/>
      </w:r>
    </w:p>
    <w:p>
      <w:pPr>
        <w:pStyle w:val="Heading1"/>
      </w:pPr>
      <w:r>
        <w:t>MESH-ADR-009: Adopt domain project factory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Decision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Architecture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Enterprise Data Mesh</w:t>
            </w:r>
          </w:p>
        </w:tc>
      </w:tr>
    </w:tbl>
    <w:p>
      <w:pPr>
        <w:pStyle w:val="Heading2"/>
      </w:pPr>
      <w:r>
        <w:t>Problem</w:t>
      </w:r>
    </w:p>
    <w:p>
      <w:r>
        <w:t>Domain autonomy needs repeatable infrastructure.</w:t>
      </w:r>
    </w:p>
    <w:p>
      <w:pPr>
        <w:pStyle w:val="Heading2"/>
      </w:pPr>
      <w:r>
        <w:t>Context</w:t>
      </w:r>
    </w:p>
    <w:p>
      <w:r>
        <w:t>Manual project provisioning and shared monolithic projects create inconsistent controls and slow onboarding.</w:t>
      </w:r>
    </w:p>
    <w:p>
      <w:pPr>
        <w:pStyle w:val="Heading2"/>
      </w:pPr>
      <w:r>
        <w:t>Decision drivers</w:t>
      </w:r>
    </w:p>
    <w:p>
      <w:pPr>
        <w:pStyle w:val="ListBullet"/>
      </w:pPr>
      <w:r>
        <w:t>Repeatability</w:t>
      </w:r>
    </w:p>
    <w:p>
      <w:pPr>
        <w:pStyle w:val="ListBullet"/>
      </w:pPr>
      <w:r>
        <w:t>Isolation</w:t>
      </w:r>
    </w:p>
    <w:p>
      <w:pPr>
        <w:pStyle w:val="ListBullet"/>
      </w:pPr>
      <w:r>
        <w:t>Speed</w:t>
      </w:r>
    </w:p>
    <w:p>
      <w:pPr>
        <w:pStyle w:val="ListBullet"/>
      </w:pPr>
      <w:r>
        <w:t>Compliance</w:t>
      </w:r>
    </w:p>
    <w:p>
      <w:pPr>
        <w:pStyle w:val="ListBullet"/>
      </w:pPr>
      <w:r>
        <w:t>Scalability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Manual projects</w:t>
      </w:r>
    </w:p>
    <w:p>
      <w:pPr>
        <w:pStyle w:val="ListBullet"/>
      </w:pPr>
      <w:r>
        <w:t>Single central shared project</w:t>
      </w:r>
    </w:p>
    <w:p>
      <w:pPr>
        <w:pStyle w:val="ListBullet"/>
      </w:pPr>
      <w:r>
        <w:t>Terraform-based domain project factory</w:t>
      </w:r>
    </w:p>
    <w:p>
      <w:pPr>
        <w:pStyle w:val="Heading2"/>
      </w:pPr>
      <w:r>
        <w:t>Decision</w:t>
      </w:r>
    </w:p>
    <w:p>
      <w:r>
        <w:t>Provision standardized domain projects, datasets, identities, budgets, and monitoring through Terraform.</w:t>
      </w:r>
    </w:p>
    <w:p>
      <w:pPr>
        <w:pStyle w:val="Heading2"/>
      </w:pPr>
      <w:r>
        <w:t>Rationale</w:t>
      </w:r>
    </w:p>
    <w:p>
      <w:r>
        <w:t>A project factory turns the landing-zone and mesh guardrails into a repeatable self-service capability.</w:t>
      </w:r>
    </w:p>
    <w:p>
      <w:pPr>
        <w:pStyle w:val="Heading2"/>
      </w:pPr>
      <w:r>
        <w:t>Tradeoffs</w:t>
      </w:r>
    </w:p>
    <w:p>
      <w:r>
        <w:t>Requires initial and ongoing module investment.</w:t>
      </w:r>
    </w:p>
    <w:p>
      <w:pPr>
        <w:pStyle w:val="Heading2"/>
      </w:pPr>
      <w:r>
        <w:t>Risks</w:t>
      </w:r>
    </w:p>
    <w:p>
      <w:r>
        <w:t>Teams may bypass the factory for urgent delivery.</w:t>
      </w:r>
    </w:p>
    <w:p>
      <w:pPr>
        <w:pStyle w:val="Heading2"/>
      </w:pPr>
      <w:r>
        <w:t>Mitigations</w:t>
      </w:r>
    </w:p>
    <w:p>
      <w:pPr>
        <w:pStyle w:val="ListBullet"/>
      </w:pPr>
      <w:r>
        <w:t>Policy enforcement</w:t>
      </w:r>
    </w:p>
    <w:p>
      <w:pPr>
        <w:pStyle w:val="ListBullet"/>
      </w:pPr>
      <w:r>
        <w:t>Fast onboarding SLA</w:t>
      </w:r>
    </w:p>
    <w:p>
      <w:pPr>
        <w:pStyle w:val="ListBullet"/>
      </w:pPr>
      <w:r>
        <w:t>Exception workflow</w:t>
      </w:r>
    </w:p>
    <w:p>
      <w:pPr>
        <w:pStyle w:val="ListBullet"/>
      </w:pPr>
      <w:r>
        <w:t>Drift detection</w:t>
      </w:r>
    </w:p>
    <w:p>
      <w:pPr>
        <w:pStyle w:val="Heading2"/>
      </w:pPr>
      <w:r>
        <w:t>Implementation implications</w:t>
      </w:r>
    </w:p>
    <w:p>
      <w:r>
        <w:t>Create golden Terraform modules, request workflow, validation pipeline, and lifecycle management.</w:t>
      </w:r>
    </w:p>
    <w:p>
      <w:pPr>
        <w:pStyle w:val="Heading2"/>
      </w:pPr>
      <w:r>
        <w:t>Cost implications</w:t>
      </w:r>
    </w:p>
    <w:p>
      <w:r>
        <w:t>Factory investment reduces repeated engineering and audit effort over time.</w:t>
      </w:r>
    </w:p>
    <w:p>
      <w:pPr>
        <w:pStyle w:val="Heading2"/>
      </w:pPr>
      <w:r>
        <w:t>Security implications</w:t>
      </w:r>
    </w:p>
    <w:p>
      <w:r>
        <w:t>Factory modules enforce IAM, logging, KMS, perimeter, and network defaults.</w:t>
      </w:r>
    </w:p>
    <w:p>
      <w:pPr>
        <w:pStyle w:val="Heading2"/>
      </w:pPr>
      <w:r>
        <w:t>Operational implications</w:t>
      </w:r>
    </w:p>
    <w:p>
      <w:r>
        <w:t>Platform team owns modules and upgrades; domains own resources created within their approved boundary.</w:t>
      </w:r>
    </w:p>
    <w:p>
      <w:pPr>
        <w:pStyle w:val="Heading2"/>
      </w:pPr>
      <w:r>
        <w:t>Review trigger</w:t>
      </w:r>
    </w:p>
    <w:p>
      <w:r>
        <w:t>Semiannual module and architecture review.</w:t>
      </w:r>
    </w:p>
    <w:p>
      <w:r>
        <w:br w:type="page"/>
      </w:r>
    </w:p>
    <w:p>
      <w:pPr>
        <w:pStyle w:val="Heading1"/>
      </w:pPr>
      <w:r>
        <w:t>MESH-ADR-010: Use group-based access and avoid direct user grants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Decision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Architecture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Enterprise Data Mesh</w:t>
            </w:r>
          </w:p>
        </w:tc>
      </w:tr>
    </w:tbl>
    <w:p>
      <w:pPr>
        <w:pStyle w:val="Heading2"/>
      </w:pPr>
      <w:r>
        <w:t>Problem</w:t>
      </w:r>
    </w:p>
    <w:p>
      <w:r>
        <w:t>Auditability and lifecycle management require group-based control.</w:t>
      </w:r>
    </w:p>
    <w:p>
      <w:pPr>
        <w:pStyle w:val="Heading2"/>
      </w:pPr>
      <w:r>
        <w:t>Context</w:t>
      </w:r>
    </w:p>
    <w:p>
      <w:r>
        <w:t>Direct user grants are difficult to review, revoke, and associate with enterprise roles or consumer teams.</w:t>
      </w:r>
    </w:p>
    <w:p>
      <w:pPr>
        <w:pStyle w:val="Heading2"/>
      </w:pPr>
      <w:r>
        <w:t>Decision drivers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Joiner-mover-leaver control</w:t>
      </w:r>
    </w:p>
    <w:p>
      <w:pPr>
        <w:pStyle w:val="ListBullet"/>
      </w:pPr>
      <w:r>
        <w:t>Auditability</w:t>
      </w:r>
    </w:p>
    <w:p>
      <w:pPr>
        <w:pStyle w:val="ListBullet"/>
      </w:pPr>
      <w:r>
        <w:t>Scalability</w:t>
      </w:r>
    </w:p>
    <w:p>
      <w:pPr>
        <w:pStyle w:val="ListBullet"/>
      </w:pPr>
      <w:r>
        <w:t>Delegated administration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Direct user grants</w:t>
      </w:r>
    </w:p>
    <w:p>
      <w:pPr>
        <w:pStyle w:val="ListBullet"/>
      </w:pPr>
      <w:r>
        <w:t>Group-based grants</w:t>
      </w:r>
    </w:p>
    <w:p>
      <w:pPr>
        <w:pStyle w:val="ListBullet"/>
      </w:pPr>
      <w:r>
        <w:t>Dynamic entitlement service</w:t>
      </w:r>
    </w:p>
    <w:p>
      <w:pPr>
        <w:pStyle w:val="Heading2"/>
      </w:pPr>
      <w:r>
        <w:t>Decision</w:t>
      </w:r>
    </w:p>
    <w:p>
      <w:r>
        <w:t>Use enterprise groups and product-specific IAM bindings by default; prohibit direct user grants except approved break-glass cases.</w:t>
      </w:r>
    </w:p>
    <w:p>
      <w:pPr>
        <w:pStyle w:val="Heading2"/>
      </w:pPr>
      <w:r>
        <w:t>Rationale</w:t>
      </w:r>
    </w:p>
    <w:p>
      <w:r>
        <w:t>Groups align access with roles and teams and enable periodic recertification.</w:t>
      </w:r>
    </w:p>
    <w:p>
      <w:pPr>
        <w:pStyle w:val="Heading2"/>
      </w:pPr>
      <w:r>
        <w:t>Tradeoffs</w:t>
      </w:r>
    </w:p>
    <w:p>
      <w:r>
        <w:t>Group lifecycle must be actively managed.</w:t>
      </w:r>
    </w:p>
    <w:p>
      <w:pPr>
        <w:pStyle w:val="Heading2"/>
      </w:pPr>
      <w:r>
        <w:t>Risks</w:t>
      </w:r>
    </w:p>
    <w:p>
      <w:r>
        <w:t>Stale groups can retain excessive privileges.</w:t>
      </w:r>
    </w:p>
    <w:p>
      <w:pPr>
        <w:pStyle w:val="Heading2"/>
      </w:pPr>
      <w:r>
        <w:t>Mitigations</w:t>
      </w:r>
    </w:p>
    <w:p>
      <w:pPr>
        <w:pStyle w:val="ListBullet"/>
      </w:pPr>
      <w:r>
        <w:t>Access expiry</w:t>
      </w:r>
    </w:p>
    <w:p>
      <w:pPr>
        <w:pStyle w:val="ListBullet"/>
      </w:pPr>
      <w:r>
        <w:t>Owner recertification</w:t>
      </w:r>
    </w:p>
    <w:p>
      <w:pPr>
        <w:pStyle w:val="ListBullet"/>
      </w:pPr>
      <w:r>
        <w:t>Automated membership review</w:t>
      </w:r>
    </w:p>
    <w:p>
      <w:pPr>
        <w:pStyle w:val="ListBullet"/>
      </w:pPr>
      <w:r>
        <w:t>Break-glass monitoring</w:t>
      </w:r>
    </w:p>
    <w:p>
      <w:pPr>
        <w:pStyle w:val="Heading2"/>
      </w:pPr>
      <w:r>
        <w:t>Implementation implications</w:t>
      </w:r>
    </w:p>
    <w:p>
      <w:r>
        <w:t>Create naming standards, access request workflows, product consumer groups, and recertification automation.</w:t>
      </w:r>
    </w:p>
    <w:p>
      <w:pPr>
        <w:pStyle w:val="Heading2"/>
      </w:pPr>
      <w:r>
        <w:t>Cost implications</w:t>
      </w:r>
    </w:p>
    <w:p>
      <w:r>
        <w:t>Identity administration cost increases modestly but audit and remediation effort decreases.</w:t>
      </w:r>
    </w:p>
    <w:p>
      <w:pPr>
        <w:pStyle w:val="Heading2"/>
      </w:pPr>
      <w:r>
        <w:t>Security implications</w:t>
      </w:r>
    </w:p>
    <w:p>
      <w:r>
        <w:t>No direct grants in production except logged emergency access with automatic expiry.</w:t>
      </w:r>
    </w:p>
    <w:p>
      <w:pPr>
        <w:pStyle w:val="Heading2"/>
      </w:pPr>
      <w:r>
        <w:t>Operational implications</w:t>
      </w:r>
    </w:p>
    <w:p>
      <w:r>
        <w:t>Identity team owns group lifecycle; domain owners approve product entitlements.</w:t>
      </w:r>
    </w:p>
    <w:p>
      <w:pPr>
        <w:pStyle w:val="Heading2"/>
      </w:pPr>
      <w:r>
        <w:t>Review trigger</w:t>
      </w:r>
    </w:p>
    <w:p>
      <w:r>
        <w:t>Quarterly access-control review.</w:t>
      </w:r>
    </w:p>
    <w:p>
      <w:r>
        <w:br w:type="page"/>
      </w:r>
    </w:p>
    <w:p>
      <w:pPr>
        <w:pStyle w:val="Heading1"/>
      </w:pPr>
      <w:r>
        <w:t>MESH-ADR-011: Implement certification before marketplace publication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Decision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Architecture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Enterprise Data Mesh</w:t>
            </w:r>
          </w:p>
        </w:tc>
      </w:tr>
    </w:tbl>
    <w:p>
      <w:pPr>
        <w:pStyle w:val="Heading2"/>
      </w:pPr>
      <w:r>
        <w:t>Problem</w:t>
      </w:r>
    </w:p>
    <w:p>
      <w:r>
        <w:t>A marketplace without trust signals creates risk.</w:t>
      </w:r>
    </w:p>
    <w:p>
      <w:pPr>
        <w:pStyle w:val="Heading2"/>
      </w:pPr>
      <w:r>
        <w:t>Context</w:t>
      </w:r>
    </w:p>
    <w:p>
      <w:r>
        <w:t>Publishing unverified assets encourages reuse of incomplete, undocumented, or insecure datasets.</w:t>
      </w:r>
    </w:p>
    <w:p>
      <w:pPr>
        <w:pStyle w:val="Heading2"/>
      </w:pPr>
      <w:r>
        <w:t>Decision drivers</w:t>
      </w:r>
    </w:p>
    <w:p>
      <w:pPr>
        <w:pStyle w:val="ListBullet"/>
      </w:pPr>
      <w:r>
        <w:t>Consumer trust</w:t>
      </w:r>
    </w:p>
    <w:p>
      <w:pPr>
        <w:pStyle w:val="ListBullet"/>
      </w:pPr>
      <w:r>
        <w:t>Security</w:t>
      </w:r>
    </w:p>
    <w:p>
      <w:pPr>
        <w:pStyle w:val="ListBullet"/>
      </w:pPr>
      <w:r>
        <w:t>Quality</w:t>
      </w:r>
    </w:p>
    <w:p>
      <w:pPr>
        <w:pStyle w:val="ListBullet"/>
      </w:pPr>
      <w:r>
        <w:t>Discoverability</w:t>
      </w:r>
    </w:p>
    <w:p>
      <w:pPr>
        <w:pStyle w:val="ListBullet"/>
      </w:pPr>
      <w:r>
        <w:t>Lifecycle control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Open publication</w:t>
      </w:r>
    </w:p>
    <w:p>
      <w:pPr>
        <w:pStyle w:val="ListBullet"/>
      </w:pPr>
      <w:r>
        <w:t>Manual review only</w:t>
      </w:r>
    </w:p>
    <w:p>
      <w:pPr>
        <w:pStyle w:val="ListBullet"/>
      </w:pPr>
      <w:r>
        <w:t>Automated certification gate with risk-based approval</w:t>
      </w:r>
    </w:p>
    <w:p>
      <w:pPr>
        <w:pStyle w:val="Heading2"/>
      </w:pPr>
      <w:r>
        <w:t>Decision</w:t>
      </w:r>
    </w:p>
    <w:p>
      <w:r>
        <w:t>Products must pass defined certification gates before enterprise marketplace publication.</w:t>
      </w:r>
    </w:p>
    <w:p>
      <w:pPr>
        <w:pStyle w:val="Heading2"/>
      </w:pPr>
      <w:r>
        <w:t>Rationale</w:t>
      </w:r>
    </w:p>
    <w:p>
      <w:r>
        <w:t>Certification establishes minimum metadata, quality, security, ownership, SLO, and lifecycle standards.</w:t>
      </w:r>
    </w:p>
    <w:p>
      <w:pPr>
        <w:pStyle w:val="Heading2"/>
      </w:pPr>
      <w:r>
        <w:t>Tradeoffs</w:t>
      </w:r>
    </w:p>
    <w:p>
      <w:r>
        <w:t>Can slow early adoption if gates are too rigid.</w:t>
      </w:r>
    </w:p>
    <w:p>
      <w:pPr>
        <w:pStyle w:val="Heading2"/>
      </w:pPr>
      <w:r>
        <w:t>Risks</w:t>
      </w:r>
    </w:p>
    <w:p>
      <w:r>
        <w:t>Manual certification may become a bottleneck.</w:t>
      </w:r>
    </w:p>
    <w:p>
      <w:pPr>
        <w:pStyle w:val="Heading2"/>
      </w:pPr>
      <w:r>
        <w:t>Mitigations</w:t>
      </w:r>
    </w:p>
    <w:p>
      <w:pPr>
        <w:pStyle w:val="ListBullet"/>
      </w:pPr>
      <w:r>
        <w:t>Automated evidence collection</w:t>
      </w:r>
    </w:p>
    <w:p>
      <w:pPr>
        <w:pStyle w:val="ListBullet"/>
      </w:pPr>
      <w:r>
        <w:t>Risk tiers</w:t>
      </w:r>
    </w:p>
    <w:p>
      <w:pPr>
        <w:pStyle w:val="ListBullet"/>
      </w:pPr>
      <w:r>
        <w:t>Pilot maturity exceptions</w:t>
      </w:r>
    </w:p>
    <w:p>
      <w:pPr>
        <w:pStyle w:val="ListBullet"/>
      </w:pPr>
      <w:r>
        <w:t>SLA for approvals</w:t>
      </w:r>
    </w:p>
    <w:p>
      <w:pPr>
        <w:pStyle w:val="Heading2"/>
      </w:pPr>
      <w:r>
        <w:t>Implementation implications</w:t>
      </w:r>
    </w:p>
    <w:p>
      <w:r>
        <w:t>Define certification classes, automated checks, approval workflow, badges, and renewal criteria.</w:t>
      </w:r>
    </w:p>
    <w:p>
      <w:pPr>
        <w:pStyle w:val="Heading2"/>
      </w:pPr>
      <w:r>
        <w:t>Cost implications</w:t>
      </w:r>
    </w:p>
    <w:p>
      <w:r>
        <w:t>Certification adds governance cost but reduces downstream quality and security incidents.</w:t>
      </w:r>
    </w:p>
    <w:p>
      <w:pPr>
        <w:pStyle w:val="Heading2"/>
      </w:pPr>
      <w:r>
        <w:t>Security implications</w:t>
      </w:r>
    </w:p>
    <w:p>
      <w:r>
        <w:t>Restricted and external products require enhanced security and legal approval.</w:t>
      </w:r>
    </w:p>
    <w:p>
      <w:pPr>
        <w:pStyle w:val="Heading2"/>
      </w:pPr>
      <w:r>
        <w:t>Operational implications</w:t>
      </w:r>
    </w:p>
    <w:p>
      <w:r>
        <w:t>Certification expires or is suspended when quality, SLO, ownership, or security evidence fails.</w:t>
      </w:r>
    </w:p>
    <w:p>
      <w:pPr>
        <w:pStyle w:val="Heading2"/>
      </w:pPr>
      <w:r>
        <w:t>Review trigger</w:t>
      </w:r>
    </w:p>
    <w:p>
      <w:r>
        <w:t>Annual certification-framework review.</w:t>
      </w:r>
    </w:p>
    <w:p>
      <w:r>
        <w:br w:type="page"/>
      </w:r>
    </w:p>
    <w:p>
      <w:pPr>
        <w:pStyle w:val="Heading1"/>
      </w:pPr>
      <w:r>
        <w:t>MESH-ADR-012: Treat AI-ready products as a stricter certification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Decision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Architecture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Enterprise Data Mesh</w:t>
            </w:r>
          </w:p>
        </w:tc>
      </w:tr>
    </w:tbl>
    <w:p>
      <w:pPr>
        <w:pStyle w:val="Heading2"/>
      </w:pPr>
      <w:r>
        <w:t>Problem</w:t>
      </w:r>
    </w:p>
    <w:p>
      <w:r>
        <w:t>AI use increases privacy, provenance, and misuse risk.</w:t>
      </w:r>
    </w:p>
    <w:p>
      <w:pPr>
        <w:pStyle w:val="Heading2"/>
      </w:pPr>
      <w:r>
        <w:t>Context</w:t>
      </w:r>
    </w:p>
    <w:p>
      <w:r>
        <w:t>Data used for training, grounding, embeddings, and agents can amplify quality defects and expose sensitive information through indirect outputs.</w:t>
      </w:r>
    </w:p>
    <w:p>
      <w:pPr>
        <w:pStyle w:val="Heading2"/>
      </w:pPr>
      <w:r>
        <w:t>Decision drivers</w:t>
      </w:r>
    </w:p>
    <w:p>
      <w:pPr>
        <w:pStyle w:val="ListBullet"/>
      </w:pPr>
      <w:r>
        <w:t>Responsible AI</w:t>
      </w:r>
    </w:p>
    <w:p>
      <w:pPr>
        <w:pStyle w:val="ListBullet"/>
      </w:pPr>
      <w:r>
        <w:t>Privacy</w:t>
      </w:r>
    </w:p>
    <w:p>
      <w:pPr>
        <w:pStyle w:val="ListBullet"/>
      </w:pPr>
      <w:r>
        <w:t>Provenance</w:t>
      </w:r>
    </w:p>
    <w:p>
      <w:pPr>
        <w:pStyle w:val="ListBullet"/>
      </w:pPr>
      <w:r>
        <w:t>Grounding quality</w:t>
      </w:r>
    </w:p>
    <w:p>
      <w:pPr>
        <w:pStyle w:val="ListBullet"/>
      </w:pPr>
      <w:r>
        <w:t>Permitted use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Allow all certified products for AI</w:t>
      </w:r>
    </w:p>
    <w:p>
      <w:pPr>
        <w:pStyle w:val="ListBullet"/>
      </w:pPr>
      <w:r>
        <w:t>Block enterprise AI use</w:t>
      </w:r>
    </w:p>
    <w:p>
      <w:pPr>
        <w:pStyle w:val="ListBullet"/>
      </w:pPr>
      <w:r>
        <w:t>Create a stricter AI-ready certification class</w:t>
      </w:r>
    </w:p>
    <w:p>
      <w:pPr>
        <w:pStyle w:val="Heading2"/>
      </w:pPr>
      <w:r>
        <w:t>Decision</w:t>
      </w:r>
    </w:p>
    <w:p>
      <w:r>
        <w:t>Create an AI-ready certification class with explicit permitted uses, provenance, quality, privacy, and guardrail requirements.</w:t>
      </w:r>
    </w:p>
    <w:p>
      <w:pPr>
        <w:pStyle w:val="Heading2"/>
      </w:pPr>
      <w:r>
        <w:t>Rationale</w:t>
      </w:r>
    </w:p>
    <w:p>
      <w:r>
        <w:t>AI-ready certification provides stronger assurances without blocking all governed AI use.</w:t>
      </w:r>
    </w:p>
    <w:p>
      <w:pPr>
        <w:pStyle w:val="Heading2"/>
      </w:pPr>
      <w:r>
        <w:t>Tradeoffs</w:t>
      </w:r>
    </w:p>
    <w:p>
      <w:r>
        <w:t>Requires additional governance and technical evidence.</w:t>
      </w:r>
    </w:p>
    <w:p>
      <w:pPr>
        <w:pStyle w:val="Heading2"/>
      </w:pPr>
      <w:r>
        <w:t>Risks</w:t>
      </w:r>
    </w:p>
    <w:p>
      <w:r>
        <w:t>Teams may bypass certification for experimentation.</w:t>
      </w:r>
    </w:p>
    <w:p>
      <w:pPr>
        <w:pStyle w:val="Heading2"/>
      </w:pPr>
      <w:r>
        <w:t>Mitigations</w:t>
      </w:r>
    </w:p>
    <w:p>
      <w:pPr>
        <w:pStyle w:val="ListBullet"/>
      </w:pPr>
      <w:r>
        <w:t>Controlled sandboxes</w:t>
      </w:r>
    </w:p>
    <w:p>
      <w:pPr>
        <w:pStyle w:val="ListBullet"/>
      </w:pPr>
      <w:r>
        <w:t>AI review checklist</w:t>
      </w:r>
    </w:p>
    <w:p>
      <w:pPr>
        <w:pStyle w:val="ListBullet"/>
      </w:pPr>
      <w:r>
        <w:t>Model/data access controls</w:t>
      </w:r>
    </w:p>
    <w:p>
      <w:pPr>
        <w:pStyle w:val="ListBullet"/>
      </w:pPr>
      <w:r>
        <w:t>Audit and egress monitoring</w:t>
      </w:r>
    </w:p>
    <w:p>
      <w:pPr>
        <w:pStyle w:val="Heading2"/>
      </w:pPr>
      <w:r>
        <w:t>Implementation implications</w:t>
      </w:r>
    </w:p>
    <w:p>
      <w:r>
        <w:t>Add AI metadata, allowed-use fields, PII checks, provenance, evaluation datasets, and retrieval-quality requirements.</w:t>
      </w:r>
    </w:p>
    <w:p>
      <w:pPr>
        <w:pStyle w:val="Heading2"/>
      </w:pPr>
      <w:r>
        <w:t>Cost implications</w:t>
      </w:r>
    </w:p>
    <w:p>
      <w:r>
        <w:t>Additional profiling, evaluation, and monitoring costs apply to AI-ready products.</w:t>
      </w:r>
    </w:p>
    <w:p>
      <w:pPr>
        <w:pStyle w:val="Heading2"/>
      </w:pPr>
      <w:r>
        <w:t>Security implications</w:t>
      </w:r>
    </w:p>
    <w:p>
      <w:r>
        <w:t>Products require prompt-injection, data-exfiltration, privacy, and content-safety assessments where applicable.</w:t>
      </w:r>
    </w:p>
    <w:p>
      <w:pPr>
        <w:pStyle w:val="Heading2"/>
      </w:pPr>
      <w:r>
        <w:t>Operational implications</w:t>
      </w:r>
    </w:p>
    <w:p>
      <w:r>
        <w:t>AI-ready status is periodically revalidated as data, models, and regulations change.</w:t>
      </w:r>
    </w:p>
    <w:p>
      <w:pPr>
        <w:pStyle w:val="Heading2"/>
      </w:pPr>
      <w:r>
        <w:t>Review trigger</w:t>
      </w:r>
    </w:p>
    <w:p>
      <w:r>
        <w:t>At least semiannual review due to rapid AI capability and policy change.</w:t>
      </w:r>
    </w:p>
    <w:p>
      <w:r>
        <w:br w:type="page"/>
      </w:r>
    </w:p>
    <w:p>
      <w:pPr>
        <w:pStyle w:val="Heading1"/>
      </w:pPr>
      <w:r>
        <w:t>MESH-ADR-013: Use chargeback and showback at product and domain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Decision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Architecture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Enterprise Data Mesh</w:t>
            </w:r>
          </w:p>
        </w:tc>
      </w:tr>
    </w:tbl>
    <w:p>
      <w:pPr>
        <w:pStyle w:val="Heading2"/>
      </w:pPr>
      <w:r>
        <w:t>Problem</w:t>
      </w:r>
    </w:p>
    <w:p>
      <w:r>
        <w:t>Cost transparency is required for mesh sustainability.</w:t>
      </w:r>
    </w:p>
    <w:p>
      <w:pPr>
        <w:pStyle w:val="Heading2"/>
      </w:pPr>
      <w:r>
        <w:t>Context</w:t>
      </w:r>
    </w:p>
    <w:p>
      <w:r>
        <w:t>Shared platform and query costs can become invisible, while domains have limited incentives to optimize products they publish or consume.</w:t>
      </w:r>
    </w:p>
    <w:p>
      <w:pPr>
        <w:pStyle w:val="Heading2"/>
      </w:pPr>
      <w:r>
        <w:t>Decision drivers</w:t>
      </w:r>
    </w:p>
    <w:p>
      <w:pPr>
        <w:pStyle w:val="ListBullet"/>
      </w:pPr>
      <w:r>
        <w:t>Cost accountability</w:t>
      </w:r>
    </w:p>
    <w:p>
      <w:pPr>
        <w:pStyle w:val="ListBullet"/>
      </w:pPr>
      <w:r>
        <w:t>Optimization</w:t>
      </w:r>
    </w:p>
    <w:p>
      <w:pPr>
        <w:pStyle w:val="ListBullet"/>
      </w:pPr>
      <w:r>
        <w:t>Funding</w:t>
      </w:r>
    </w:p>
    <w:p>
      <w:pPr>
        <w:pStyle w:val="ListBullet"/>
      </w:pPr>
      <w:r>
        <w:t>Product economics</w:t>
      </w:r>
    </w:p>
    <w:p>
      <w:pPr>
        <w:pStyle w:val="ListBullet"/>
      </w:pPr>
      <w:r>
        <w:t>Capacity planning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Project-only cost reporting</w:t>
      </w:r>
    </w:p>
    <w:p>
      <w:pPr>
        <w:pStyle w:val="ListBullet"/>
      </w:pPr>
      <w:r>
        <w:t>Domain-level showback</w:t>
      </w:r>
    </w:p>
    <w:p>
      <w:pPr>
        <w:pStyle w:val="ListBullet"/>
      </w:pPr>
      <w:r>
        <w:t>Product-level showback and targeted chargeback</w:t>
      </w:r>
    </w:p>
    <w:p>
      <w:pPr>
        <w:pStyle w:val="Heading2"/>
      </w:pPr>
      <w:r>
        <w:t>Decision</w:t>
      </w:r>
    </w:p>
    <w:p>
      <w:r>
        <w:t>Use mandatory product and domain labels with billing export for product-level showback and targeted chargeback.</w:t>
      </w:r>
    </w:p>
    <w:p>
      <w:pPr>
        <w:pStyle w:val="Heading2"/>
      </w:pPr>
      <w:r>
        <w:t>Rationale</w:t>
      </w:r>
    </w:p>
    <w:p>
      <w:r>
        <w:t>Product economics help owners balance service quality, demand, and cost while retaining central platform transparency.</w:t>
      </w:r>
    </w:p>
    <w:p>
      <w:pPr>
        <w:pStyle w:val="Heading2"/>
      </w:pPr>
      <w:r>
        <w:t>Tradeoffs</w:t>
      </w:r>
    </w:p>
    <w:p>
      <w:r>
        <w:t>Attribution is imperfect for shared workloads.</w:t>
      </w:r>
    </w:p>
    <w:p>
      <w:pPr>
        <w:pStyle w:val="Heading2"/>
      </w:pPr>
      <w:r>
        <w:t>Risks</w:t>
      </w:r>
    </w:p>
    <w:p>
      <w:r>
        <w:t>Incorrect labels or shared compute can distort reports.</w:t>
      </w:r>
    </w:p>
    <w:p>
      <w:pPr>
        <w:pStyle w:val="Heading2"/>
      </w:pPr>
      <w:r>
        <w:t>Mitigations</w:t>
      </w:r>
    </w:p>
    <w:p>
      <w:pPr>
        <w:pStyle w:val="ListBullet"/>
      </w:pPr>
      <w:r>
        <w:t>Mandatory labels</w:t>
      </w:r>
    </w:p>
    <w:p>
      <w:pPr>
        <w:pStyle w:val="ListBullet"/>
      </w:pPr>
      <w:r>
        <w:t>Query job tagging</w:t>
      </w:r>
    </w:p>
    <w:p>
      <w:pPr>
        <w:pStyle w:val="ListBullet"/>
      </w:pPr>
      <w:r>
        <w:t>Reservation mapping</w:t>
      </w:r>
    </w:p>
    <w:p>
      <w:pPr>
        <w:pStyle w:val="ListBullet"/>
      </w:pPr>
      <w:r>
        <w:t>Allocation rules</w:t>
      </w:r>
    </w:p>
    <w:p>
      <w:pPr>
        <w:pStyle w:val="ListBullet"/>
      </w:pPr>
      <w:r>
        <w:t>FinOps review</w:t>
      </w:r>
    </w:p>
    <w:p>
      <w:pPr>
        <w:pStyle w:val="Heading2"/>
      </w:pPr>
      <w:r>
        <w:t>Implementation implications</w:t>
      </w:r>
    </w:p>
    <w:p>
      <w:r>
        <w:t>Define cost taxonomy, export billing data, publish domain dashboards, and phase from showback to selective chargeback.</w:t>
      </w:r>
    </w:p>
    <w:p>
      <w:pPr>
        <w:pStyle w:val="Heading2"/>
      </w:pPr>
      <w:r>
        <w:t>Cost implications</w:t>
      </w:r>
    </w:p>
    <w:p>
      <w:r>
        <w:t>FinOps tooling and governance add overhead but enable measurable savings.</w:t>
      </w:r>
    </w:p>
    <w:p>
      <w:pPr>
        <w:pStyle w:val="Heading2"/>
      </w:pPr>
      <w:r>
        <w:t>Security implications</w:t>
      </w:r>
    </w:p>
    <w:p>
      <w:r>
        <w:t>Billing views must not expose sensitive resource metadata beyond authorized stakeholders.</w:t>
      </w:r>
    </w:p>
    <w:p>
      <w:pPr>
        <w:pStyle w:val="Heading2"/>
      </w:pPr>
      <w:r>
        <w:t>Operational implications</w:t>
      </w:r>
    </w:p>
    <w:p>
      <w:r>
        <w:t>FinOps, platform, and domain owners review cost, unit metrics, and optimization actions monthly.</w:t>
      </w:r>
    </w:p>
    <w:p>
      <w:pPr>
        <w:pStyle w:val="Heading2"/>
      </w:pPr>
      <w:r>
        <w:t>Review trigger</w:t>
      </w:r>
    </w:p>
    <w:p>
      <w:r>
        <w:t>Quarterly cost-allocation review.</w:t>
      </w:r>
    </w:p>
    <w:p>
      <w:r>
        <w:br w:type="page"/>
      </w:r>
    </w:p>
    <w:p>
      <w:pPr>
        <w:pStyle w:val="Heading1"/>
      </w:pPr>
      <w:r>
        <w:t>MESH-ADR-014: Use versioned deprecation instead of breaking product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Decision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Architecture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Enterprise Data Mesh</w:t>
            </w:r>
          </w:p>
        </w:tc>
      </w:tr>
    </w:tbl>
    <w:p>
      <w:pPr>
        <w:pStyle w:val="Heading2"/>
      </w:pPr>
      <w:r>
        <w:t>Problem</w:t>
      </w:r>
    </w:p>
    <w:p>
      <w:r>
        <w:t>Consumers need stable interfaces.</w:t>
      </w:r>
    </w:p>
    <w:p>
      <w:pPr>
        <w:pStyle w:val="Heading2"/>
      </w:pPr>
      <w:r>
        <w:t>Context</w:t>
      </w:r>
    </w:p>
    <w:p>
      <w:r>
        <w:t>Breaking schema or semantic changes can disrupt many downstream consumers and create unplanned enterprise incidents.</w:t>
      </w:r>
    </w:p>
    <w:p>
      <w:pPr>
        <w:pStyle w:val="Heading2"/>
      </w:pPr>
      <w:r>
        <w:t>Decision drivers</w:t>
      </w:r>
    </w:p>
    <w:p>
      <w:pPr>
        <w:pStyle w:val="ListBullet"/>
      </w:pPr>
      <w:r>
        <w:t>Consumer stability</w:t>
      </w:r>
    </w:p>
    <w:p>
      <w:pPr>
        <w:pStyle w:val="ListBullet"/>
      </w:pPr>
      <w:r>
        <w:t>Change transparency</w:t>
      </w:r>
    </w:p>
    <w:p>
      <w:pPr>
        <w:pStyle w:val="ListBullet"/>
      </w:pPr>
      <w:r>
        <w:t>Backward compatibility</w:t>
      </w:r>
    </w:p>
    <w:p>
      <w:pPr>
        <w:pStyle w:val="ListBullet"/>
      </w:pPr>
      <w:r>
        <w:t>Lifecycle control</w:t>
      </w:r>
    </w:p>
    <w:p>
      <w:pPr>
        <w:pStyle w:val="ListBullet"/>
      </w:pPr>
      <w:r>
        <w:t>Operational safety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Immediate breaking changes</w:t>
      </w:r>
    </w:p>
    <w:p>
      <w:pPr>
        <w:pStyle w:val="ListBullet"/>
      </w:pPr>
      <w:r>
        <w:t>Retain all versions indefinitely</w:t>
      </w:r>
    </w:p>
    <w:p>
      <w:pPr>
        <w:pStyle w:val="ListBullet"/>
      </w:pPr>
      <w:r>
        <w:t>Versioned releases with planned deprecation</w:t>
      </w:r>
    </w:p>
    <w:p>
      <w:pPr>
        <w:pStyle w:val="Heading2"/>
      </w:pPr>
      <w:r>
        <w:t>Decision</w:t>
      </w:r>
    </w:p>
    <w:p>
      <w:r>
        <w:t>Breaking changes require a major product version, migration window, usage monitoring, and controlled retirement.</w:t>
      </w:r>
    </w:p>
    <w:p>
      <w:pPr>
        <w:pStyle w:val="Heading2"/>
      </w:pPr>
      <w:r>
        <w:t>Rationale</w:t>
      </w:r>
    </w:p>
    <w:p>
      <w:r>
        <w:t>Versioned deprecation balances consumer stability with the need to evolve products.</w:t>
      </w:r>
    </w:p>
    <w:p>
      <w:pPr>
        <w:pStyle w:val="Heading2"/>
      </w:pPr>
      <w:r>
        <w:t>Tradeoffs</w:t>
      </w:r>
    </w:p>
    <w:p>
      <w:r>
        <w:t>Multiple versions must be maintained temporarily.</w:t>
      </w:r>
    </w:p>
    <w:p>
      <w:pPr>
        <w:pStyle w:val="Heading2"/>
      </w:pPr>
      <w:r>
        <w:t>Risks</w:t>
      </w:r>
    </w:p>
    <w:p>
      <w:r>
        <w:t>Old versions may persist because consumers fail to migrate.</w:t>
      </w:r>
    </w:p>
    <w:p>
      <w:pPr>
        <w:pStyle w:val="Heading2"/>
      </w:pPr>
      <w:r>
        <w:t>Mitigations</w:t>
      </w:r>
    </w:p>
    <w:p>
      <w:pPr>
        <w:pStyle w:val="ListBullet"/>
      </w:pPr>
      <w:r>
        <w:t>Usage monitoring</w:t>
      </w:r>
    </w:p>
    <w:p>
      <w:pPr>
        <w:pStyle w:val="ListBullet"/>
      </w:pPr>
      <w:r>
        <w:t>Retirement deadlines</w:t>
      </w:r>
    </w:p>
    <w:p>
      <w:pPr>
        <w:pStyle w:val="ListBullet"/>
      </w:pPr>
      <w:r>
        <w:t>Escalation</w:t>
      </w:r>
    </w:p>
    <w:p>
      <w:pPr>
        <w:pStyle w:val="ListBullet"/>
      </w:pPr>
      <w:r>
        <w:t>Migration tooling</w:t>
      </w:r>
    </w:p>
    <w:p>
      <w:pPr>
        <w:pStyle w:val="ListBullet"/>
      </w:pPr>
      <w:r>
        <w:t>Executive exception approval</w:t>
      </w:r>
    </w:p>
    <w:p>
      <w:pPr>
        <w:pStyle w:val="Heading2"/>
      </w:pPr>
      <w:r>
        <w:t>Implementation implications</w:t>
      </w:r>
    </w:p>
    <w:p>
      <w:r>
        <w:t>Use semantic versioning, compatibility tests, deprecation metadata, consumer notifications, and retirement gates.</w:t>
      </w:r>
    </w:p>
    <w:p>
      <w:pPr>
        <w:pStyle w:val="Heading2"/>
      </w:pPr>
      <w:r>
        <w:t>Cost implications</w:t>
      </w:r>
    </w:p>
    <w:p>
      <w:r>
        <w:t>Temporary parallel versions increase cost; retirement discipline is required.</w:t>
      </w:r>
    </w:p>
    <w:p>
      <w:pPr>
        <w:pStyle w:val="Heading2"/>
      </w:pPr>
      <w:r>
        <w:t>Security implications</w:t>
      </w:r>
    </w:p>
    <w:p>
      <w:r>
        <w:t>Critical security fixes can override normal windows with documented emergency governance.</w:t>
      </w:r>
    </w:p>
    <w:p>
      <w:pPr>
        <w:pStyle w:val="Heading2"/>
      </w:pPr>
      <w:r>
        <w:t>Operational implications</w:t>
      </w:r>
    </w:p>
    <w:p>
      <w:r>
        <w:t>Product owners maintain migration plans and monitor remaining consumers.</w:t>
      </w:r>
    </w:p>
    <w:p>
      <w:pPr>
        <w:pStyle w:val="Heading2"/>
      </w:pPr>
      <w:r>
        <w:t>Review trigger</w:t>
      </w:r>
    </w:p>
    <w:p>
      <w:r>
        <w:t>Review with each major version and annually.</w:t>
      </w:r>
    </w:p>
    <w:p>
      <w:r>
        <w:br w:type="page"/>
      </w:r>
    </w:p>
    <w:p>
      <w:pPr>
        <w:pStyle w:val="Heading1"/>
      </w:pPr>
      <w:r>
        <w:t>MESH-ADR-015: Use domain stewards as certification evidence owners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Proposed for enterprise adoption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Decision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2026-07-11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6"/>
              </w:rPr>
              <w:t>Architecture 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6"/>
              </w:rPr>
              <w:t>Enterprise Data Mesh</w:t>
            </w:r>
          </w:p>
        </w:tc>
      </w:tr>
    </w:tbl>
    <w:p>
      <w:pPr>
        <w:pStyle w:val="Heading2"/>
      </w:pPr>
      <w:r>
        <w:t>Problem</w:t>
      </w:r>
    </w:p>
    <w:p>
      <w:r>
        <w:t>Business meaning cannot be delegated entirely to engineers.</w:t>
      </w:r>
    </w:p>
    <w:p>
      <w:pPr>
        <w:pStyle w:val="Heading2"/>
      </w:pPr>
      <w:r>
        <w:t>Context</w:t>
      </w:r>
    </w:p>
    <w:p>
      <w:r>
        <w:t>Technical metadata alone does not prove that a product has correct business definitions, quality interpretation, permitted use, or regulatory meaning.</w:t>
      </w:r>
    </w:p>
    <w:p>
      <w:pPr>
        <w:pStyle w:val="Heading2"/>
      </w:pPr>
      <w:r>
        <w:t>Decision drivers</w:t>
      </w:r>
    </w:p>
    <w:p>
      <w:pPr>
        <w:pStyle w:val="ListBullet"/>
      </w:pPr>
      <w:r>
        <w:t>Business accountability</w:t>
      </w:r>
    </w:p>
    <w:p>
      <w:pPr>
        <w:pStyle w:val="ListBullet"/>
      </w:pPr>
      <w:r>
        <w:t>Semantic consistency</w:t>
      </w:r>
    </w:p>
    <w:p>
      <w:pPr>
        <w:pStyle w:val="ListBullet"/>
      </w:pPr>
      <w:r>
        <w:t>Quality interpretation</w:t>
      </w:r>
    </w:p>
    <w:p>
      <w:pPr>
        <w:pStyle w:val="ListBullet"/>
      </w:pPr>
      <w:r>
        <w:t>Regulatory evidence</w:t>
      </w:r>
    </w:p>
    <w:p>
      <w:pPr>
        <w:pStyle w:val="ListBullet"/>
      </w:pPr>
      <w:r>
        <w:t>Consumer trust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t>Engineer-only review</w:t>
      </w:r>
    </w:p>
    <w:p>
      <w:pPr>
        <w:pStyle w:val="ListBullet"/>
      </w:pPr>
      <w:r>
        <w:t>Central governance-only review</w:t>
      </w:r>
    </w:p>
    <w:p>
      <w:pPr>
        <w:pStyle w:val="ListBullet"/>
      </w:pPr>
      <w:r>
        <w:t>Domain steward ownership of business certification evidence</w:t>
      </w:r>
    </w:p>
    <w:p>
      <w:pPr>
        <w:pStyle w:val="Heading2"/>
      </w:pPr>
      <w:r>
        <w:t>Decision</w:t>
      </w:r>
    </w:p>
    <w:p>
      <w:r>
        <w:t>Domain data stewards own business metadata, glossary alignment, quality interpretation, and certification evidence.</w:t>
      </w:r>
    </w:p>
    <w:p>
      <w:pPr>
        <w:pStyle w:val="Heading2"/>
      </w:pPr>
      <w:r>
        <w:t>Rationale</w:t>
      </w:r>
    </w:p>
    <w:p>
      <w:r>
        <w:t>Stewards are closest to business meaning and can validate whether technical results are fit for intended use.</w:t>
      </w:r>
    </w:p>
    <w:p>
      <w:pPr>
        <w:pStyle w:val="Heading2"/>
      </w:pPr>
      <w:r>
        <w:t>Tradeoffs</w:t>
      </w:r>
    </w:p>
    <w:p>
      <w:r>
        <w:t>Requires dedicated staffing and enablement.</w:t>
      </w:r>
    </w:p>
    <w:p>
      <w:pPr>
        <w:pStyle w:val="Heading2"/>
      </w:pPr>
      <w:r>
        <w:t>Risks</w:t>
      </w:r>
    </w:p>
    <w:p>
      <w:r>
        <w:t>Underfunded stewardship can delay certification or reduce quality.</w:t>
      </w:r>
    </w:p>
    <w:p>
      <w:pPr>
        <w:pStyle w:val="Heading2"/>
      </w:pPr>
      <w:r>
        <w:t>Mitigations</w:t>
      </w:r>
    </w:p>
    <w:p>
      <w:pPr>
        <w:pStyle w:val="ListBullet"/>
      </w:pPr>
      <w:r>
        <w:t>Steward staffing model</w:t>
      </w:r>
    </w:p>
    <w:p>
      <w:pPr>
        <w:pStyle w:val="ListBullet"/>
      </w:pPr>
      <w:r>
        <w:t>Training</w:t>
      </w:r>
    </w:p>
    <w:p>
      <w:pPr>
        <w:pStyle w:val="ListBullet"/>
      </w:pPr>
      <w:r>
        <w:t>Workflow automation</w:t>
      </w:r>
    </w:p>
    <w:p>
      <w:pPr>
        <w:pStyle w:val="ListBullet"/>
      </w:pPr>
      <w:r>
        <w:t>Delegation rules</w:t>
      </w:r>
    </w:p>
    <w:p>
      <w:pPr>
        <w:pStyle w:val="ListBullet"/>
      </w:pPr>
      <w:r>
        <w:t>Performance metrics</w:t>
      </w:r>
    </w:p>
    <w:p>
      <w:pPr>
        <w:pStyle w:val="Heading2"/>
      </w:pPr>
      <w:r>
        <w:t>Implementation implications</w:t>
      </w:r>
    </w:p>
    <w:p>
      <w:r>
        <w:t>Assign stewards per product/domain, define RACI, automate evidence collection, and create approval queues.</w:t>
      </w:r>
    </w:p>
    <w:p>
      <w:pPr>
        <w:pStyle w:val="Heading2"/>
      </w:pPr>
      <w:r>
        <w:t>Cost implications</w:t>
      </w:r>
    </w:p>
    <w:p>
      <w:r>
        <w:t>Stewardship is an explicit operating cost and should be included in domain funding.</w:t>
      </w:r>
    </w:p>
    <w:p>
      <w:pPr>
        <w:pStyle w:val="Heading2"/>
      </w:pPr>
      <w:r>
        <w:t>Security implications</w:t>
      </w:r>
    </w:p>
    <w:p>
      <w:r>
        <w:t>Stewards validate classification and permitted-use metadata but do not replace security approval.</w:t>
      </w:r>
    </w:p>
    <w:p>
      <w:pPr>
        <w:pStyle w:val="Heading2"/>
      </w:pPr>
      <w:r>
        <w:t>Operational implications</w:t>
      </w:r>
    </w:p>
    <w:p>
      <w:r>
        <w:t>Stewards participate in quality incidents, glossary changes, and periodic recertification.</w:t>
      </w:r>
    </w:p>
    <w:p>
      <w:pPr>
        <w:pStyle w:val="Heading2"/>
      </w:pPr>
      <w:r>
        <w:t>Review trigger</w:t>
      </w:r>
    </w:p>
    <w:p>
      <w:r>
        <w:t>Annual operating-model review or material governance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Volume 05 - Enterprise Data Mesh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Enterprise Google Cloud Data Mesh | Architecture Decision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