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Enterprise Google Cloud Data Platform Blueprint</w:t>
      </w:r>
    </w:p>
    <w:p>
      <w:pPr>
        <w:jc w:val="center"/>
      </w:pPr>
      <w:r>
        <w:rPr>
          <w:b/>
          <w:color w:val="143659"/>
          <w:sz w:val="56"/>
        </w:rPr>
        <w:t>Volume 08: Security and Zero Trust</w:t>
      </w:r>
    </w:p>
    <w:p>
      <w:pPr>
        <w:jc w:val="center"/>
      </w:pPr>
      <w:r>
        <w:rPr>
          <w:i/>
        </w:rPr>
        <w:t>Enterprise Reference Architecture and Implementation Blueprint</w:t>
      </w:r>
    </w:p>
    <w:p>
      <w:pPr>
        <w:jc w:val="center"/>
      </w:pPr>
      <w:r>
        <w:rPr>
          <w:b/>
        </w:rPr>
        <w:t>Version 1.0 | 12 July 2026 | Google Cloud</w:t>
      </w:r>
    </w:p>
    <w:p>
      <w:r>
        <w:t>Prepared for enterprise architecture review, security architecture review, Cloud Center of Excellence, data governance council, regulatory and compliance review, platform engineering implementation, production readiness review and financial approval. This volume extends Volumes 1-7 and does not regenerate or modify them.</w:t>
      </w:r>
    </w:p>
    <w:p>
      <w:r>
        <w:br w:type="page"/>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256"/>
        <w:gridCol w:w="5256"/>
      </w:tblGrid>
      <w:tr>
        <w:tc>
          <w:tcPr>
            <w:tcW w:type="dxa" w:w="2376"/>
            <w:vAlign w:val="top"/>
            <w:shd w:fill="D9EAF7"/>
          </w:tcPr>
          <w:p>
            <w:r/>
            <w:r>
              <w:rPr>
                <w:rFonts w:ascii="Aptos" w:hAnsi="Aptos"/>
                <w:b/>
                <w:sz w:val="14"/>
              </w:rPr>
              <w:t>Field</w:t>
            </w:r>
          </w:p>
        </w:tc>
        <w:tc>
          <w:tcPr>
            <w:tcW w:type="dxa" w:w="8208"/>
            <w:vAlign w:val="top"/>
            <w:shd w:fill="D9EAF7"/>
          </w:tcPr>
          <w:p>
            <w:r/>
            <w:r>
              <w:rPr>
                <w:rFonts w:ascii="Aptos" w:hAnsi="Aptos"/>
                <w:b/>
                <w:sz w:val="14"/>
              </w:rPr>
              <w:t>Value</w:t>
            </w:r>
          </w:p>
        </w:tc>
      </w:tr>
      <w:tr>
        <w:tc>
          <w:tcPr>
            <w:tcW w:type="dxa" w:w="2376"/>
            <w:vAlign w:val="top"/>
          </w:tcPr>
          <w:p>
            <w:r/>
            <w:r>
              <w:rPr>
                <w:rFonts w:ascii="Aptos" w:hAnsi="Aptos"/>
                <w:b w:val="0"/>
                <w:sz w:val="14"/>
              </w:rPr>
              <w:t>Document</w:t>
            </w:r>
          </w:p>
        </w:tc>
        <w:tc>
          <w:tcPr>
            <w:tcW w:type="dxa" w:w="8208"/>
            <w:vAlign w:val="top"/>
          </w:tcPr>
          <w:p>
            <w:r/>
            <w:r>
              <w:rPr>
                <w:rFonts w:ascii="Aptos" w:hAnsi="Aptos"/>
                <w:b w:val="0"/>
                <w:sz w:val="14"/>
              </w:rPr>
              <w:t>Volume 08 - Security and Zero Trust</w:t>
            </w:r>
          </w:p>
        </w:tc>
      </w:tr>
      <w:tr>
        <w:tc>
          <w:tcPr>
            <w:tcW w:type="dxa" w:w="2376"/>
            <w:vAlign w:val="top"/>
          </w:tcPr>
          <w:p>
            <w:r/>
            <w:r>
              <w:rPr>
                <w:rFonts w:ascii="Aptos" w:hAnsi="Aptos"/>
                <w:b w:val="0"/>
                <w:sz w:val="14"/>
              </w:rPr>
              <w:t>Series</w:t>
            </w:r>
          </w:p>
        </w:tc>
        <w:tc>
          <w:tcPr>
            <w:tcW w:type="dxa" w:w="8208"/>
            <w:vAlign w:val="top"/>
          </w:tcPr>
          <w:p>
            <w:r/>
            <w:r>
              <w:rPr>
                <w:rFonts w:ascii="Aptos" w:hAnsi="Aptos"/>
                <w:b w:val="0"/>
                <w:sz w:val="14"/>
              </w:rPr>
              <w:t>Enterprise Google Cloud Data Platform Blueprint</w:t>
            </w:r>
          </w:p>
        </w:tc>
      </w:tr>
      <w:tr>
        <w:tc>
          <w:tcPr>
            <w:tcW w:type="dxa" w:w="2376"/>
            <w:vAlign w:val="top"/>
          </w:tcPr>
          <w:p>
            <w:r/>
            <w:r>
              <w:rPr>
                <w:rFonts w:ascii="Aptos" w:hAnsi="Aptos"/>
                <w:b w:val="0"/>
                <w:sz w:val="14"/>
              </w:rPr>
              <w:t>Version</w:t>
            </w:r>
          </w:p>
        </w:tc>
        <w:tc>
          <w:tcPr>
            <w:tcW w:type="dxa" w:w="8208"/>
            <w:vAlign w:val="top"/>
          </w:tcPr>
          <w:p>
            <w:r/>
            <w:r>
              <w:rPr>
                <w:rFonts w:ascii="Aptos" w:hAnsi="Aptos"/>
                <w:b w:val="0"/>
                <w:sz w:val="14"/>
              </w:rPr>
              <w:t>1.0</w:t>
            </w:r>
          </w:p>
        </w:tc>
      </w:tr>
      <w:tr>
        <w:tc>
          <w:tcPr>
            <w:tcW w:type="dxa" w:w="2376"/>
            <w:vAlign w:val="top"/>
          </w:tcPr>
          <w:p>
            <w:r/>
            <w:r>
              <w:rPr>
                <w:rFonts w:ascii="Aptos" w:hAnsi="Aptos"/>
                <w:b w:val="0"/>
                <w:sz w:val="14"/>
              </w:rPr>
              <w:t>Status</w:t>
            </w:r>
          </w:p>
        </w:tc>
        <w:tc>
          <w:tcPr>
            <w:tcW w:type="dxa" w:w="8208"/>
            <w:vAlign w:val="top"/>
          </w:tcPr>
          <w:p>
            <w:r/>
            <w:r>
              <w:rPr>
                <w:rFonts w:ascii="Aptos" w:hAnsi="Aptos"/>
                <w:b w:val="0"/>
                <w:sz w:val="14"/>
              </w:rPr>
              <w:t>Detailed reference architecture for adaptation and implementation</w:t>
            </w:r>
          </w:p>
        </w:tc>
      </w:tr>
      <w:tr>
        <w:tc>
          <w:tcPr>
            <w:tcW w:type="dxa" w:w="2376"/>
            <w:vAlign w:val="top"/>
          </w:tcPr>
          <w:p>
            <w:r/>
            <w:r>
              <w:rPr>
                <w:rFonts w:ascii="Aptos" w:hAnsi="Aptos"/>
                <w:b w:val="0"/>
                <w:sz w:val="14"/>
              </w:rPr>
              <w:t>Date</w:t>
            </w:r>
          </w:p>
        </w:tc>
        <w:tc>
          <w:tcPr>
            <w:tcW w:type="dxa" w:w="8208"/>
            <w:vAlign w:val="top"/>
          </w:tcPr>
          <w:p>
            <w:r/>
            <w:r>
              <w:rPr>
                <w:rFonts w:ascii="Aptos" w:hAnsi="Aptos"/>
                <w:b w:val="0"/>
                <w:sz w:val="14"/>
              </w:rPr>
              <w:t>12 July 2026</w:t>
            </w:r>
          </w:p>
        </w:tc>
      </w:tr>
      <w:tr>
        <w:tc>
          <w:tcPr>
            <w:tcW w:type="dxa" w:w="2376"/>
            <w:vAlign w:val="top"/>
          </w:tcPr>
          <w:p>
            <w:r/>
            <w:r>
              <w:rPr>
                <w:rFonts w:ascii="Aptos" w:hAnsi="Aptos"/>
                <w:b w:val="0"/>
                <w:sz w:val="14"/>
              </w:rPr>
              <w:t>Owner</w:t>
            </w:r>
          </w:p>
        </w:tc>
        <w:tc>
          <w:tcPr>
            <w:tcW w:type="dxa" w:w="8208"/>
            <w:vAlign w:val="top"/>
          </w:tcPr>
          <w:p>
            <w:r/>
            <w:r>
              <w:rPr>
                <w:rFonts w:ascii="Aptos" w:hAnsi="Aptos"/>
                <w:b w:val="0"/>
                <w:sz w:val="14"/>
              </w:rPr>
              <w:t>Enterprise Security Architecture</w:t>
            </w:r>
          </w:p>
        </w:tc>
      </w:tr>
      <w:tr>
        <w:tc>
          <w:tcPr>
            <w:tcW w:type="dxa" w:w="2376"/>
            <w:vAlign w:val="top"/>
          </w:tcPr>
          <w:p>
            <w:r/>
            <w:r>
              <w:rPr>
                <w:rFonts w:ascii="Aptos" w:hAnsi="Aptos"/>
                <w:b w:val="0"/>
                <w:sz w:val="14"/>
              </w:rPr>
              <w:t>Approvers</w:t>
            </w:r>
          </w:p>
        </w:tc>
        <w:tc>
          <w:tcPr>
            <w:tcW w:type="dxa" w:w="8208"/>
            <w:vAlign w:val="top"/>
          </w:tcPr>
          <w:p>
            <w:r/>
            <w:r>
              <w:rPr>
                <w:rFonts w:ascii="Aptos" w:hAnsi="Aptos"/>
                <w:b w:val="0"/>
                <w:sz w:val="14"/>
              </w:rPr>
              <w:t>CISO, CIO, CDO, Enterprise Architecture, Privacy, Risk, Platform Engineering, SRE, DevSecOps, FinOps</w:t>
            </w:r>
          </w:p>
        </w:tc>
      </w:tr>
      <w:tr>
        <w:tc>
          <w:tcPr>
            <w:tcW w:type="dxa" w:w="2376"/>
            <w:vAlign w:val="top"/>
          </w:tcPr>
          <w:p>
            <w:r/>
            <w:r>
              <w:rPr>
                <w:rFonts w:ascii="Aptos" w:hAnsi="Aptos"/>
                <w:b w:val="0"/>
                <w:sz w:val="14"/>
              </w:rPr>
              <w:t>Audience</w:t>
            </w:r>
          </w:p>
        </w:tc>
        <w:tc>
          <w:tcPr>
            <w:tcW w:type="dxa" w:w="8208"/>
            <w:vAlign w:val="top"/>
          </w:tcPr>
          <w:p>
            <w:r/>
            <w:r>
              <w:rPr>
                <w:rFonts w:ascii="Aptos" w:hAnsi="Aptos"/>
                <w:b w:val="0"/>
                <w:sz w:val="14"/>
              </w:rPr>
              <w:t>Security architects, cloud platform engineers, data platform owners, domain teams, SRE, audit, compliance and risk</w:t>
            </w:r>
          </w:p>
        </w:tc>
      </w:tr>
      <w:tr>
        <w:tc>
          <w:tcPr>
            <w:tcW w:type="dxa" w:w="2376"/>
            <w:vAlign w:val="top"/>
          </w:tcPr>
          <w:p>
            <w:r/>
            <w:r>
              <w:rPr>
                <w:rFonts w:ascii="Aptos" w:hAnsi="Aptos"/>
                <w:b w:val="0"/>
                <w:sz w:val="14"/>
              </w:rPr>
              <w:t>Primary dependencies</w:t>
            </w:r>
          </w:p>
        </w:tc>
        <w:tc>
          <w:tcPr>
            <w:tcW w:type="dxa" w:w="8208"/>
            <w:vAlign w:val="top"/>
          </w:tcPr>
          <w:p>
            <w:r/>
            <w:r>
              <w:rPr>
                <w:rFonts w:ascii="Aptos" w:hAnsi="Aptos"/>
                <w:b w:val="0"/>
                <w:sz w:val="14"/>
              </w:rPr>
              <w:t>Volumes 01-07; Volume 09 DevSecOps; Volume 10 FinOps; Volume 11 SRE; Volume 12 DR; Volume 13 Terraform</w:t>
            </w:r>
          </w:p>
        </w:tc>
      </w:tr>
      <w:tr>
        <w:tc>
          <w:tcPr>
            <w:tcW w:type="dxa" w:w="2376"/>
            <w:vAlign w:val="top"/>
          </w:tcPr>
          <w:p>
            <w:r/>
            <w:r>
              <w:rPr>
                <w:rFonts w:ascii="Aptos" w:hAnsi="Aptos"/>
                <w:b w:val="0"/>
                <w:sz w:val="14"/>
              </w:rPr>
              <w:t>Scope</w:t>
            </w:r>
          </w:p>
        </w:tc>
        <w:tc>
          <w:tcPr>
            <w:tcW w:type="dxa" w:w="8208"/>
            <w:vAlign w:val="top"/>
          </w:tcPr>
          <w:p>
            <w:r/>
            <w:r>
              <w:rPr>
                <w:rFonts w:ascii="Aptos" w:hAnsi="Aptos"/>
                <w:b w:val="0"/>
                <w:sz w:val="14"/>
              </w:rPr>
              <w:t>Enterprise security strategy, Zero Trust architecture, IAM, perimeters, encryption, data protection, detection, incident response, testing and compliance control mapping</w:t>
            </w:r>
          </w:p>
        </w:tc>
      </w:tr>
    </w:tbl>
    <w:p>
      <w:pPr>
        <w:pStyle w:val="Small"/>
      </w:pPr>
    </w:p>
    <w:p>
      <w:r>
        <w:t>Classification of guidance: Mandatory baseline controls are required unless a time-bound exception is approved by the Security Architecture Review Board. Recommended controls are the enterprise default for most workloads. Conditional controls apply to regulated, restricted, externally exposed or high-risk workloads. Future-state controls are planned capabilities that require product, licensing or operating-model validation.</w:t>
      </w:r>
    </w:p>
    <w:p>
      <w:r>
        <w:br w:type="page"/>
      </w:r>
    </w:p>
    <w:p>
      <w:pPr>
        <w:pStyle w:val="Heading1"/>
      </w:pPr>
      <w:r>
        <w:t>Table of Contents</w:t>
      </w:r>
    </w:p>
    <w:p>
      <w:pPr>
        <w:pStyle w:val="ListNumber"/>
      </w:pPr>
      <w:r>
        <w:t>Executive Summary</w:t>
      </w:r>
    </w:p>
    <w:p>
      <w:pPr>
        <w:pStyle w:val="ListNumber"/>
      </w:pPr>
      <w:r>
        <w:t>Inherited Context, Scope and Assumptions</w:t>
      </w:r>
    </w:p>
    <w:p>
      <w:pPr>
        <w:pStyle w:val="ListNumber"/>
      </w:pPr>
      <w:r>
        <w:t>Enterprise Security Strategy</w:t>
      </w:r>
    </w:p>
    <w:p>
      <w:pPr>
        <w:pStyle w:val="ListNumber"/>
      </w:pPr>
      <w:r>
        <w:t>Shared-Responsibility Model</w:t>
      </w:r>
    </w:p>
    <w:p>
      <w:pPr>
        <w:pStyle w:val="ListNumber"/>
      </w:pPr>
      <w:r>
        <w:t>Zero Trust Architecture</w:t>
      </w:r>
    </w:p>
    <w:p>
      <w:pPr>
        <w:pStyle w:val="ListNumber"/>
      </w:pPr>
      <w:r>
        <w:t>Identity Perimeter</w:t>
      </w:r>
    </w:p>
    <w:p>
      <w:pPr>
        <w:pStyle w:val="ListNumber"/>
      </w:pPr>
      <w:r>
        <w:t>Network Perimeter</w:t>
      </w:r>
    </w:p>
    <w:p>
      <w:pPr>
        <w:pStyle w:val="ListNumber"/>
      </w:pPr>
      <w:r>
        <w:t>Data Perimeter</w:t>
      </w:r>
    </w:p>
    <w:p>
      <w:pPr>
        <w:pStyle w:val="ListNumber"/>
      </w:pPr>
      <w:r>
        <w:t>Workload Perimeter</w:t>
      </w:r>
    </w:p>
    <w:p>
      <w:pPr>
        <w:pStyle w:val="ListNumber"/>
      </w:pPr>
      <w:r>
        <w:t>IAM Architecture</w:t>
      </w:r>
    </w:p>
    <w:p>
      <w:pPr>
        <w:pStyle w:val="ListNumber"/>
      </w:pPr>
      <w:r>
        <w:t>Human Identities</w:t>
      </w:r>
    </w:p>
    <w:p>
      <w:pPr>
        <w:pStyle w:val="ListNumber"/>
      </w:pPr>
      <w:r>
        <w:t>Workload Identities and Service Accounts</w:t>
      </w:r>
    </w:p>
    <w:p>
      <w:pPr>
        <w:pStyle w:val="ListNumber"/>
      </w:pPr>
      <w:r>
        <w:t>Privileged Access, JIT and Break-Glass</w:t>
      </w:r>
    </w:p>
    <w:p>
      <w:pPr>
        <w:pStyle w:val="ListNumber"/>
      </w:pPr>
      <w:r>
        <w:t>Separation of Duties</w:t>
      </w:r>
    </w:p>
    <w:p>
      <w:pPr>
        <w:pStyle w:val="ListNumber"/>
      </w:pPr>
      <w:r>
        <w:t>Organization Policies</w:t>
      </w:r>
    </w:p>
    <w:p>
      <w:pPr>
        <w:pStyle w:val="ListNumber"/>
      </w:pPr>
      <w:r>
        <w:t>VPC Service Controls</w:t>
      </w:r>
    </w:p>
    <w:p>
      <w:pPr>
        <w:pStyle w:val="ListNumber"/>
      </w:pPr>
      <w:r>
        <w:t>Access Context Manager</w:t>
      </w:r>
    </w:p>
    <w:p>
      <w:pPr>
        <w:pStyle w:val="ListNumber"/>
      </w:pPr>
      <w:r>
        <w:t>Private Service Connect</w:t>
      </w:r>
    </w:p>
    <w:p>
      <w:pPr>
        <w:pStyle w:val="ListNumber"/>
      </w:pPr>
      <w:r>
        <w:t>Cloud Armor and Cloud Firewall</w:t>
      </w:r>
    </w:p>
    <w:p>
      <w:pPr>
        <w:pStyle w:val="ListNumber"/>
      </w:pPr>
      <w:r>
        <w:t>Security Command Center and Threat Detection</w:t>
      </w:r>
    </w:p>
    <w:p>
      <w:pPr>
        <w:pStyle w:val="ListNumber"/>
      </w:pPr>
      <w:r>
        <w:t>Secret Manager, Cloud KMS, Cloud HSM, CMEK and EKM</w:t>
      </w:r>
    </w:p>
    <w:p>
      <w:pPr>
        <w:pStyle w:val="ListNumber"/>
      </w:pPr>
      <w:r>
        <w:t>Certificate Management</w:t>
      </w:r>
    </w:p>
    <w:p>
      <w:pPr>
        <w:pStyle w:val="ListNumber"/>
      </w:pPr>
      <w:r>
        <w:t>Sensitive Data Protection</w:t>
      </w:r>
    </w:p>
    <w:p>
      <w:pPr>
        <w:pStyle w:val="ListNumber"/>
      </w:pPr>
      <w:r>
        <w:t>Data Classification, Tokenization, Masking and Pseudonymization</w:t>
      </w:r>
    </w:p>
    <w:p>
      <w:pPr>
        <w:pStyle w:val="ListNumber"/>
      </w:pPr>
      <w:r>
        <w:t>Audit Logging, Access Transparency and Access Approval</w:t>
      </w:r>
    </w:p>
    <w:p>
      <w:pPr>
        <w:pStyle w:val="ListNumber"/>
      </w:pPr>
      <w:r>
        <w:t>Supply Chain Security</w:t>
      </w:r>
    </w:p>
    <w:p>
      <w:pPr>
        <w:pStyle w:val="ListNumber"/>
      </w:pPr>
      <w:r>
        <w:t>Vulnerability Scanning</w:t>
      </w:r>
    </w:p>
    <w:p>
      <w:pPr>
        <w:pStyle w:val="ListNumber"/>
      </w:pPr>
      <w:r>
        <w:t>Security Monitoring, SIEM and SOAR</w:t>
      </w:r>
    </w:p>
    <w:p>
      <w:pPr>
        <w:pStyle w:val="ListNumber"/>
      </w:pPr>
      <w:r>
        <w:t>Threat Modeling, STRIDE and Attack Path Analysis</w:t>
      </w:r>
    </w:p>
    <w:p>
      <w:pPr>
        <w:pStyle w:val="ListNumber"/>
      </w:pPr>
      <w:r>
        <w:t>Incident Response</w:t>
      </w:r>
    </w:p>
    <w:p>
      <w:pPr>
        <w:pStyle w:val="ListNumber"/>
      </w:pPr>
      <w:r>
        <w:t>Regulatory Control Mapping</w:t>
      </w:r>
    </w:p>
    <w:p>
      <w:pPr>
        <w:pStyle w:val="ListNumber"/>
      </w:pPr>
      <w:r>
        <w:t>Security Testing and Penetration Testing</w:t>
      </w:r>
    </w:p>
    <w:p>
      <w:pPr>
        <w:pStyle w:val="ListNumber"/>
      </w:pPr>
      <w:r>
        <w:t>Security Assurance and Architecture Review</w:t>
      </w:r>
    </w:p>
    <w:p>
      <w:pPr>
        <w:pStyle w:val="ListNumber"/>
      </w:pPr>
      <w:r>
        <w:t>Service Assessments</w:t>
      </w:r>
    </w:p>
    <w:p>
      <w:pPr>
        <w:pStyle w:val="ListNumber"/>
      </w:pPr>
      <w:r>
        <w:t>Architecture Decision Records</w:t>
      </w:r>
    </w:p>
    <w:p>
      <w:pPr>
        <w:pStyle w:val="ListNumber"/>
      </w:pPr>
      <w:r>
        <w:t>Risks and Mitigations</w:t>
      </w:r>
    </w:p>
    <w:p>
      <w:pPr>
        <w:pStyle w:val="ListNumber"/>
      </w:pPr>
      <w:r>
        <w:t>Implementation Roadmap</w:t>
      </w:r>
    </w:p>
    <w:p>
      <w:pPr>
        <w:pStyle w:val="ListNumber"/>
      </w:pPr>
      <w:r>
        <w:t>Validation Criteria</w:t>
      </w:r>
    </w:p>
    <w:p>
      <w:pPr>
        <w:pStyle w:val="ListNumber"/>
      </w:pPr>
      <w:r>
        <w:t>Production Readiness Checklist</w:t>
      </w:r>
    </w:p>
    <w:p>
      <w:pPr>
        <w:pStyle w:val="ListNumber"/>
      </w:pPr>
      <w:r>
        <w:t>Decisions and Next Actions</w:t>
      </w:r>
    </w:p>
    <w:p>
      <w:pPr>
        <w:pStyle w:val="ListNumber"/>
      </w:pPr>
      <w:r>
        <w:t>References</w:t>
      </w:r>
    </w:p>
    <w:p>
      <w:r>
        <w:br w:type="page"/>
      </w:r>
    </w:p>
    <w:p>
      <w:r>
        <w:br w:type="page"/>
      </w:r>
    </w:p>
    <w:p>
      <w:pPr>
        <w:pStyle w:val="Heading1"/>
      </w:pPr>
      <w:r>
        <w:t>1. Executive Summary</w:t>
      </w:r>
    </w:p>
    <w:p>
      <w:r>
        <w:t>Volume 08 defines the security and Zero Trust architecture for the enterprise Google Cloud data platform. The platform handles petabytes of data across multiple regions, legal entities, regulated workloads, business domains, analytics personas and AI/GenAI use cases. Security is not treated as an isolated layer added after delivery. It is embedded in the identity model, project hierarchy, service perimeters, network paths, data classification, encryption controls, software supply chain, monitoring and operating model established across Volumes 1-7.</w:t>
      </w:r>
    </w:p>
    <w:p>
      <w:r>
        <w:t>The target posture is a governed, cloud-native, auditable and automation-first Zero Trust model. Every access path must prove identity, context, authorization, data purpose and workload integrity. Project membership, source IP and internal network location are not sufficient proof of trust. The architecture uses Workforce Identity Federation, Workload Identity Federation, IAM Conditions, Privileged Access Manager, service account impersonation, VPC Service Controls, Access Context Manager, Private Service Connect, Cloud Armor, Cloud Firewall, Cloud KMS, Cloud HSM, Cloud EKM where justified, Sensitive Data Protection, Security Command Center, Event Threat Detection, Container Threat Detection, Artifact Analysis, Binary Authorization, Cloud Audit Logs, Access Transparency, Access Approval and SIEM/SOAR integration.</w:t>
      </w:r>
    </w:p>
    <w:tbl>
      <w:tblPr>
        <w:tblStyle w:val="TableGrid"/>
        <w:tblW w:type="auto" w:w="0"/>
        <w:jc w:val="center"/>
        <w:tblLook w:firstColumn="1" w:firstRow="1" w:lastColumn="0" w:lastRow="0" w:noHBand="0" w:noVBand="1" w:val="04A0"/>
      </w:tblPr>
      <w:tblGrid>
        <w:gridCol w:w="5256"/>
        <w:gridCol w:w="5256"/>
      </w:tblGrid>
      <w:tr>
        <w:tc>
          <w:tcPr>
            <w:tcW w:type="dxa" w:w="2736"/>
            <w:vAlign w:val="top"/>
            <w:shd w:fill="D9EAF7"/>
          </w:tcPr>
          <w:p>
            <w:r/>
            <w:r>
              <w:rPr>
                <w:rFonts w:ascii="Aptos" w:hAnsi="Aptos"/>
                <w:b/>
                <w:sz w:val="14"/>
              </w:rPr>
              <w:t>Security outcome</w:t>
            </w:r>
          </w:p>
        </w:tc>
        <w:tc>
          <w:tcPr>
            <w:tcW w:type="dxa" w:w="7776"/>
            <w:vAlign w:val="top"/>
            <w:shd w:fill="D9EAF7"/>
          </w:tcPr>
          <w:p>
            <w:r/>
            <w:r>
              <w:rPr>
                <w:rFonts w:ascii="Aptos" w:hAnsi="Aptos"/>
                <w:b/>
                <w:sz w:val="14"/>
              </w:rPr>
              <w:t>Mandatory baseline</w:t>
            </w:r>
          </w:p>
        </w:tc>
      </w:tr>
      <w:tr>
        <w:tc>
          <w:tcPr>
            <w:tcW w:type="dxa" w:w="2736"/>
            <w:vAlign w:val="top"/>
          </w:tcPr>
          <w:p>
            <w:r/>
            <w:r>
              <w:rPr>
                <w:rFonts w:ascii="Aptos" w:hAnsi="Aptos"/>
                <w:b w:val="0"/>
                <w:sz w:val="14"/>
              </w:rPr>
              <w:t>Least privilege</w:t>
            </w:r>
          </w:p>
        </w:tc>
        <w:tc>
          <w:tcPr>
            <w:tcW w:type="dxa" w:w="7776"/>
            <w:vAlign w:val="top"/>
          </w:tcPr>
          <w:p>
            <w:r/>
            <w:r>
              <w:rPr>
                <w:rFonts w:ascii="Aptos" w:hAnsi="Aptos"/>
                <w:b w:val="0"/>
                <w:sz w:val="14"/>
              </w:rPr>
              <w:t>Group-based IAM, IAM Conditions, deny policies where appropriate, no broad primitive roles in production, quarterly access review.</w:t>
            </w:r>
          </w:p>
        </w:tc>
      </w:tr>
      <w:tr>
        <w:tc>
          <w:tcPr>
            <w:tcW w:type="dxa" w:w="2736"/>
            <w:vAlign w:val="top"/>
          </w:tcPr>
          <w:p>
            <w:r/>
            <w:r>
              <w:rPr>
                <w:rFonts w:ascii="Aptos" w:hAnsi="Aptos"/>
                <w:b w:val="0"/>
                <w:sz w:val="14"/>
              </w:rPr>
              <w:t>No long-lived workload keys</w:t>
            </w:r>
          </w:p>
        </w:tc>
        <w:tc>
          <w:tcPr>
            <w:tcW w:type="dxa" w:w="7776"/>
            <w:vAlign w:val="top"/>
          </w:tcPr>
          <w:p>
            <w:r/>
            <w:r>
              <w:rPr>
                <w:rFonts w:ascii="Aptos" w:hAnsi="Aptos"/>
                <w:b w:val="0"/>
                <w:sz w:val="14"/>
              </w:rPr>
              <w:t>Workload Identity Federation and service account impersonation are the default. User-managed service account keys are disabled unless exception-approved.</w:t>
            </w:r>
          </w:p>
        </w:tc>
      </w:tr>
      <w:tr>
        <w:tc>
          <w:tcPr>
            <w:tcW w:type="dxa" w:w="2736"/>
            <w:vAlign w:val="top"/>
          </w:tcPr>
          <w:p>
            <w:r/>
            <w:r>
              <w:rPr>
                <w:rFonts w:ascii="Aptos" w:hAnsi="Aptos"/>
                <w:b w:val="0"/>
                <w:sz w:val="14"/>
              </w:rPr>
              <w:t>Data exfiltration control</w:t>
            </w:r>
          </w:p>
        </w:tc>
        <w:tc>
          <w:tcPr>
            <w:tcW w:type="dxa" w:w="7776"/>
            <w:vAlign w:val="top"/>
          </w:tcPr>
          <w:p>
            <w:r/>
            <w:r>
              <w:rPr>
                <w:rFonts w:ascii="Aptos" w:hAnsi="Aptos"/>
                <w:b w:val="0"/>
                <w:sz w:val="14"/>
              </w:rPr>
              <w:t>VPC Service Controls, Private Service Connect, Access Context Manager, restricted APIs and explicit egress rules for restricted and regulated data.</w:t>
            </w:r>
          </w:p>
        </w:tc>
      </w:tr>
      <w:tr>
        <w:tc>
          <w:tcPr>
            <w:tcW w:type="dxa" w:w="2736"/>
            <w:vAlign w:val="top"/>
          </w:tcPr>
          <w:p>
            <w:r/>
            <w:r>
              <w:rPr>
                <w:rFonts w:ascii="Aptos" w:hAnsi="Aptos"/>
                <w:b w:val="0"/>
                <w:sz w:val="14"/>
              </w:rPr>
              <w:t>Encryption and key control</w:t>
            </w:r>
          </w:p>
        </w:tc>
        <w:tc>
          <w:tcPr>
            <w:tcW w:type="dxa" w:w="7776"/>
            <w:vAlign w:val="top"/>
          </w:tcPr>
          <w:p>
            <w:r/>
            <w:r>
              <w:rPr>
                <w:rFonts w:ascii="Aptos" w:hAnsi="Aptos"/>
                <w:b w:val="0"/>
                <w:sz w:val="14"/>
              </w:rPr>
              <w:t>Google default encryption everywhere; CMEK for Confidential, Restricted and Regulated workloads where supported; HSM or EKM when risk or regulation requires.</w:t>
            </w:r>
          </w:p>
        </w:tc>
      </w:tr>
      <w:tr>
        <w:tc>
          <w:tcPr>
            <w:tcW w:type="dxa" w:w="2736"/>
            <w:vAlign w:val="top"/>
          </w:tcPr>
          <w:p>
            <w:r/>
            <w:r>
              <w:rPr>
                <w:rFonts w:ascii="Aptos" w:hAnsi="Aptos"/>
                <w:b w:val="0"/>
                <w:sz w:val="14"/>
              </w:rPr>
              <w:t>Privacy by design</w:t>
            </w:r>
          </w:p>
        </w:tc>
        <w:tc>
          <w:tcPr>
            <w:tcW w:type="dxa" w:w="7776"/>
            <w:vAlign w:val="top"/>
          </w:tcPr>
          <w:p>
            <w:r/>
            <w:r>
              <w:rPr>
                <w:rFonts w:ascii="Aptos" w:hAnsi="Aptos"/>
                <w:b w:val="0"/>
                <w:sz w:val="14"/>
              </w:rPr>
              <w:t>Sensitive Data Protection profiling, classification, de-identification, masking, tokenization, pseudonymization and policy tags.</w:t>
            </w:r>
          </w:p>
        </w:tc>
      </w:tr>
      <w:tr>
        <w:tc>
          <w:tcPr>
            <w:tcW w:type="dxa" w:w="2736"/>
            <w:vAlign w:val="top"/>
          </w:tcPr>
          <w:p>
            <w:r/>
            <w:r>
              <w:rPr>
                <w:rFonts w:ascii="Aptos" w:hAnsi="Aptos"/>
                <w:b w:val="0"/>
                <w:sz w:val="14"/>
              </w:rPr>
              <w:t>Detection and response</w:t>
            </w:r>
          </w:p>
        </w:tc>
        <w:tc>
          <w:tcPr>
            <w:tcW w:type="dxa" w:w="7776"/>
            <w:vAlign w:val="top"/>
          </w:tcPr>
          <w:p>
            <w:r/>
            <w:r>
              <w:rPr>
                <w:rFonts w:ascii="Aptos" w:hAnsi="Aptos"/>
                <w:b w:val="0"/>
                <w:sz w:val="14"/>
              </w:rPr>
              <w:t>Security Command Center, threat detection, audit log routing, SIEM/SOAR playbooks and immutable evidence retention.</w:t>
            </w:r>
          </w:p>
        </w:tc>
      </w:tr>
      <w:tr>
        <w:tc>
          <w:tcPr>
            <w:tcW w:type="dxa" w:w="2736"/>
            <w:vAlign w:val="top"/>
          </w:tcPr>
          <w:p>
            <w:r/>
            <w:r>
              <w:rPr>
                <w:rFonts w:ascii="Aptos" w:hAnsi="Aptos"/>
                <w:b w:val="0"/>
                <w:sz w:val="14"/>
              </w:rPr>
              <w:t>Supply-chain assurance</w:t>
            </w:r>
          </w:p>
        </w:tc>
        <w:tc>
          <w:tcPr>
            <w:tcW w:type="dxa" w:w="7776"/>
            <w:vAlign w:val="top"/>
          </w:tcPr>
          <w:p>
            <w:r/>
            <w:r>
              <w:rPr>
                <w:rFonts w:ascii="Aptos" w:hAnsi="Aptos"/>
                <w:b w:val="0"/>
                <w:sz w:val="14"/>
              </w:rPr>
              <w:t>Artifact Analysis, Binary Authorization, signed provenance, vulnerability gates and deployment controls.</w:t>
            </w:r>
          </w:p>
        </w:tc>
      </w:tr>
    </w:tbl>
    <w:p>
      <w:pPr>
        <w:pStyle w:val="Small"/>
      </w:pPr>
    </w:p>
    <w:p>
      <w:r>
        <w:drawing>
          <wp:inline xmlns:a="http://schemas.openxmlformats.org/drawingml/2006/main" xmlns:pic="http://schemas.openxmlformats.org/drawingml/2006/picture">
            <wp:extent cx="6583680" cy="3953866"/>
            <wp:docPr id="1" name="Picture 1"/>
            <wp:cNvGraphicFramePr>
              <a:graphicFrameLocks noChangeAspect="1"/>
            </wp:cNvGraphicFramePr>
            <a:graphic>
              <a:graphicData uri="http://schemas.openxmlformats.org/drawingml/2006/picture">
                <pic:pic>
                  <pic:nvPicPr>
                    <pic:cNvPr id="0" name="security_zero_trust_architecture.png"/>
                    <pic:cNvPicPr/>
                  </pic:nvPicPr>
                  <pic:blipFill>
                    <a:blip r:embed="rId11"/>
                    <a:stretch>
                      <a:fillRect/>
                    </a:stretch>
                  </pic:blipFill>
                  <pic:spPr>
                    <a:xfrm>
                      <a:off x="0" y="0"/>
                      <a:ext cx="6583680" cy="3953866"/>
                    </a:xfrm>
                    <a:prstGeom prst="rect"/>
                  </pic:spPr>
                </pic:pic>
              </a:graphicData>
            </a:graphic>
          </wp:inline>
        </w:drawing>
      </w:r>
    </w:p>
    <w:p>
      <w:pPr>
        <w:pStyle w:val="Small"/>
        <w:jc w:val="center"/>
      </w:pPr>
      <w:r>
        <w:t>Figure 1 - Enterprise security and Zero Trust reference architecture</w:t>
      </w:r>
    </w:p>
    <w:p>
      <w:r>
        <w:br w:type="page"/>
      </w:r>
    </w:p>
    <w:p>
      <w:pPr>
        <w:pStyle w:val="Heading1"/>
      </w:pPr>
      <w:r>
        <w:t>2. Inherited Context, Scope and Assumptions</w:t>
      </w:r>
    </w:p>
    <w:p>
      <w:pPr>
        <w:pStyle w:val="Heading2"/>
      </w:pPr>
      <w:r>
        <w:t>2.1 Inherited architecture context</w:t>
      </w:r>
    </w:p>
    <w:p>
      <w:pPr>
        <w:pStyle w:val="ListBullet"/>
      </w:pPr>
      <w:r>
        <w:t>The enterprise organization uses a central platform product team and federated domain-owned data products.</w:t>
      </w:r>
    </w:p>
    <w:p>
      <w:pPr>
        <w:pStyle w:val="ListBullet"/>
      </w:pPr>
      <w:r>
        <w:t>Core data services include Cloud Storage, BigQuery, BigLake where justified, Pub/Sub, Dataflow, Datastream, Dataform, Cloud Composer, Knowledge Catalog, Looker and Vertex AI.</w:t>
      </w:r>
    </w:p>
    <w:p>
      <w:pPr>
        <w:pStyle w:val="ListBullet"/>
      </w:pPr>
      <w:r>
        <w:t>Project strategy separates shared services, network, security, logging, monitoring, CI/CD, data platform and domain workloads.</w:t>
      </w:r>
    </w:p>
    <w:p>
      <w:pPr>
        <w:pStyle w:val="ListBullet"/>
      </w:pPr>
      <w:r>
        <w:t>AMER, EMEA and APAC regional data planes are used with centrally governed controls and regional resilience targets.</w:t>
      </w:r>
    </w:p>
    <w:p>
      <w:pPr>
        <w:pStyle w:val="ListBullet"/>
      </w:pPr>
      <w:r>
        <w:t>Security classifications are Public, Internal, Confidential, Restricted and Regulated.</w:t>
      </w:r>
    </w:p>
    <w:p>
      <w:pPr>
        <w:pStyle w:val="ListBullet"/>
      </w:pPr>
      <w:r>
        <w:t>Tier 0, Tier 1 and Tier 2 recovery targets from the foundation remain applicable, with security evidence and key availability considered critical dependencies.</w:t>
      </w:r>
    </w:p>
    <w:p>
      <w:pPr>
        <w:pStyle w:val="ListBullet"/>
      </w:pPr>
      <w:r>
        <w:t>Volume 06 analytics and Volume 07 AI/GenAI require this security baseline for production access, model protection and regulated consumption.</w:t>
      </w:r>
    </w:p>
    <w:p>
      <w:pPr>
        <w:pStyle w:val="Heading2"/>
      </w:pPr>
      <w:r>
        <w:t>2.2 Confirmed requirements</w:t>
      </w:r>
    </w:p>
    <w:p>
      <w:pPr>
        <w:pStyle w:val="ListBullet"/>
      </w:pPr>
      <w:r>
        <w:t>Produce only Volume 08 and do not regenerate Volumes 1-7.</w:t>
      </w:r>
    </w:p>
    <w:p>
      <w:pPr>
        <w:pStyle w:val="ListBullet"/>
      </w:pPr>
      <w:r>
        <w:t>Follow the master blueprint scope and structure for Security and Zero Trust.</w:t>
      </w:r>
    </w:p>
    <w:p>
      <w:pPr>
        <w:pStyle w:val="ListBullet"/>
      </w:pPr>
      <w:r>
        <w:t>Provide regulatory control mappings for NIST, HIPAA, GDPR, PCI DSS, SOC 2 and ISO 27001.</w:t>
      </w:r>
    </w:p>
    <w:p>
      <w:pPr>
        <w:pStyle w:val="ListBullet"/>
      </w:pPr>
      <w:r>
        <w:t>Generate diagrams, matrices, implementation examples, ADRs, risks, validation criteria and production readiness checks.</w:t>
      </w:r>
    </w:p>
    <w:p>
      <w:pPr>
        <w:pStyle w:val="ListBullet"/>
      </w:pPr>
      <w:r>
        <w:t>Use current Google Cloud product terminology and clearly identify items that require validation at implementation time.</w:t>
      </w:r>
    </w:p>
    <w:p>
      <w:pPr>
        <w:pStyle w:val="Heading2"/>
      </w:pPr>
      <w:r>
        <w:t>2.3 Architecture assumptions</w:t>
      </w:r>
    </w:p>
    <w:p>
      <w:pPr>
        <w:pStyle w:val="ListBullet"/>
      </w:pPr>
      <w:r>
        <w:t>The enterprise uses a primary corporate identity provider integrated with Cloud Identity and Google Cloud federation.</w:t>
      </w:r>
    </w:p>
    <w:p>
      <w:pPr>
        <w:pStyle w:val="ListBullet"/>
      </w:pPr>
      <w:r>
        <w:t>Security Command Center is activated at the organization level for production and regulated environments.</w:t>
      </w:r>
    </w:p>
    <w:p>
      <w:pPr>
        <w:pStyle w:val="ListBullet"/>
      </w:pPr>
      <w:r>
        <w:t>Enterprise SIEM and SOAR platforms exist and require log and finding integration from Google Cloud.</w:t>
      </w:r>
    </w:p>
    <w:p>
      <w:pPr>
        <w:pStyle w:val="ListBullet"/>
      </w:pPr>
      <w:r>
        <w:t>Regulated workloads require stronger data residency, personnel access, key management and audit evidence.</w:t>
      </w:r>
    </w:p>
    <w:p>
      <w:pPr>
        <w:pStyle w:val="ListBullet"/>
      </w:pPr>
      <w:r>
        <w:t>Terraform is the system of record for deployable infrastructure and policy configuration, with exception records managed in GRC tooling.</w:t>
      </w:r>
    </w:p>
    <w:p>
      <w:pPr>
        <w:pStyle w:val="Heading2"/>
      </w:pPr>
      <w:r>
        <w:t>2.4 Open architecture decisions</w:t>
      </w:r>
    </w:p>
    <w:tbl>
      <w:tblPr>
        <w:tblStyle w:val="TableGrid"/>
        <w:tblW w:type="auto" w:w="0"/>
        <w:jc w:val="center"/>
        <w:tblLook w:firstColumn="1" w:firstRow="1" w:lastColumn="0" w:lastRow="0" w:noHBand="0" w:noVBand="1" w:val="04A0"/>
      </w:tblPr>
      <w:tblGrid>
        <w:gridCol w:w="3504"/>
        <w:gridCol w:w="3504"/>
        <w:gridCol w:w="3504"/>
      </w:tblGrid>
      <w:tr>
        <w:tc>
          <w:tcPr>
            <w:tcW w:type="dxa" w:w="4320"/>
            <w:vAlign w:val="top"/>
            <w:shd w:fill="D9EAF7"/>
          </w:tcPr>
          <w:p>
            <w:r/>
            <w:r>
              <w:rPr>
                <w:rFonts w:ascii="Aptos" w:hAnsi="Aptos"/>
                <w:b/>
                <w:sz w:val="14"/>
              </w:rPr>
              <w:t>Open decision</w:t>
            </w:r>
          </w:p>
        </w:tc>
        <w:tc>
          <w:tcPr>
            <w:tcW w:type="dxa" w:w="2880"/>
            <w:vAlign w:val="top"/>
            <w:shd w:fill="D9EAF7"/>
          </w:tcPr>
          <w:p>
            <w:r/>
            <w:r>
              <w:rPr>
                <w:rFonts w:ascii="Aptos" w:hAnsi="Aptos"/>
                <w:b/>
                <w:sz w:val="14"/>
              </w:rPr>
              <w:t>Decision owner</w:t>
            </w:r>
          </w:p>
        </w:tc>
        <w:tc>
          <w:tcPr>
            <w:tcW w:type="dxa" w:w="3168"/>
            <w:vAlign w:val="top"/>
            <w:shd w:fill="D9EAF7"/>
          </w:tcPr>
          <w:p>
            <w:r/>
            <w:r>
              <w:rPr>
                <w:rFonts w:ascii="Aptos" w:hAnsi="Aptos"/>
                <w:b/>
                <w:sz w:val="14"/>
              </w:rPr>
              <w:t>Required before</w:t>
            </w:r>
          </w:p>
        </w:tc>
      </w:tr>
      <w:tr>
        <w:tc>
          <w:tcPr>
            <w:tcW w:type="dxa" w:w="4320"/>
            <w:vAlign w:val="top"/>
          </w:tcPr>
          <w:p>
            <w:r/>
            <w:r>
              <w:rPr>
                <w:rFonts w:ascii="Aptos" w:hAnsi="Aptos"/>
                <w:b w:val="0"/>
                <w:sz w:val="14"/>
              </w:rPr>
              <w:t>Which workloads require Cloud HSM versus software Cloud KMS versus EKM</w:t>
            </w:r>
          </w:p>
        </w:tc>
        <w:tc>
          <w:tcPr>
            <w:tcW w:type="dxa" w:w="2880"/>
            <w:vAlign w:val="top"/>
          </w:tcPr>
          <w:p>
            <w:r/>
            <w:r>
              <w:rPr>
                <w:rFonts w:ascii="Aptos" w:hAnsi="Aptos"/>
                <w:b w:val="0"/>
                <w:sz w:val="14"/>
              </w:rPr>
              <w:t>CISO, Compliance, KMS team</w:t>
            </w:r>
          </w:p>
        </w:tc>
        <w:tc>
          <w:tcPr>
            <w:tcW w:type="dxa" w:w="3168"/>
            <w:vAlign w:val="top"/>
          </w:tcPr>
          <w:p>
            <w:r/>
            <w:r>
              <w:rPr>
                <w:rFonts w:ascii="Aptos" w:hAnsi="Aptos"/>
                <w:b w:val="0"/>
                <w:sz w:val="14"/>
              </w:rPr>
              <w:t>Production onboarding for Restricted/Regulated data</w:t>
            </w:r>
          </w:p>
        </w:tc>
      </w:tr>
      <w:tr>
        <w:tc>
          <w:tcPr>
            <w:tcW w:type="dxa" w:w="4320"/>
            <w:vAlign w:val="top"/>
          </w:tcPr>
          <w:p>
            <w:r/>
            <w:r>
              <w:rPr>
                <w:rFonts w:ascii="Aptos" w:hAnsi="Aptos"/>
                <w:b w:val="0"/>
                <w:sz w:val="14"/>
              </w:rPr>
              <w:t>Which Google Cloud services are enrolled in Access Approval by default</w:t>
            </w:r>
          </w:p>
        </w:tc>
        <w:tc>
          <w:tcPr>
            <w:tcW w:type="dxa" w:w="2880"/>
            <w:vAlign w:val="top"/>
          </w:tcPr>
          <w:p>
            <w:r/>
            <w:r>
              <w:rPr>
                <w:rFonts w:ascii="Aptos" w:hAnsi="Aptos"/>
                <w:b w:val="0"/>
                <w:sz w:val="14"/>
              </w:rPr>
              <w:t>CISO, Cloud Platform</w:t>
            </w:r>
          </w:p>
        </w:tc>
        <w:tc>
          <w:tcPr>
            <w:tcW w:type="dxa" w:w="3168"/>
            <w:vAlign w:val="top"/>
          </w:tcPr>
          <w:p>
            <w:r/>
            <w:r>
              <w:rPr>
                <w:rFonts w:ascii="Aptos" w:hAnsi="Aptos"/>
                <w:b w:val="0"/>
                <w:sz w:val="14"/>
              </w:rPr>
              <w:t>Regulated workload go-live</w:t>
            </w:r>
          </w:p>
        </w:tc>
      </w:tr>
      <w:tr>
        <w:tc>
          <w:tcPr>
            <w:tcW w:type="dxa" w:w="4320"/>
            <w:vAlign w:val="top"/>
          </w:tcPr>
          <w:p>
            <w:r/>
            <w:r>
              <w:rPr>
                <w:rFonts w:ascii="Aptos" w:hAnsi="Aptos"/>
                <w:b w:val="0"/>
                <w:sz w:val="14"/>
              </w:rPr>
              <w:t>Which third-party endpoint posture signals are used in custom Access Context Manager levels</w:t>
            </w:r>
          </w:p>
        </w:tc>
        <w:tc>
          <w:tcPr>
            <w:tcW w:type="dxa" w:w="2880"/>
            <w:vAlign w:val="top"/>
          </w:tcPr>
          <w:p>
            <w:r/>
            <w:r>
              <w:rPr>
                <w:rFonts w:ascii="Aptos" w:hAnsi="Aptos"/>
                <w:b w:val="0"/>
                <w:sz w:val="14"/>
              </w:rPr>
              <w:t>IAM Governance</w:t>
            </w:r>
          </w:p>
        </w:tc>
        <w:tc>
          <w:tcPr>
            <w:tcW w:type="dxa" w:w="3168"/>
            <w:vAlign w:val="top"/>
          </w:tcPr>
          <w:p>
            <w:r/>
            <w:r>
              <w:rPr>
                <w:rFonts w:ascii="Aptos" w:hAnsi="Aptos"/>
                <w:b w:val="0"/>
                <w:sz w:val="14"/>
              </w:rPr>
              <w:t>Broad workforce rollout</w:t>
            </w:r>
          </w:p>
        </w:tc>
      </w:tr>
      <w:tr>
        <w:tc>
          <w:tcPr>
            <w:tcW w:type="dxa" w:w="4320"/>
            <w:vAlign w:val="top"/>
          </w:tcPr>
          <w:p>
            <w:r/>
            <w:r>
              <w:rPr>
                <w:rFonts w:ascii="Aptos" w:hAnsi="Aptos"/>
                <w:b w:val="0"/>
                <w:sz w:val="14"/>
              </w:rPr>
              <w:t>SIEM retention period and log export partitioning strategy</w:t>
            </w:r>
          </w:p>
        </w:tc>
        <w:tc>
          <w:tcPr>
            <w:tcW w:type="dxa" w:w="2880"/>
            <w:vAlign w:val="top"/>
          </w:tcPr>
          <w:p>
            <w:r/>
            <w:r>
              <w:rPr>
                <w:rFonts w:ascii="Aptos" w:hAnsi="Aptos"/>
                <w:b w:val="0"/>
                <w:sz w:val="14"/>
              </w:rPr>
              <w:t>Security Operations, Audit</w:t>
            </w:r>
          </w:p>
        </w:tc>
        <w:tc>
          <w:tcPr>
            <w:tcW w:type="dxa" w:w="3168"/>
            <w:vAlign w:val="top"/>
          </w:tcPr>
          <w:p>
            <w:r/>
            <w:r>
              <w:rPr>
                <w:rFonts w:ascii="Aptos" w:hAnsi="Aptos"/>
                <w:b w:val="0"/>
                <w:sz w:val="14"/>
              </w:rPr>
              <w:t>Production logging deployment</w:t>
            </w:r>
          </w:p>
        </w:tc>
      </w:tr>
      <w:tr>
        <w:tc>
          <w:tcPr>
            <w:tcW w:type="dxa" w:w="4320"/>
            <w:vAlign w:val="top"/>
          </w:tcPr>
          <w:p>
            <w:r/>
            <w:r>
              <w:rPr>
                <w:rFonts w:ascii="Aptos" w:hAnsi="Aptos"/>
                <w:b w:val="0"/>
                <w:sz w:val="14"/>
              </w:rPr>
              <w:t>Cloud Armor Enterprise adoption for external applications</w:t>
            </w:r>
          </w:p>
        </w:tc>
        <w:tc>
          <w:tcPr>
            <w:tcW w:type="dxa" w:w="2880"/>
            <w:vAlign w:val="top"/>
          </w:tcPr>
          <w:p>
            <w:r/>
            <w:r>
              <w:rPr>
                <w:rFonts w:ascii="Aptos" w:hAnsi="Aptos"/>
                <w:b w:val="0"/>
                <w:sz w:val="14"/>
              </w:rPr>
              <w:t>Network Security, FinOps</w:t>
            </w:r>
          </w:p>
        </w:tc>
        <w:tc>
          <w:tcPr>
            <w:tcW w:type="dxa" w:w="3168"/>
            <w:vAlign w:val="top"/>
          </w:tcPr>
          <w:p>
            <w:r/>
            <w:r>
              <w:rPr>
                <w:rFonts w:ascii="Aptos" w:hAnsi="Aptos"/>
                <w:b w:val="0"/>
                <w:sz w:val="14"/>
              </w:rPr>
              <w:t>Internet-facing analytics or API exposure</w:t>
            </w:r>
          </w:p>
        </w:tc>
      </w:tr>
    </w:tbl>
    <w:p>
      <w:pPr>
        <w:pStyle w:val="Small"/>
      </w:pPr>
    </w:p>
    <w:p>
      <w:r>
        <w:br w:type="page"/>
      </w:r>
    </w:p>
    <w:p>
      <w:pPr>
        <w:pStyle w:val="Heading1"/>
      </w:pPr>
      <w:r>
        <w:t>3. Enterprise Security Strategy</w:t>
      </w:r>
    </w:p>
    <w:p>
      <w:r>
        <w:t>The security strategy is to make the secure path the fastest path. Controls are deployed as reusable platform capabilities, not one-off project tasks. Domain teams consume approved modules, groups, labels, key policies, service perimeters, CI/CD gates and runbooks. The central security architecture team owns baseline design and standards. Platform engineering owns reusable implementations. Domain teams own secure operation of their data products and evidence for their workloads.</w:t>
      </w:r>
    </w:p>
    <w:p>
      <w:pPr>
        <w:pStyle w:val="Heading2"/>
      </w:pPr>
      <w:r>
        <w:t>3.1 Strategy pillars</w:t>
      </w:r>
    </w:p>
    <w:tbl>
      <w:tblPr>
        <w:tblStyle w:val="TableGrid"/>
        <w:tblW w:type="auto" w:w="0"/>
        <w:jc w:val="center"/>
        <w:tblLook w:firstColumn="1" w:firstRow="1" w:lastColumn="0" w:lastRow="0" w:noHBand="0" w:noVBand="1" w:val="04A0"/>
      </w:tblPr>
      <w:tblGrid>
        <w:gridCol w:w="3504"/>
        <w:gridCol w:w="3504"/>
        <w:gridCol w:w="3504"/>
      </w:tblGrid>
      <w:tr>
        <w:tc>
          <w:tcPr>
            <w:tcW w:type="dxa" w:w="2160"/>
            <w:vAlign w:val="top"/>
            <w:shd w:fill="D9EAF7"/>
          </w:tcPr>
          <w:p>
            <w:r/>
            <w:r>
              <w:rPr>
                <w:rFonts w:ascii="Aptos" w:hAnsi="Aptos"/>
                <w:b/>
                <w:sz w:val="14"/>
              </w:rPr>
              <w:t>Pillar</w:t>
            </w:r>
          </w:p>
        </w:tc>
        <w:tc>
          <w:tcPr>
            <w:tcW w:type="dxa" w:w="5328"/>
            <w:vAlign w:val="top"/>
            <w:shd w:fill="D9EAF7"/>
          </w:tcPr>
          <w:p>
            <w:r/>
            <w:r>
              <w:rPr>
                <w:rFonts w:ascii="Aptos" w:hAnsi="Aptos"/>
                <w:b/>
                <w:sz w:val="14"/>
              </w:rPr>
              <w:t>Concrete architecture decision</w:t>
            </w:r>
          </w:p>
        </w:tc>
        <w:tc>
          <w:tcPr>
            <w:tcW w:type="dxa" w:w="3168"/>
            <w:vAlign w:val="top"/>
            <w:shd w:fill="D9EAF7"/>
          </w:tcPr>
          <w:p>
            <w:r/>
            <w:r>
              <w:rPr>
                <w:rFonts w:ascii="Aptos" w:hAnsi="Aptos"/>
                <w:b/>
                <w:sz w:val="14"/>
              </w:rPr>
              <w:t>Evidence</w:t>
            </w:r>
          </w:p>
        </w:tc>
      </w:tr>
      <w:tr>
        <w:tc>
          <w:tcPr>
            <w:tcW w:type="dxa" w:w="2160"/>
            <w:vAlign w:val="top"/>
          </w:tcPr>
          <w:p>
            <w:r/>
            <w:r>
              <w:rPr>
                <w:rFonts w:ascii="Aptos" w:hAnsi="Aptos"/>
                <w:b w:val="0"/>
                <w:sz w:val="14"/>
              </w:rPr>
              <w:t>Identity-first security</w:t>
            </w:r>
          </w:p>
        </w:tc>
        <w:tc>
          <w:tcPr>
            <w:tcW w:type="dxa" w:w="5328"/>
            <w:vAlign w:val="top"/>
          </w:tcPr>
          <w:p>
            <w:r/>
            <w:r>
              <w:rPr>
                <w:rFonts w:ascii="Aptos" w:hAnsi="Aptos"/>
                <w:b w:val="0"/>
                <w:sz w:val="14"/>
              </w:rPr>
              <w:t>Federated identity, group-based access, IAM Conditions, PAM for elevation</w:t>
            </w:r>
          </w:p>
        </w:tc>
        <w:tc>
          <w:tcPr>
            <w:tcW w:type="dxa" w:w="3168"/>
            <w:vAlign w:val="top"/>
          </w:tcPr>
          <w:p>
            <w:r/>
            <w:r>
              <w:rPr>
                <w:rFonts w:ascii="Aptos" w:hAnsi="Aptos"/>
                <w:b w:val="0"/>
                <w:sz w:val="14"/>
              </w:rPr>
              <w:t>IAM policies, access reviews, PAM grants</w:t>
            </w:r>
          </w:p>
        </w:tc>
      </w:tr>
      <w:tr>
        <w:tc>
          <w:tcPr>
            <w:tcW w:type="dxa" w:w="2160"/>
            <w:vAlign w:val="top"/>
          </w:tcPr>
          <w:p>
            <w:r/>
            <w:r>
              <w:rPr>
                <w:rFonts w:ascii="Aptos" w:hAnsi="Aptos"/>
                <w:b w:val="0"/>
                <w:sz w:val="14"/>
              </w:rPr>
              <w:t>Data perimeter protection</w:t>
            </w:r>
          </w:p>
        </w:tc>
        <w:tc>
          <w:tcPr>
            <w:tcW w:type="dxa" w:w="5328"/>
            <w:vAlign w:val="top"/>
          </w:tcPr>
          <w:p>
            <w:r/>
            <w:r>
              <w:rPr>
                <w:rFonts w:ascii="Aptos" w:hAnsi="Aptos"/>
                <w:b w:val="0"/>
                <w:sz w:val="14"/>
              </w:rPr>
              <w:t>VPC Service Controls for restricted APIs and projects</w:t>
            </w:r>
          </w:p>
        </w:tc>
        <w:tc>
          <w:tcPr>
            <w:tcW w:type="dxa" w:w="3168"/>
            <w:vAlign w:val="top"/>
          </w:tcPr>
          <w:p>
            <w:r/>
            <w:r>
              <w:rPr>
                <w:rFonts w:ascii="Aptos" w:hAnsi="Aptos"/>
                <w:b w:val="0"/>
                <w:sz w:val="14"/>
              </w:rPr>
              <w:t>Perimeter configs, dry-run logs, denied access tests</w:t>
            </w:r>
          </w:p>
        </w:tc>
      </w:tr>
      <w:tr>
        <w:tc>
          <w:tcPr>
            <w:tcW w:type="dxa" w:w="2160"/>
            <w:vAlign w:val="top"/>
          </w:tcPr>
          <w:p>
            <w:r/>
            <w:r>
              <w:rPr>
                <w:rFonts w:ascii="Aptos" w:hAnsi="Aptos"/>
                <w:b w:val="0"/>
                <w:sz w:val="14"/>
              </w:rPr>
              <w:t>Private connectivity</w:t>
            </w:r>
          </w:p>
        </w:tc>
        <w:tc>
          <w:tcPr>
            <w:tcW w:type="dxa" w:w="5328"/>
            <w:vAlign w:val="top"/>
          </w:tcPr>
          <w:p>
            <w:r/>
            <w:r>
              <w:rPr>
                <w:rFonts w:ascii="Aptos" w:hAnsi="Aptos"/>
                <w:b w:val="0"/>
                <w:sz w:val="14"/>
              </w:rPr>
              <w:t>Private Service Connect and private API paths for sensitive workloads</w:t>
            </w:r>
          </w:p>
        </w:tc>
        <w:tc>
          <w:tcPr>
            <w:tcW w:type="dxa" w:w="3168"/>
            <w:vAlign w:val="top"/>
          </w:tcPr>
          <w:p>
            <w:r/>
            <w:r>
              <w:rPr>
                <w:rFonts w:ascii="Aptos" w:hAnsi="Aptos"/>
                <w:b w:val="0"/>
                <w:sz w:val="14"/>
              </w:rPr>
              <w:t>Network path evidence and route validation</w:t>
            </w:r>
          </w:p>
        </w:tc>
      </w:tr>
      <w:tr>
        <w:tc>
          <w:tcPr>
            <w:tcW w:type="dxa" w:w="2160"/>
            <w:vAlign w:val="top"/>
          </w:tcPr>
          <w:p>
            <w:r/>
            <w:r>
              <w:rPr>
                <w:rFonts w:ascii="Aptos" w:hAnsi="Aptos"/>
                <w:b w:val="0"/>
                <w:sz w:val="14"/>
              </w:rPr>
              <w:t>Cryptographic control</w:t>
            </w:r>
          </w:p>
        </w:tc>
        <w:tc>
          <w:tcPr>
            <w:tcW w:type="dxa" w:w="5328"/>
            <w:vAlign w:val="top"/>
          </w:tcPr>
          <w:p>
            <w:r/>
            <w:r>
              <w:rPr>
                <w:rFonts w:ascii="Aptos" w:hAnsi="Aptos"/>
                <w:b w:val="0"/>
                <w:sz w:val="14"/>
              </w:rPr>
              <w:t>CMEK/HSM/EKM based on classification and regulation</w:t>
            </w:r>
          </w:p>
        </w:tc>
        <w:tc>
          <w:tcPr>
            <w:tcW w:type="dxa" w:w="3168"/>
            <w:vAlign w:val="top"/>
          </w:tcPr>
          <w:p>
            <w:r/>
            <w:r>
              <w:rPr>
                <w:rFonts w:ascii="Aptos" w:hAnsi="Aptos"/>
                <w:b w:val="0"/>
                <w:sz w:val="14"/>
              </w:rPr>
              <w:t>KMS key inventory, rotation logs, key access logs</w:t>
            </w:r>
          </w:p>
        </w:tc>
      </w:tr>
      <w:tr>
        <w:tc>
          <w:tcPr>
            <w:tcW w:type="dxa" w:w="2160"/>
            <w:vAlign w:val="top"/>
          </w:tcPr>
          <w:p>
            <w:r/>
            <w:r>
              <w:rPr>
                <w:rFonts w:ascii="Aptos" w:hAnsi="Aptos"/>
                <w:b w:val="0"/>
                <w:sz w:val="14"/>
              </w:rPr>
              <w:t>Privacy engineering</w:t>
            </w:r>
          </w:p>
        </w:tc>
        <w:tc>
          <w:tcPr>
            <w:tcW w:type="dxa" w:w="5328"/>
            <w:vAlign w:val="top"/>
          </w:tcPr>
          <w:p>
            <w:r/>
            <w:r>
              <w:rPr>
                <w:rFonts w:ascii="Aptos" w:hAnsi="Aptos"/>
                <w:b w:val="0"/>
                <w:sz w:val="14"/>
              </w:rPr>
              <w:t>Sensitive Data Protection profiling and de-identification</w:t>
            </w:r>
          </w:p>
        </w:tc>
        <w:tc>
          <w:tcPr>
            <w:tcW w:type="dxa" w:w="3168"/>
            <w:vAlign w:val="top"/>
          </w:tcPr>
          <w:p>
            <w:r/>
            <w:r>
              <w:rPr>
                <w:rFonts w:ascii="Aptos" w:hAnsi="Aptos"/>
                <w:b w:val="0"/>
                <w:sz w:val="14"/>
              </w:rPr>
              <w:t>Profiles, templates, policy tags, masking evidence</w:t>
            </w:r>
          </w:p>
        </w:tc>
      </w:tr>
      <w:tr>
        <w:tc>
          <w:tcPr>
            <w:tcW w:type="dxa" w:w="2160"/>
            <w:vAlign w:val="top"/>
          </w:tcPr>
          <w:p>
            <w:r/>
            <w:r>
              <w:rPr>
                <w:rFonts w:ascii="Aptos" w:hAnsi="Aptos"/>
                <w:b w:val="0"/>
                <w:sz w:val="14"/>
              </w:rPr>
              <w:t>Continuous assurance</w:t>
            </w:r>
          </w:p>
        </w:tc>
        <w:tc>
          <w:tcPr>
            <w:tcW w:type="dxa" w:w="5328"/>
            <w:vAlign w:val="top"/>
          </w:tcPr>
          <w:p>
            <w:r/>
            <w:r>
              <w:rPr>
                <w:rFonts w:ascii="Aptos" w:hAnsi="Aptos"/>
                <w:b w:val="0"/>
                <w:sz w:val="14"/>
              </w:rPr>
              <w:t>SCC, audit logs, SIEM/SOAR, posture monitoring</w:t>
            </w:r>
          </w:p>
        </w:tc>
        <w:tc>
          <w:tcPr>
            <w:tcW w:type="dxa" w:w="3168"/>
            <w:vAlign w:val="top"/>
          </w:tcPr>
          <w:p>
            <w:r/>
            <w:r>
              <w:rPr>
                <w:rFonts w:ascii="Aptos" w:hAnsi="Aptos"/>
                <w:b w:val="0"/>
                <w:sz w:val="14"/>
              </w:rPr>
              <w:t>Findings, alerts, tickets, exceptions</w:t>
            </w:r>
          </w:p>
        </w:tc>
      </w:tr>
      <w:tr>
        <w:tc>
          <w:tcPr>
            <w:tcW w:type="dxa" w:w="2160"/>
            <w:vAlign w:val="top"/>
          </w:tcPr>
          <w:p>
            <w:r/>
            <w:r>
              <w:rPr>
                <w:rFonts w:ascii="Aptos" w:hAnsi="Aptos"/>
                <w:b w:val="0"/>
                <w:sz w:val="14"/>
              </w:rPr>
              <w:t>Secure delivery</w:t>
            </w:r>
          </w:p>
        </w:tc>
        <w:tc>
          <w:tcPr>
            <w:tcW w:type="dxa" w:w="5328"/>
            <w:vAlign w:val="top"/>
          </w:tcPr>
          <w:p>
            <w:r/>
            <w:r>
              <w:rPr>
                <w:rFonts w:ascii="Aptos" w:hAnsi="Aptos"/>
                <w:b w:val="0"/>
                <w:sz w:val="14"/>
              </w:rPr>
              <w:t>Artifact Analysis, Binary Authorization, policy-as-code</w:t>
            </w:r>
          </w:p>
        </w:tc>
        <w:tc>
          <w:tcPr>
            <w:tcW w:type="dxa" w:w="3168"/>
            <w:vAlign w:val="top"/>
          </w:tcPr>
          <w:p>
            <w:r/>
            <w:r>
              <w:rPr>
                <w:rFonts w:ascii="Aptos" w:hAnsi="Aptos"/>
                <w:b w:val="0"/>
                <w:sz w:val="14"/>
              </w:rPr>
              <w:t>Build provenance, scan reports, attestation logs</w:t>
            </w:r>
          </w:p>
        </w:tc>
      </w:tr>
    </w:tbl>
    <w:p>
      <w:pPr>
        <w:pStyle w:val="Small"/>
      </w:pPr>
    </w:p>
    <w:p>
      <w:pPr>
        <w:pStyle w:val="Heading2"/>
      </w:pPr>
      <w:r>
        <w:t>3.2 Mandatory controls</w:t>
      </w:r>
    </w:p>
    <w:p>
      <w:pPr>
        <w:pStyle w:val="ListBullet"/>
      </w:pPr>
      <w:r>
        <w:t>All production human access must use enterprise identity, MFA and group-based authorization.</w:t>
      </w:r>
    </w:p>
    <w:p>
      <w:pPr>
        <w:pStyle w:val="ListBullet"/>
      </w:pPr>
      <w:r>
        <w:t>All production workload access must use service accounts with least privilege and short-lived credentials.</w:t>
      </w:r>
    </w:p>
    <w:p>
      <w:pPr>
        <w:pStyle w:val="ListBullet"/>
      </w:pPr>
      <w:r>
        <w:t>User-managed service account keys are prohibited by organization policy unless explicitly exception-approved.</w:t>
      </w:r>
    </w:p>
    <w:p>
      <w:pPr>
        <w:pStyle w:val="ListBullet"/>
      </w:pPr>
      <w:r>
        <w:t>Restricted and Regulated projects must be inside an approved VPC Service Controls perimeter when supported by required services.</w:t>
      </w:r>
    </w:p>
    <w:p>
      <w:pPr>
        <w:pStyle w:val="ListBullet"/>
      </w:pPr>
      <w:r>
        <w:t>CMEK is mandatory for Restricted and Regulated storage/analytics/AI services where the service supports CMEK and regional requirements can be met.</w:t>
      </w:r>
    </w:p>
    <w:p>
      <w:pPr>
        <w:pStyle w:val="ListBullet"/>
      </w:pPr>
      <w:r>
        <w:t>Sensitive Data Protection profiling must be enabled for high-value production datasets and document repositories.</w:t>
      </w:r>
    </w:p>
    <w:p>
      <w:pPr>
        <w:pStyle w:val="ListBullet"/>
      </w:pPr>
      <w:r>
        <w:t>Security Command Center findings, Cloud Audit Logs and policy denied logs must be routed to central security monitoring.</w:t>
      </w:r>
    </w:p>
    <w:p>
      <w:pPr>
        <w:pStyle w:val="ListBullet"/>
      </w:pPr>
      <w:r>
        <w:t>Production deployments must pass vulnerability scanning and attestation gates before runtime deployment.</w:t>
      </w:r>
    </w:p>
    <w:p>
      <w:r>
        <w:br w:type="page"/>
      </w:r>
    </w:p>
    <w:p>
      <w:pPr>
        <w:pStyle w:val="Heading1"/>
      </w:pPr>
      <w:r>
        <w:t>4. Shared-Responsibility Model</w:t>
      </w:r>
    </w:p>
    <w:p>
      <w:r>
        <w:t>Google Cloud secures the underlying global infrastructure, managed service control planes and foundational service protections. The enterprise is responsible for identity, authorization, data classification, policy configuration, service perimeter design, key lifecycle, secure application and pipeline behavior, log review, incident response and compliance evidence. Shared responsibility changes by service: fully managed services reduce infrastructure operations, but they do not remove data-owner, access-governance or configuration responsibilities.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448"/>
            <w:vAlign w:val="top"/>
            <w:shd w:fill="D9EAF7"/>
          </w:tcPr>
          <w:p>
            <w:r/>
            <w:r>
              <w:rPr>
                <w:rFonts w:ascii="Aptos" w:hAnsi="Aptos"/>
                <w:b/>
                <w:sz w:val="14"/>
              </w:rPr>
              <w:t>Responsibility</w:t>
            </w:r>
          </w:p>
        </w:tc>
        <w:tc>
          <w:tcPr>
            <w:tcW w:type="dxa" w:w="2016"/>
            <w:vAlign w:val="top"/>
            <w:shd w:fill="D9EAF7"/>
          </w:tcPr>
          <w:p>
            <w:r/>
            <w:r>
              <w:rPr>
                <w:rFonts w:ascii="Aptos" w:hAnsi="Aptos"/>
                <w:b/>
                <w:sz w:val="14"/>
              </w:rPr>
              <w:t>Google Cloud</w:t>
            </w:r>
          </w:p>
        </w:tc>
        <w:tc>
          <w:tcPr>
            <w:tcW w:type="dxa" w:w="2592"/>
            <w:vAlign w:val="top"/>
            <w:shd w:fill="D9EAF7"/>
          </w:tcPr>
          <w:p>
            <w:r/>
            <w:r>
              <w:rPr>
                <w:rFonts w:ascii="Aptos" w:hAnsi="Aptos"/>
                <w:b/>
                <w:sz w:val="14"/>
              </w:rPr>
              <w:t>Enterprise platform team</w:t>
            </w:r>
          </w:p>
        </w:tc>
        <w:tc>
          <w:tcPr>
            <w:tcW w:type="dxa" w:w="2304"/>
            <w:vAlign w:val="top"/>
            <w:shd w:fill="D9EAF7"/>
          </w:tcPr>
          <w:p>
            <w:r/>
            <w:r>
              <w:rPr>
                <w:rFonts w:ascii="Aptos" w:hAnsi="Aptos"/>
                <w:b/>
                <w:sz w:val="14"/>
              </w:rPr>
              <w:t>Domain/workload team</w:t>
            </w:r>
          </w:p>
        </w:tc>
        <w:tc>
          <w:tcPr>
            <w:tcW w:type="dxa" w:w="2016"/>
            <w:vAlign w:val="top"/>
            <w:shd w:fill="D9EAF7"/>
          </w:tcPr>
          <w:p>
            <w:r/>
            <w:r>
              <w:rPr>
                <w:rFonts w:ascii="Aptos" w:hAnsi="Aptos"/>
                <w:b/>
                <w:sz w:val="14"/>
              </w:rPr>
              <w:t>Security/risk</w:t>
            </w:r>
          </w:p>
        </w:tc>
      </w:tr>
      <w:tr>
        <w:tc>
          <w:tcPr>
            <w:tcW w:type="dxa" w:w="2448"/>
            <w:vAlign w:val="top"/>
          </w:tcPr>
          <w:p>
            <w:r/>
            <w:r>
              <w:rPr>
                <w:rFonts w:ascii="Aptos" w:hAnsi="Aptos"/>
                <w:b w:val="0"/>
                <w:sz w:val="14"/>
              </w:rPr>
              <w:t>Physical/data-center security</w:t>
            </w:r>
          </w:p>
        </w:tc>
        <w:tc>
          <w:tcPr>
            <w:tcW w:type="dxa" w:w="2016"/>
            <w:vAlign w:val="top"/>
          </w:tcPr>
          <w:p>
            <w:r/>
            <w:r>
              <w:rPr>
                <w:rFonts w:ascii="Aptos" w:hAnsi="Aptos"/>
                <w:b w:val="0"/>
                <w:sz w:val="14"/>
              </w:rPr>
              <w:t>Responsible</w:t>
            </w:r>
          </w:p>
        </w:tc>
        <w:tc>
          <w:tcPr>
            <w:tcW w:type="dxa" w:w="2592"/>
            <w:vAlign w:val="top"/>
          </w:tcPr>
          <w:p>
            <w:r/>
            <w:r>
              <w:rPr>
                <w:rFonts w:ascii="Aptos" w:hAnsi="Aptos"/>
                <w:b w:val="0"/>
                <w:sz w:val="14"/>
              </w:rPr>
              <w:t>Consume assurance reports</w:t>
            </w:r>
          </w:p>
        </w:tc>
        <w:tc>
          <w:tcPr>
            <w:tcW w:type="dxa" w:w="2304"/>
            <w:vAlign w:val="top"/>
          </w:tcPr>
          <w:p>
            <w:r/>
            <w:r>
              <w:rPr>
                <w:rFonts w:ascii="Aptos" w:hAnsi="Aptos"/>
                <w:b w:val="0"/>
                <w:sz w:val="14"/>
              </w:rPr>
              <w:t>No direct action</w:t>
            </w:r>
          </w:p>
        </w:tc>
        <w:tc>
          <w:tcPr>
            <w:tcW w:type="dxa" w:w="2016"/>
            <w:vAlign w:val="top"/>
          </w:tcPr>
          <w:p>
            <w:r/>
            <w:r>
              <w:rPr>
                <w:rFonts w:ascii="Aptos" w:hAnsi="Aptos"/>
                <w:b w:val="0"/>
                <w:sz w:val="14"/>
              </w:rPr>
              <w:t>Review attestations</w:t>
            </w:r>
          </w:p>
        </w:tc>
      </w:tr>
      <w:tr>
        <w:tc>
          <w:tcPr>
            <w:tcW w:type="dxa" w:w="2448"/>
            <w:vAlign w:val="top"/>
          </w:tcPr>
          <w:p>
            <w:r/>
            <w:r>
              <w:rPr>
                <w:rFonts w:ascii="Aptos" w:hAnsi="Aptos"/>
                <w:b w:val="0"/>
                <w:sz w:val="14"/>
              </w:rPr>
              <w:t>IAM policy design</w:t>
            </w:r>
          </w:p>
        </w:tc>
        <w:tc>
          <w:tcPr>
            <w:tcW w:type="dxa" w:w="2016"/>
            <w:vAlign w:val="top"/>
          </w:tcPr>
          <w:p>
            <w:r/>
            <w:r>
              <w:rPr>
                <w:rFonts w:ascii="Aptos" w:hAnsi="Aptos"/>
                <w:b w:val="0"/>
                <w:sz w:val="14"/>
              </w:rPr>
              <w:t>Provides IAM service</w:t>
            </w:r>
          </w:p>
        </w:tc>
        <w:tc>
          <w:tcPr>
            <w:tcW w:type="dxa" w:w="2592"/>
            <w:vAlign w:val="top"/>
          </w:tcPr>
          <w:p>
            <w:r/>
            <w:r>
              <w:rPr>
                <w:rFonts w:ascii="Aptos" w:hAnsi="Aptos"/>
                <w:b w:val="0"/>
                <w:sz w:val="14"/>
              </w:rPr>
              <w:t>Defines baseline roles and groups</w:t>
            </w:r>
          </w:p>
        </w:tc>
        <w:tc>
          <w:tcPr>
            <w:tcW w:type="dxa" w:w="2304"/>
            <w:vAlign w:val="top"/>
          </w:tcPr>
          <w:p>
            <w:r/>
            <w:r>
              <w:rPr>
                <w:rFonts w:ascii="Aptos" w:hAnsi="Aptos"/>
                <w:b w:val="0"/>
                <w:sz w:val="14"/>
              </w:rPr>
              <w:t>Requests least privilege access</w:t>
            </w:r>
          </w:p>
        </w:tc>
        <w:tc>
          <w:tcPr>
            <w:tcW w:type="dxa" w:w="2016"/>
            <w:vAlign w:val="top"/>
          </w:tcPr>
          <w:p>
            <w:r/>
            <w:r>
              <w:rPr>
                <w:rFonts w:ascii="Aptos" w:hAnsi="Aptos"/>
                <w:b w:val="0"/>
                <w:sz w:val="14"/>
              </w:rPr>
              <w:t>Approves privileged models</w:t>
            </w:r>
          </w:p>
        </w:tc>
      </w:tr>
      <w:tr>
        <w:tc>
          <w:tcPr>
            <w:tcW w:type="dxa" w:w="2448"/>
            <w:vAlign w:val="top"/>
          </w:tcPr>
          <w:p>
            <w:r/>
            <w:r>
              <w:rPr>
                <w:rFonts w:ascii="Aptos" w:hAnsi="Aptos"/>
                <w:b w:val="0"/>
                <w:sz w:val="14"/>
              </w:rPr>
              <w:t>Data classification</w:t>
            </w:r>
          </w:p>
        </w:tc>
        <w:tc>
          <w:tcPr>
            <w:tcW w:type="dxa" w:w="2016"/>
            <w:vAlign w:val="top"/>
          </w:tcPr>
          <w:p>
            <w:r/>
            <w:r>
              <w:rPr>
                <w:rFonts w:ascii="Aptos" w:hAnsi="Aptos"/>
                <w:b w:val="0"/>
                <w:sz w:val="14"/>
              </w:rPr>
              <w:t>Provides tools such as SDP/KC</w:t>
            </w:r>
          </w:p>
        </w:tc>
        <w:tc>
          <w:tcPr>
            <w:tcW w:type="dxa" w:w="2592"/>
            <w:vAlign w:val="top"/>
          </w:tcPr>
          <w:p>
            <w:r/>
            <w:r>
              <w:rPr>
                <w:rFonts w:ascii="Aptos" w:hAnsi="Aptos"/>
                <w:b w:val="0"/>
                <w:sz w:val="14"/>
              </w:rPr>
              <w:t>Defines taxonomy and tooling</w:t>
            </w:r>
          </w:p>
        </w:tc>
        <w:tc>
          <w:tcPr>
            <w:tcW w:type="dxa" w:w="2304"/>
            <w:vAlign w:val="top"/>
          </w:tcPr>
          <w:p>
            <w:r/>
            <w:r>
              <w:rPr>
                <w:rFonts w:ascii="Aptos" w:hAnsi="Aptos"/>
                <w:b w:val="0"/>
                <w:sz w:val="14"/>
              </w:rPr>
              <w:t>Classifies data products</w:t>
            </w:r>
          </w:p>
        </w:tc>
        <w:tc>
          <w:tcPr>
            <w:tcW w:type="dxa" w:w="2016"/>
            <w:vAlign w:val="top"/>
          </w:tcPr>
          <w:p>
            <w:r/>
            <w:r>
              <w:rPr>
                <w:rFonts w:ascii="Aptos" w:hAnsi="Aptos"/>
                <w:b w:val="0"/>
                <w:sz w:val="14"/>
              </w:rPr>
              <w:t>Reviews regulated mappings</w:t>
            </w:r>
          </w:p>
        </w:tc>
      </w:tr>
      <w:tr>
        <w:tc>
          <w:tcPr>
            <w:tcW w:type="dxa" w:w="2448"/>
            <w:vAlign w:val="top"/>
          </w:tcPr>
          <w:p>
            <w:r/>
            <w:r>
              <w:rPr>
                <w:rFonts w:ascii="Aptos" w:hAnsi="Aptos"/>
                <w:b w:val="0"/>
                <w:sz w:val="14"/>
              </w:rPr>
              <w:t>Service perimeter config</w:t>
            </w:r>
          </w:p>
        </w:tc>
        <w:tc>
          <w:tcPr>
            <w:tcW w:type="dxa" w:w="2016"/>
            <w:vAlign w:val="top"/>
          </w:tcPr>
          <w:p>
            <w:r/>
            <w:r>
              <w:rPr>
                <w:rFonts w:ascii="Aptos" w:hAnsi="Aptos"/>
                <w:b w:val="0"/>
                <w:sz w:val="14"/>
              </w:rPr>
              <w:t>Provides VPC SC/ACM</w:t>
            </w:r>
          </w:p>
        </w:tc>
        <w:tc>
          <w:tcPr>
            <w:tcW w:type="dxa" w:w="2592"/>
            <w:vAlign w:val="top"/>
          </w:tcPr>
          <w:p>
            <w:r/>
            <w:r>
              <w:rPr>
                <w:rFonts w:ascii="Aptos" w:hAnsi="Aptos"/>
                <w:b w:val="0"/>
                <w:sz w:val="14"/>
              </w:rPr>
              <w:t>Builds perimeters and modules</w:t>
            </w:r>
          </w:p>
        </w:tc>
        <w:tc>
          <w:tcPr>
            <w:tcW w:type="dxa" w:w="2304"/>
            <w:vAlign w:val="top"/>
          </w:tcPr>
          <w:p>
            <w:r/>
            <w:r>
              <w:rPr>
                <w:rFonts w:ascii="Aptos" w:hAnsi="Aptos"/>
                <w:b w:val="0"/>
                <w:sz w:val="14"/>
              </w:rPr>
              <w:t>Defines approved flows</w:t>
            </w:r>
          </w:p>
        </w:tc>
        <w:tc>
          <w:tcPr>
            <w:tcW w:type="dxa" w:w="2016"/>
            <w:vAlign w:val="top"/>
          </w:tcPr>
          <w:p>
            <w:r/>
            <w:r>
              <w:rPr>
                <w:rFonts w:ascii="Aptos" w:hAnsi="Aptos"/>
                <w:b w:val="0"/>
                <w:sz w:val="14"/>
              </w:rPr>
              <w:t>Validates exfiltration controls</w:t>
            </w:r>
          </w:p>
        </w:tc>
      </w:tr>
      <w:tr>
        <w:tc>
          <w:tcPr>
            <w:tcW w:type="dxa" w:w="2448"/>
            <w:vAlign w:val="top"/>
          </w:tcPr>
          <w:p>
            <w:r/>
            <w:r>
              <w:rPr>
                <w:rFonts w:ascii="Aptos" w:hAnsi="Aptos"/>
                <w:b w:val="0"/>
                <w:sz w:val="14"/>
              </w:rPr>
              <w:t>Encryption keys</w:t>
            </w:r>
          </w:p>
        </w:tc>
        <w:tc>
          <w:tcPr>
            <w:tcW w:type="dxa" w:w="2016"/>
            <w:vAlign w:val="top"/>
          </w:tcPr>
          <w:p>
            <w:r/>
            <w:r>
              <w:rPr>
                <w:rFonts w:ascii="Aptos" w:hAnsi="Aptos"/>
                <w:b w:val="0"/>
                <w:sz w:val="14"/>
              </w:rPr>
              <w:t>Provides Cloud KMS/HSM/EKM integrations</w:t>
            </w:r>
          </w:p>
        </w:tc>
        <w:tc>
          <w:tcPr>
            <w:tcW w:type="dxa" w:w="2592"/>
            <w:vAlign w:val="top"/>
          </w:tcPr>
          <w:p>
            <w:r/>
            <w:r>
              <w:rPr>
                <w:rFonts w:ascii="Aptos" w:hAnsi="Aptos"/>
                <w:b w:val="0"/>
                <w:sz w:val="14"/>
              </w:rPr>
              <w:t>Creates key hierarchy and modules</w:t>
            </w:r>
          </w:p>
        </w:tc>
        <w:tc>
          <w:tcPr>
            <w:tcW w:type="dxa" w:w="2304"/>
            <w:vAlign w:val="top"/>
          </w:tcPr>
          <w:p>
            <w:r/>
            <w:r>
              <w:rPr>
                <w:rFonts w:ascii="Aptos" w:hAnsi="Aptos"/>
                <w:b w:val="0"/>
                <w:sz w:val="14"/>
              </w:rPr>
              <w:t>Selects classification and service mappings</w:t>
            </w:r>
          </w:p>
        </w:tc>
        <w:tc>
          <w:tcPr>
            <w:tcW w:type="dxa" w:w="2016"/>
            <w:vAlign w:val="top"/>
          </w:tcPr>
          <w:p>
            <w:r/>
            <w:r>
              <w:rPr>
                <w:rFonts w:ascii="Aptos" w:hAnsi="Aptos"/>
                <w:b w:val="0"/>
                <w:sz w:val="14"/>
              </w:rPr>
              <w:t>Owns custodianship and policy</w:t>
            </w:r>
          </w:p>
        </w:tc>
      </w:tr>
      <w:tr>
        <w:tc>
          <w:tcPr>
            <w:tcW w:type="dxa" w:w="2448"/>
            <w:vAlign w:val="top"/>
          </w:tcPr>
          <w:p>
            <w:r/>
            <w:r>
              <w:rPr>
                <w:rFonts w:ascii="Aptos" w:hAnsi="Aptos"/>
                <w:b w:val="0"/>
                <w:sz w:val="14"/>
              </w:rPr>
              <w:t>Threat detection</w:t>
            </w:r>
          </w:p>
        </w:tc>
        <w:tc>
          <w:tcPr>
            <w:tcW w:type="dxa" w:w="2016"/>
            <w:vAlign w:val="top"/>
          </w:tcPr>
          <w:p>
            <w:r/>
            <w:r>
              <w:rPr>
                <w:rFonts w:ascii="Aptos" w:hAnsi="Aptos"/>
                <w:b w:val="0"/>
                <w:sz w:val="14"/>
              </w:rPr>
              <w:t>Provides SCC and detections</w:t>
            </w:r>
          </w:p>
        </w:tc>
        <w:tc>
          <w:tcPr>
            <w:tcW w:type="dxa" w:w="2592"/>
            <w:vAlign w:val="top"/>
          </w:tcPr>
          <w:p>
            <w:r/>
            <w:r>
              <w:rPr>
                <w:rFonts w:ascii="Aptos" w:hAnsi="Aptos"/>
                <w:b w:val="0"/>
                <w:sz w:val="14"/>
              </w:rPr>
              <w:t>Routes findings and logs</w:t>
            </w:r>
          </w:p>
        </w:tc>
        <w:tc>
          <w:tcPr>
            <w:tcW w:type="dxa" w:w="2304"/>
            <w:vAlign w:val="top"/>
          </w:tcPr>
          <w:p>
            <w:r/>
            <w:r>
              <w:rPr>
                <w:rFonts w:ascii="Aptos" w:hAnsi="Aptos"/>
                <w:b w:val="0"/>
                <w:sz w:val="14"/>
              </w:rPr>
              <w:t>Responds to workload findings</w:t>
            </w:r>
          </w:p>
        </w:tc>
        <w:tc>
          <w:tcPr>
            <w:tcW w:type="dxa" w:w="2016"/>
            <w:vAlign w:val="top"/>
          </w:tcPr>
          <w:p>
            <w:r/>
            <w:r>
              <w:rPr>
                <w:rFonts w:ascii="Aptos" w:hAnsi="Aptos"/>
                <w:b w:val="0"/>
                <w:sz w:val="14"/>
              </w:rPr>
              <w:t>Runs incident process</w:t>
            </w:r>
          </w:p>
        </w:tc>
      </w:tr>
      <w:tr>
        <w:tc>
          <w:tcPr>
            <w:tcW w:type="dxa" w:w="2448"/>
            <w:vAlign w:val="top"/>
          </w:tcPr>
          <w:p>
            <w:r/>
            <w:r>
              <w:rPr>
                <w:rFonts w:ascii="Aptos" w:hAnsi="Aptos"/>
                <w:b w:val="0"/>
                <w:sz w:val="14"/>
              </w:rPr>
              <w:t>Compliance evidence</w:t>
            </w:r>
          </w:p>
        </w:tc>
        <w:tc>
          <w:tcPr>
            <w:tcW w:type="dxa" w:w="2016"/>
            <w:vAlign w:val="top"/>
          </w:tcPr>
          <w:p>
            <w:r/>
            <w:r>
              <w:rPr>
                <w:rFonts w:ascii="Aptos" w:hAnsi="Aptos"/>
                <w:b w:val="0"/>
                <w:sz w:val="14"/>
              </w:rPr>
              <w:t>Provides logs and attestations</w:t>
            </w:r>
          </w:p>
        </w:tc>
        <w:tc>
          <w:tcPr>
            <w:tcW w:type="dxa" w:w="2592"/>
            <w:vAlign w:val="top"/>
          </w:tcPr>
          <w:p>
            <w:r/>
            <w:r>
              <w:rPr>
                <w:rFonts w:ascii="Aptos" w:hAnsi="Aptos"/>
                <w:b w:val="0"/>
                <w:sz w:val="14"/>
              </w:rPr>
              <w:t>Automates exports</w:t>
            </w:r>
          </w:p>
        </w:tc>
        <w:tc>
          <w:tcPr>
            <w:tcW w:type="dxa" w:w="2304"/>
            <w:vAlign w:val="top"/>
          </w:tcPr>
          <w:p>
            <w:r/>
            <w:r>
              <w:rPr>
                <w:rFonts w:ascii="Aptos" w:hAnsi="Aptos"/>
                <w:b w:val="0"/>
                <w:sz w:val="14"/>
              </w:rPr>
              <w:t>Supplies workload evidence</w:t>
            </w:r>
          </w:p>
        </w:tc>
        <w:tc>
          <w:tcPr>
            <w:tcW w:type="dxa" w:w="2016"/>
            <w:vAlign w:val="top"/>
          </w:tcPr>
          <w:p>
            <w:r/>
            <w:r>
              <w:rPr>
                <w:rFonts w:ascii="Aptos" w:hAnsi="Aptos"/>
                <w:b w:val="0"/>
                <w:sz w:val="14"/>
              </w:rPr>
              <w:t>Maps controls and manages audits</w:t>
            </w:r>
          </w:p>
        </w:tc>
      </w:tr>
    </w:tbl>
    <w:p>
      <w:pPr>
        <w:pStyle w:val="Small"/>
      </w:pPr>
    </w:p>
    <w:p>
      <w:r>
        <w:br w:type="page"/>
      </w:r>
    </w:p>
    <w:p>
      <w:pPr>
        <w:pStyle w:val="Heading1"/>
      </w:pPr>
      <w:r>
        <w:t>5. Zero Trust Architecture</w:t>
      </w:r>
    </w:p>
    <w:p>
      <w:r>
        <w:t>The platform applies Zero Trust through four enforcement planes: identity perimeter, network perimeter, data perimeter and workload perimeter. Each plane contributes independent evidence. A request to a restricted data product is allowed only when identity, group membership, device/network context, resource classification, data purpose, service perimeter, key permission and workload integrity are aligned.</w:t>
      </w:r>
    </w:p>
    <w:p>
      <w:pPr>
        <w:pStyle w:val="Heading2"/>
      </w:pPr>
      <w:r>
        <w:t>5.1 Zero Trust decision flow</w:t>
      </w:r>
    </w:p>
    <w:p>
      <w:pPr>
        <w:pStyle w:val="ListNumber"/>
      </w:pPr>
      <w:r>
        <w:t>Authenticate the subject through enterprise federation or workload federation.</w:t>
      </w:r>
    </w:p>
    <w:p>
      <w:pPr>
        <w:pStyle w:val="ListNumber"/>
      </w:pPr>
      <w:r>
        <w:t>Evaluate identity group, role, condition, device posture, source network and access level.</w:t>
      </w:r>
    </w:p>
    <w:p>
      <w:pPr>
        <w:pStyle w:val="ListNumber"/>
      </w:pPr>
      <w:r>
        <w:t>Evaluate resource sensitivity, service perimeter, ingress/egress rule and approved data purpose.</w:t>
      </w:r>
    </w:p>
    <w:p>
      <w:pPr>
        <w:pStyle w:val="ListNumber"/>
      </w:pPr>
      <w:r>
        <w:t>Evaluate workload identity, artifact trust, runtime posture, vulnerability state and deployment provenance.</w:t>
      </w:r>
    </w:p>
    <w:p>
      <w:pPr>
        <w:pStyle w:val="ListNumber"/>
      </w:pPr>
      <w:r>
        <w:t>Permit the minimum required action, record audit evidence and continuously monitor for drift or anomalous behavior.</w:t>
      </w:r>
    </w:p>
    <w:tbl>
      <w:tblPr>
        <w:tblStyle w:val="TableGrid"/>
        <w:tblW w:type="auto" w:w="0"/>
        <w:jc w:val="center"/>
        <w:tblLook w:firstColumn="1" w:firstRow="1" w:lastColumn="0" w:lastRow="0" w:noHBand="0" w:noVBand="1" w:val="04A0"/>
      </w:tblPr>
      <w:tblGrid>
        <w:gridCol w:w="3504"/>
        <w:gridCol w:w="3504"/>
        <w:gridCol w:w="3504"/>
      </w:tblGrid>
      <w:tr>
        <w:tc>
          <w:tcPr>
            <w:tcW w:type="dxa" w:w="2160"/>
            <w:vAlign w:val="top"/>
            <w:shd w:fill="D9EAF7"/>
          </w:tcPr>
          <w:p>
            <w:r/>
            <w:r>
              <w:rPr>
                <w:rFonts w:ascii="Aptos" w:hAnsi="Aptos"/>
                <w:b/>
                <w:sz w:val="14"/>
              </w:rPr>
              <w:t>Control plane</w:t>
            </w:r>
          </w:p>
        </w:tc>
        <w:tc>
          <w:tcPr>
            <w:tcW w:type="dxa" w:w="4608"/>
            <w:vAlign w:val="top"/>
            <w:shd w:fill="D9EAF7"/>
          </w:tcPr>
          <w:p>
            <w:r/>
            <w:r>
              <w:rPr>
                <w:rFonts w:ascii="Aptos" w:hAnsi="Aptos"/>
                <w:b/>
                <w:sz w:val="14"/>
              </w:rPr>
              <w:t>Trust question</w:t>
            </w:r>
          </w:p>
        </w:tc>
        <w:tc>
          <w:tcPr>
            <w:tcW w:type="dxa" w:w="3600"/>
            <w:vAlign w:val="top"/>
            <w:shd w:fill="D9EAF7"/>
          </w:tcPr>
          <w:p>
            <w:r/>
            <w:r>
              <w:rPr>
                <w:rFonts w:ascii="Aptos" w:hAnsi="Aptos"/>
                <w:b/>
                <w:sz w:val="14"/>
              </w:rPr>
              <w:t>Primary services</w:t>
            </w:r>
          </w:p>
        </w:tc>
      </w:tr>
      <w:tr>
        <w:tc>
          <w:tcPr>
            <w:tcW w:type="dxa" w:w="2160"/>
            <w:vAlign w:val="top"/>
          </w:tcPr>
          <w:p>
            <w:r/>
            <w:r>
              <w:rPr>
                <w:rFonts w:ascii="Aptos" w:hAnsi="Aptos"/>
                <w:b w:val="0"/>
                <w:sz w:val="14"/>
              </w:rPr>
              <w:t>Identity</w:t>
            </w:r>
          </w:p>
        </w:tc>
        <w:tc>
          <w:tcPr>
            <w:tcW w:type="dxa" w:w="4608"/>
            <w:vAlign w:val="top"/>
          </w:tcPr>
          <w:p>
            <w:r/>
            <w:r>
              <w:rPr>
                <w:rFonts w:ascii="Aptos" w:hAnsi="Aptos"/>
                <w:b w:val="0"/>
                <w:sz w:val="14"/>
              </w:rPr>
              <w:t>Who is requesting access and under what assurance?</w:t>
            </w:r>
          </w:p>
        </w:tc>
        <w:tc>
          <w:tcPr>
            <w:tcW w:type="dxa" w:w="3600"/>
            <w:vAlign w:val="top"/>
          </w:tcPr>
          <w:p>
            <w:r/>
            <w:r>
              <w:rPr>
                <w:rFonts w:ascii="Aptos" w:hAnsi="Aptos"/>
                <w:b w:val="0"/>
                <w:sz w:val="14"/>
              </w:rPr>
              <w:t>Cloud Identity, Workforce Identity Federation, IAM, IAM Conditions, PAM</w:t>
            </w:r>
          </w:p>
        </w:tc>
      </w:tr>
      <w:tr>
        <w:tc>
          <w:tcPr>
            <w:tcW w:type="dxa" w:w="2160"/>
            <w:vAlign w:val="top"/>
          </w:tcPr>
          <w:p>
            <w:r/>
            <w:r>
              <w:rPr>
                <w:rFonts w:ascii="Aptos" w:hAnsi="Aptos"/>
                <w:b w:val="0"/>
                <w:sz w:val="14"/>
              </w:rPr>
              <w:t>Network</w:t>
            </w:r>
          </w:p>
        </w:tc>
        <w:tc>
          <w:tcPr>
            <w:tcW w:type="dxa" w:w="4608"/>
            <w:vAlign w:val="top"/>
          </w:tcPr>
          <w:p>
            <w:r/>
            <w:r>
              <w:rPr>
                <w:rFonts w:ascii="Aptos" w:hAnsi="Aptos"/>
                <w:b w:val="0"/>
                <w:sz w:val="14"/>
              </w:rPr>
              <w:t>Is the path private, expected and controlled?</w:t>
            </w:r>
          </w:p>
        </w:tc>
        <w:tc>
          <w:tcPr>
            <w:tcW w:type="dxa" w:w="3600"/>
            <w:vAlign w:val="top"/>
          </w:tcPr>
          <w:p>
            <w:r/>
            <w:r>
              <w:rPr>
                <w:rFonts w:ascii="Aptos" w:hAnsi="Aptos"/>
                <w:b w:val="0"/>
                <w:sz w:val="14"/>
              </w:rPr>
              <w:t>Shared VPC, Private Service Connect, Cloud Firewall, Cloud Armor, Cloud NAT</w:t>
            </w:r>
          </w:p>
        </w:tc>
      </w:tr>
      <w:tr>
        <w:tc>
          <w:tcPr>
            <w:tcW w:type="dxa" w:w="2160"/>
            <w:vAlign w:val="top"/>
          </w:tcPr>
          <w:p>
            <w:r/>
            <w:r>
              <w:rPr>
                <w:rFonts w:ascii="Aptos" w:hAnsi="Aptos"/>
                <w:b w:val="0"/>
                <w:sz w:val="14"/>
              </w:rPr>
              <w:t>Data</w:t>
            </w:r>
          </w:p>
        </w:tc>
        <w:tc>
          <w:tcPr>
            <w:tcW w:type="dxa" w:w="4608"/>
            <w:vAlign w:val="top"/>
          </w:tcPr>
          <w:p>
            <w:r/>
            <w:r>
              <w:rPr>
                <w:rFonts w:ascii="Aptos" w:hAnsi="Aptos"/>
                <w:b w:val="0"/>
                <w:sz w:val="14"/>
              </w:rPr>
              <w:t>Is the data allowed to move to this subject and destination?</w:t>
            </w:r>
          </w:p>
        </w:tc>
        <w:tc>
          <w:tcPr>
            <w:tcW w:type="dxa" w:w="3600"/>
            <w:vAlign w:val="top"/>
          </w:tcPr>
          <w:p>
            <w:r/>
            <w:r>
              <w:rPr>
                <w:rFonts w:ascii="Aptos" w:hAnsi="Aptos"/>
                <w:b w:val="0"/>
                <w:sz w:val="14"/>
              </w:rPr>
              <w:t>VPC Service Controls, Access Context Manager, Sensitive Data Protection, BigQuery policies, KMS</w:t>
            </w:r>
          </w:p>
        </w:tc>
      </w:tr>
      <w:tr>
        <w:tc>
          <w:tcPr>
            <w:tcW w:type="dxa" w:w="2160"/>
            <w:vAlign w:val="top"/>
          </w:tcPr>
          <w:p>
            <w:r/>
            <w:r>
              <w:rPr>
                <w:rFonts w:ascii="Aptos" w:hAnsi="Aptos"/>
                <w:b w:val="0"/>
                <w:sz w:val="14"/>
              </w:rPr>
              <w:t>Workload</w:t>
            </w:r>
          </w:p>
        </w:tc>
        <w:tc>
          <w:tcPr>
            <w:tcW w:type="dxa" w:w="4608"/>
            <w:vAlign w:val="top"/>
          </w:tcPr>
          <w:p>
            <w:r/>
            <w:r>
              <w:rPr>
                <w:rFonts w:ascii="Aptos" w:hAnsi="Aptos"/>
                <w:b w:val="0"/>
                <w:sz w:val="14"/>
              </w:rPr>
              <w:t>Is the code, build and runtime trusted?</w:t>
            </w:r>
          </w:p>
        </w:tc>
        <w:tc>
          <w:tcPr>
            <w:tcW w:type="dxa" w:w="3600"/>
            <w:vAlign w:val="top"/>
          </w:tcPr>
          <w:p>
            <w:r/>
            <w:r>
              <w:rPr>
                <w:rFonts w:ascii="Aptos" w:hAnsi="Aptos"/>
                <w:b w:val="0"/>
                <w:sz w:val="14"/>
              </w:rPr>
              <w:t>Workload Identity Federation, Artifact Analysis, Binary Authorization, GKE, Cloud Run</w:t>
            </w:r>
          </w:p>
        </w:tc>
      </w:tr>
      <w:tr>
        <w:tc>
          <w:tcPr>
            <w:tcW w:type="dxa" w:w="2160"/>
            <w:vAlign w:val="top"/>
          </w:tcPr>
          <w:p>
            <w:r/>
            <w:r>
              <w:rPr>
                <w:rFonts w:ascii="Aptos" w:hAnsi="Aptos"/>
                <w:b w:val="0"/>
                <w:sz w:val="14"/>
              </w:rPr>
              <w:t>Operations</w:t>
            </w:r>
          </w:p>
        </w:tc>
        <w:tc>
          <w:tcPr>
            <w:tcW w:type="dxa" w:w="4608"/>
            <w:vAlign w:val="top"/>
          </w:tcPr>
          <w:p>
            <w:r/>
            <w:r>
              <w:rPr>
                <w:rFonts w:ascii="Aptos" w:hAnsi="Aptos"/>
                <w:b w:val="0"/>
                <w:sz w:val="14"/>
              </w:rPr>
              <w:t>Is the action observable and recoverable?</w:t>
            </w:r>
          </w:p>
        </w:tc>
        <w:tc>
          <w:tcPr>
            <w:tcW w:type="dxa" w:w="3600"/>
            <w:vAlign w:val="top"/>
          </w:tcPr>
          <w:p>
            <w:r/>
            <w:r>
              <w:rPr>
                <w:rFonts w:ascii="Aptos" w:hAnsi="Aptos"/>
                <w:b w:val="0"/>
                <w:sz w:val="14"/>
              </w:rPr>
              <w:t>Cloud Audit Logs, SCC, Event Threat Detection, SIEM, SOAR, runbooks</w:t>
            </w:r>
          </w:p>
        </w:tc>
      </w:tr>
    </w:tbl>
    <w:p>
      <w:pPr>
        <w:pStyle w:val="Small"/>
      </w:pPr>
    </w:p>
    <w:p>
      <w:r>
        <w:br w:type="page"/>
      </w:r>
    </w:p>
    <w:p>
      <w:pPr>
        <w:pStyle w:val="Heading1"/>
      </w:pPr>
      <w:r>
        <w:t>6. Identity Perimeter</w:t>
      </w:r>
    </w:p>
    <w:p>
      <w:r>
        <w:t>The identity perimeter establishes who can access enterprise resources and under which assurance level. Human identities are federated from the enterprise identity provider into Google Cloud. Workload identities are federated from approved build systems, Kubernetes platforms and external clouds. Cloud Identity groups remain the authorization unit. Direct user grants are prohibited in production except for emergency break-glass identities that are governed through PAM and audit review.</w:t>
      </w:r>
    </w:p>
    <w:p>
      <w:pPr>
        <w:pStyle w:val="ListBullet"/>
      </w:pPr>
      <w:r>
        <w:t>Use group naming aligned to environment, domain, role and classification.</w:t>
      </w:r>
    </w:p>
    <w:p>
      <w:pPr>
        <w:pStyle w:val="ListBullet"/>
      </w:pPr>
      <w:r>
        <w:t>Use IAM Conditions for time, resource name, request reason and context-dependent grants.</w:t>
      </w:r>
    </w:p>
    <w:p>
      <w:pPr>
        <w:pStyle w:val="ListBullet"/>
      </w:pPr>
      <w:r>
        <w:t>Use deny policies for high-risk operations such as service account key creation where appropriate.</w:t>
      </w:r>
    </w:p>
    <w:p>
      <w:pPr>
        <w:pStyle w:val="ListBullet"/>
      </w:pPr>
      <w:r>
        <w:t>Review privileged groups monthly and standard product access quarterly.</w:t>
      </w:r>
    </w:p>
    <w:p>
      <w:r>
        <w:drawing>
          <wp:inline xmlns:a="http://schemas.openxmlformats.org/drawingml/2006/main" xmlns:pic="http://schemas.openxmlformats.org/drawingml/2006/picture">
            <wp:extent cx="6583680" cy="791597"/>
            <wp:docPr id="2" name="Picture 2"/>
            <wp:cNvGraphicFramePr>
              <a:graphicFrameLocks noChangeAspect="1"/>
            </wp:cNvGraphicFramePr>
            <a:graphic>
              <a:graphicData uri="http://schemas.openxmlformats.org/drawingml/2006/picture">
                <pic:pic>
                  <pic:nvPicPr>
                    <pic:cNvPr id="0" name="identity_trust_boundary.png"/>
                    <pic:cNvPicPr/>
                  </pic:nvPicPr>
                  <pic:blipFill>
                    <a:blip r:embed="rId12"/>
                    <a:stretch>
                      <a:fillRect/>
                    </a:stretch>
                  </pic:blipFill>
                  <pic:spPr>
                    <a:xfrm>
                      <a:off x="0" y="0"/>
                      <a:ext cx="6583680" cy="791597"/>
                    </a:xfrm>
                    <a:prstGeom prst="rect"/>
                  </pic:spPr>
                </pic:pic>
              </a:graphicData>
            </a:graphic>
          </wp:inline>
        </w:drawing>
      </w:r>
    </w:p>
    <w:p>
      <w:pPr>
        <w:pStyle w:val="Small"/>
        <w:jc w:val="center"/>
      </w:pPr>
      <w:r>
        <w:t>Figure 2 - Identity trust boundary and federation model</w:t>
      </w:r>
    </w:p>
    <w:p>
      <w:r>
        <w:br w:type="page"/>
      </w:r>
    </w:p>
    <w:p>
      <w:pPr>
        <w:pStyle w:val="Heading1"/>
      </w:pPr>
      <w:r>
        <w:t>7. Network Perimeter</w:t>
      </w:r>
    </w:p>
    <w:p>
      <w:r>
        <w:t>The network perimeter controls connectivity, ingress, egress and exposure. The data platform uses Shared VPC, hierarchical firewall policies, Private Google Access, Private Service Connect, Cloud NAT and Cloud Armor for internet-facing services. Network location alone is never sufficient authorization, but private paths reduce exposure and simplify monitoring.</w:t>
      </w:r>
    </w:p>
    <w:p>
      <w:pPr>
        <w:pStyle w:val="ListBullet"/>
      </w:pPr>
      <w:r>
        <w:t>Deny all non-approved ingress by default through hierarchical firewall policies.</w:t>
      </w:r>
    </w:p>
    <w:p>
      <w:pPr>
        <w:pStyle w:val="ListBullet"/>
      </w:pPr>
      <w:r>
        <w:t>Centralize egress through monitored NAT or proxy patterns for workloads that require internet access.</w:t>
      </w:r>
    </w:p>
    <w:p>
      <w:pPr>
        <w:pStyle w:val="ListBullet"/>
      </w:pPr>
      <w:r>
        <w:t>Use Private Service Connect for API access and producer/consumer service exposure.</w:t>
      </w:r>
    </w:p>
    <w:p>
      <w:pPr>
        <w:pStyle w:val="ListBullet"/>
      </w:pPr>
      <w:r>
        <w:t>Use Cloud Armor for external applications, APIs and portals that expose analytics, data products or operational interfaces.</w:t>
      </w:r>
    </w:p>
    <w:p>
      <w:r>
        <w:br w:type="page"/>
      </w:r>
    </w:p>
    <w:p>
      <w:pPr>
        <w:pStyle w:val="Heading1"/>
      </w:pPr>
      <w:r>
        <w:t>8. Data Perimeter</w:t>
      </w:r>
    </w:p>
    <w:p>
      <w:r>
        <w:t>The data perimeter protects APIs and managed services that host or process enterprise data. VPC Service Controls is the primary exfiltration-reduction control for restricted projects. Access Context Manager supplies access levels based on identity, network, device and contextual attributes. Perimeter design is product-aware because supported services and interfaces must be validated before enforcement.</w:t>
      </w:r>
    </w:p>
    <w:p>
      <w:pPr>
        <w:pStyle w:val="ListBullet"/>
      </w:pPr>
      <w:r>
        <w:t>Start VPC Service Controls in dry-run mode for new perimeters.</w:t>
      </w:r>
    </w:p>
    <w:p>
      <w:pPr>
        <w:pStyle w:val="ListBullet"/>
      </w:pPr>
      <w:r>
        <w:t>Model approved ingress and egress explicitly before enforcement.</w:t>
      </w:r>
    </w:p>
    <w:p>
      <w:pPr>
        <w:pStyle w:val="ListBullet"/>
      </w:pPr>
      <w:r>
        <w:t>Review policy denied logs daily during rollout and continuously in production.</w:t>
      </w:r>
    </w:p>
    <w:p>
      <w:pPr>
        <w:pStyle w:val="ListBullet"/>
      </w:pPr>
      <w:r>
        <w:t>Do not use VPC Service Controls as a replacement for IAM, encryption, classification or application security.</w:t>
      </w:r>
    </w:p>
    <w:p>
      <w:r>
        <w:drawing>
          <wp:inline xmlns:a="http://schemas.openxmlformats.org/drawingml/2006/main" xmlns:pic="http://schemas.openxmlformats.org/drawingml/2006/picture">
            <wp:extent cx="6583680" cy="1640408"/>
            <wp:docPr id="3" name="Picture 3"/>
            <wp:cNvGraphicFramePr>
              <a:graphicFrameLocks noChangeAspect="1"/>
            </wp:cNvGraphicFramePr>
            <a:graphic>
              <a:graphicData uri="http://schemas.openxmlformats.org/drawingml/2006/picture">
                <pic:pic>
                  <pic:nvPicPr>
                    <pic:cNvPr id="0" name="vpc_service_controls_data_perimeter.png"/>
                    <pic:cNvPicPr/>
                  </pic:nvPicPr>
                  <pic:blipFill>
                    <a:blip r:embed="rId13"/>
                    <a:stretch>
                      <a:fillRect/>
                    </a:stretch>
                  </pic:blipFill>
                  <pic:spPr>
                    <a:xfrm>
                      <a:off x="0" y="0"/>
                      <a:ext cx="6583680" cy="1640408"/>
                    </a:xfrm>
                    <a:prstGeom prst="rect"/>
                  </pic:spPr>
                </pic:pic>
              </a:graphicData>
            </a:graphic>
          </wp:inline>
        </w:drawing>
      </w:r>
    </w:p>
    <w:p>
      <w:pPr>
        <w:pStyle w:val="Small"/>
        <w:jc w:val="center"/>
      </w:pPr>
      <w:r>
        <w:t>Figure 3 - VPC Service Controls and context-aware data perimeter</w:t>
      </w:r>
    </w:p>
    <w:p>
      <w:r>
        <w:br w:type="page"/>
      </w:r>
    </w:p>
    <w:p>
      <w:pPr>
        <w:pStyle w:val="Heading1"/>
      </w:pPr>
      <w:r>
        <w:t>9. Workload Perimeter</w:t>
      </w:r>
    </w:p>
    <w:p>
      <w:r>
        <w:t>The workload perimeter protects pipelines, containers, serverless services, analytics engines and AI workloads. It verifies where code came from, whether the artifact was scanned, whether the deployment was approved and whether runtime identity is scoped. The workload perimeter is especially important for Dataflow, Cloud Run, GKE, Composer, Dataform, Vertex AI and CI/CD agents.</w:t>
      </w:r>
    </w:p>
    <w:p>
      <w:pPr>
        <w:pStyle w:val="ListBullet"/>
      </w:pPr>
      <w:r>
        <w:t>Use Workload Identity Federation for external build and runtime platforms.</w:t>
      </w:r>
    </w:p>
    <w:p>
      <w:pPr>
        <w:pStyle w:val="ListBullet"/>
      </w:pPr>
      <w:r>
        <w:t>Attach one service account per deployable workload and environment.</w:t>
      </w:r>
    </w:p>
    <w:p>
      <w:pPr>
        <w:pStyle w:val="ListBullet"/>
      </w:pPr>
      <w:r>
        <w:t>Require Artifact Analysis and Binary Authorization for containerized production workloads.</w:t>
      </w:r>
    </w:p>
    <w:p>
      <w:pPr>
        <w:pStyle w:val="ListBullet"/>
      </w:pPr>
      <w:r>
        <w:t>Route runtime security signals into Security Command Center and SIEM.</w:t>
      </w:r>
    </w:p>
    <w:p>
      <w:r>
        <w:br w:type="page"/>
      </w:r>
    </w:p>
    <w:p>
      <w:pPr>
        <w:pStyle w:val="Heading1"/>
      </w:pPr>
      <w:r>
        <w:t>10. IAM Architecture</w:t>
      </w:r>
    </w:p>
    <w:p>
      <w:r>
        <w:t>IAM uses a layered model: resource hierarchy guardrails, group-based functional access, service-specific custom roles where needed, IAM Conditions for context, deny policies for prohibited actions and PAM for privileged elevation. The platform avoids permanent project-owner grants. Access decisions are documented in an access matrix and periodically reviewed.</w:t>
      </w:r>
    </w:p>
    <w:p>
      <w:pPr>
        <w:pStyle w:val="ListBullet"/>
      </w:pPr>
      <w:r>
        <w:t>Prefer predefined roles before custom roles, and custom roles before broad basic roles.</w:t>
      </w:r>
    </w:p>
    <w:p>
      <w:pPr>
        <w:pStyle w:val="ListBullet"/>
      </w:pPr>
      <w:r>
        <w:t>Apply IAM at the narrowest practical resource boundary.</w:t>
      </w:r>
    </w:p>
    <w:p>
      <w:pPr>
        <w:pStyle w:val="ListBullet"/>
      </w:pPr>
      <w:r>
        <w:t>Avoid direct user grants in production.</w:t>
      </w:r>
    </w:p>
    <w:p>
      <w:pPr>
        <w:pStyle w:val="ListBullet"/>
      </w:pPr>
      <w:r>
        <w:t>Automate IAM drift detection using Cloud Asset Inventory exports.</w:t>
      </w:r>
    </w:p>
    <w:p>
      <w:r>
        <w:br w:type="page"/>
      </w:r>
    </w:p>
    <w:p>
      <w:pPr>
        <w:pStyle w:val="Heading1"/>
      </w:pPr>
      <w:r>
        <w:t>11. Human Identities</w:t>
      </w:r>
    </w:p>
    <w:p>
      <w:r>
        <w:t>Human access uses enterprise SSO, MFA, trusted device posture and group membership. Workforce Identity Federation is the preferred pattern for external workforce identities. Cloud Identity groups represent roles such as platform security admin, data product owner, domain steward, analytics consumer and SRE on-call. Privilege elevation happens through PAM, not standing administrative membership.</w:t>
      </w:r>
    </w:p>
    <w:p>
      <w:pPr>
        <w:pStyle w:val="ListBullet"/>
      </w:pPr>
      <w:r>
        <w:t>Require MFA and approved IdP session policies.</w:t>
      </w:r>
    </w:p>
    <w:p>
      <w:pPr>
        <w:pStyle w:val="ListBullet"/>
      </w:pPr>
      <w:r>
        <w:t>Map identity lifecycle events from HR and partner systems to access removal.</w:t>
      </w:r>
    </w:p>
    <w:p>
      <w:pPr>
        <w:pStyle w:val="ListBullet"/>
      </w:pPr>
      <w:r>
        <w:t>Use break-glass identities only for emergency recovery and test them periodically.</w:t>
      </w:r>
    </w:p>
    <w:p>
      <w:pPr>
        <w:pStyle w:val="ListBullet"/>
      </w:pPr>
      <w:r>
        <w:t>Block local unmanaged identities for production administration.</w:t>
      </w:r>
    </w:p>
    <w:p>
      <w:r>
        <w:br w:type="page"/>
      </w:r>
    </w:p>
    <w:p>
      <w:pPr>
        <w:pStyle w:val="Heading1"/>
      </w:pPr>
      <w:r>
        <w:t>12. Workload Identities and Service Accounts</w:t>
      </w:r>
    </w:p>
    <w:p>
      <w:r>
        <w:t>Workload identity design removes long-lived secrets and creates auditable workload-to-resource relationships. CI/CD systems, GKE workloads, AWS/Azure workloads and self-hosted systems authenticate through Workload Identity Federation or approved service account impersonation. Service accounts are named by domain, function, environment and data classification.</w:t>
      </w:r>
    </w:p>
    <w:p>
      <w:pPr>
        <w:pStyle w:val="ListBullet"/>
      </w:pPr>
      <w:r>
        <w:t>Disable service account key creation and upload by organization policy.</w:t>
      </w:r>
    </w:p>
    <w:p>
      <w:pPr>
        <w:pStyle w:val="ListBullet"/>
      </w:pPr>
      <w:r>
        <w:t>Use Service Account Token Creator only for approved impersonation paths.</w:t>
      </w:r>
    </w:p>
    <w:p>
      <w:pPr>
        <w:pStyle w:val="ListBullet"/>
      </w:pPr>
      <w:r>
        <w:t>Separate build, deploy, runtime and break-glass service accounts.</w:t>
      </w:r>
    </w:p>
    <w:p>
      <w:pPr>
        <w:pStyle w:val="ListBullet"/>
      </w:pPr>
      <w:r>
        <w:t>Log both the impersonated service account and the principal that generated short-lived credentials.</w:t>
      </w:r>
    </w:p>
    <w:p>
      <w:r>
        <w:br w:type="page"/>
      </w:r>
    </w:p>
    <w:p>
      <w:pPr>
        <w:pStyle w:val="Heading1"/>
      </w:pPr>
      <w:r>
        <w:t>13. Privileged Access, JIT and Break-Glass</w:t>
      </w:r>
    </w:p>
    <w:p>
      <w:r>
        <w:t>Privileged access is a controlled exception flow. Privileged Access Manager provides approval, time-bound access, justification and audit logs for elevated roles. Break-glass access is reserved for incidents where normal controls prevent recovery and must be tied to an incident ID, post-use review and compensating controls.</w:t>
      </w:r>
    </w:p>
    <w:p>
      <w:pPr>
        <w:pStyle w:val="ListBullet"/>
      </w:pPr>
      <w:r>
        <w:t>Define PAM entitlements for platform security, SRE, KMS custodians and incident commanders.</w:t>
      </w:r>
    </w:p>
    <w:p>
      <w:pPr>
        <w:pStyle w:val="ListBullet"/>
      </w:pPr>
      <w:r>
        <w:t>Limit privileged elevation duration to the minimum operational window.</w:t>
      </w:r>
    </w:p>
    <w:p>
      <w:pPr>
        <w:pStyle w:val="ListBullet"/>
      </w:pPr>
      <w:r>
        <w:t>Require dual approval for Regulated or Restricted access.</w:t>
      </w:r>
    </w:p>
    <w:p>
      <w:pPr>
        <w:pStyle w:val="ListBullet"/>
      </w:pPr>
      <w:r>
        <w:t>Alert on every break-glass grant and include it in monthly security review.</w:t>
      </w:r>
    </w:p>
    <w:p>
      <w:r>
        <w:br w:type="page"/>
      </w:r>
    </w:p>
    <w:p>
      <w:pPr>
        <w:pStyle w:val="Heading1"/>
      </w:pPr>
      <w:r>
        <w:t>14. Separation of Duties</w:t>
      </w:r>
    </w:p>
    <w:p>
      <w:r>
        <w:t>Separation of duties prevents a single actor from developing, approving, deploying and operating high-risk changes without independent review. The architecture separates code authors, approvers, deployment service accounts, KMS custodians, data owners and security reviewers.</w:t>
      </w:r>
    </w:p>
    <w:p>
      <w:pPr>
        <w:pStyle w:val="ListBullet"/>
      </w:pPr>
      <w:r>
        <w:t>Developers cannot approve their own production deployment.</w:t>
      </w:r>
    </w:p>
    <w:p>
      <w:pPr>
        <w:pStyle w:val="ListBullet"/>
      </w:pPr>
      <w:r>
        <w:t>KMS key administrators cannot decrypt regulated data by default.</w:t>
      </w:r>
    </w:p>
    <w:p>
      <w:pPr>
        <w:pStyle w:val="ListBullet"/>
      </w:pPr>
      <w:r>
        <w:t>Data owners approve data access, while platform teams implement the technical grant.</w:t>
      </w:r>
    </w:p>
    <w:p>
      <w:pPr>
        <w:pStyle w:val="ListBullet"/>
      </w:pPr>
      <w:r>
        <w:t>Security operations can contain incidents but production restoration follows change control.</w:t>
      </w:r>
    </w:p>
    <w:p>
      <w:r>
        <w:br w:type="page"/>
      </w:r>
    </w:p>
    <w:p>
      <w:pPr>
        <w:pStyle w:val="Heading1"/>
      </w:pPr>
      <w:r>
        <w:t>15. Organization Policies</w:t>
      </w:r>
    </w:p>
    <w:p>
      <w:r>
        <w:t>Organization policies enforce non-negotiable guardrails across the resource hierarchy. They prevent dangerous configuration states such as external IP use, service account keys, public buckets, unrestricted resource locations and disabled audit logs. Policies are introduced in dry-run or monitor mode where supported before enforcement.</w:t>
      </w:r>
    </w:p>
    <w:p>
      <w:pPr>
        <w:pStyle w:val="ListBullet"/>
      </w:pPr>
      <w:r>
        <w:t>Manage organization policies through Terraform.</w:t>
      </w:r>
    </w:p>
    <w:p>
      <w:pPr>
        <w:pStyle w:val="ListBullet"/>
      </w:pPr>
      <w:r>
        <w:t>Document each exception with owner, expiry and compensating controls.</w:t>
      </w:r>
    </w:p>
    <w:p>
      <w:pPr>
        <w:pStyle w:val="ListBullet"/>
      </w:pPr>
      <w:r>
        <w:t>Validate policy inheritance across folders and projects.</w:t>
      </w:r>
    </w:p>
    <w:p>
      <w:pPr>
        <w:pStyle w:val="ListBullet"/>
      </w:pPr>
      <w:r>
        <w:t>Use labels and tags to scope conditional policies to environment and classification.</w:t>
      </w:r>
    </w:p>
    <w:p>
      <w:r>
        <w:br w:type="page"/>
      </w:r>
    </w:p>
    <w:p>
      <w:pPr>
        <w:pStyle w:val="Heading1"/>
      </w:pPr>
      <w:r>
        <w:t>16. VPC Service Controls</w:t>
      </w:r>
    </w:p>
    <w:p>
      <w:r>
        <w:t>VPC Service Controls creates security perimeters around selected Google Cloud resources and services to reduce the risk of data exfiltration through Google Cloud APIs. It is mandatory for Restricted and Regulated data projects when the required services and access patterns are compatible. The architecture uses separate perimeters for restricted data, AI/GenAI production workloads and governance/logging projects where required.</w:t>
      </w:r>
    </w:p>
    <w:tbl>
      <w:tblPr>
        <w:tblStyle w:val="TableGrid"/>
        <w:tblW w:type="auto" w:w="0"/>
        <w:jc w:val="center"/>
        <w:tblLook w:firstColumn="1" w:firstRow="1" w:lastColumn="0" w:lastRow="0" w:noHBand="0" w:noVBand="1" w:val="04A0"/>
      </w:tblPr>
      <w:tblGrid>
        <w:gridCol w:w="5256"/>
        <w:gridCol w:w="5256"/>
      </w:tblGrid>
      <w:tr>
        <w:tc>
          <w:tcPr>
            <w:tcW w:type="dxa" w:w="2592"/>
            <w:vAlign w:val="top"/>
            <w:shd w:fill="D9EAF7"/>
          </w:tcPr>
          <w:p>
            <w:r/>
            <w:r>
              <w:rPr>
                <w:rFonts w:ascii="Aptos" w:hAnsi="Aptos"/>
                <w:b/>
                <w:sz w:val="14"/>
              </w:rPr>
              <w:t>Design element</w:t>
            </w:r>
          </w:p>
        </w:tc>
        <w:tc>
          <w:tcPr>
            <w:tcW w:type="dxa" w:w="7920"/>
            <w:vAlign w:val="top"/>
            <w:shd w:fill="D9EAF7"/>
          </w:tcPr>
          <w:p>
            <w:r/>
            <w:r>
              <w:rPr>
                <w:rFonts w:ascii="Aptos" w:hAnsi="Aptos"/>
                <w:b/>
                <w:sz w:val="14"/>
              </w:rPr>
              <w:t>Baseline</w:t>
            </w:r>
          </w:p>
        </w:tc>
      </w:tr>
      <w:tr>
        <w:tc>
          <w:tcPr>
            <w:tcW w:type="dxa" w:w="2592"/>
            <w:vAlign w:val="top"/>
          </w:tcPr>
          <w:p>
            <w:r/>
            <w:r>
              <w:rPr>
                <w:rFonts w:ascii="Aptos" w:hAnsi="Aptos"/>
                <w:b w:val="0"/>
                <w:sz w:val="14"/>
              </w:rPr>
              <w:t>Perimeter model</w:t>
            </w:r>
          </w:p>
        </w:tc>
        <w:tc>
          <w:tcPr>
            <w:tcW w:type="dxa" w:w="7920"/>
            <w:vAlign w:val="top"/>
          </w:tcPr>
          <w:p>
            <w:r/>
            <w:r>
              <w:rPr>
                <w:rFonts w:ascii="Aptos" w:hAnsi="Aptos"/>
                <w:b w:val="0"/>
                <w:sz w:val="14"/>
              </w:rPr>
              <w:t>Start with dry-run, observe policy denied logs, then enforce after approved tests.</w:t>
            </w:r>
          </w:p>
        </w:tc>
      </w:tr>
      <w:tr>
        <w:tc>
          <w:tcPr>
            <w:tcW w:type="dxa" w:w="2592"/>
            <w:vAlign w:val="top"/>
          </w:tcPr>
          <w:p>
            <w:r/>
            <w:r>
              <w:rPr>
                <w:rFonts w:ascii="Aptos" w:hAnsi="Aptos"/>
                <w:b w:val="0"/>
                <w:sz w:val="14"/>
              </w:rPr>
              <w:t>Ingress</w:t>
            </w:r>
          </w:p>
        </w:tc>
        <w:tc>
          <w:tcPr>
            <w:tcW w:type="dxa" w:w="7920"/>
            <w:vAlign w:val="top"/>
          </w:tcPr>
          <w:p>
            <w:r/>
            <w:r>
              <w:rPr>
                <w:rFonts w:ascii="Aptos" w:hAnsi="Aptos"/>
                <w:b w:val="0"/>
                <w:sz w:val="14"/>
              </w:rPr>
              <w:t>Approved identities, identity groups, service accounts and trusted access levels only.</w:t>
            </w:r>
          </w:p>
        </w:tc>
      </w:tr>
      <w:tr>
        <w:tc>
          <w:tcPr>
            <w:tcW w:type="dxa" w:w="2592"/>
            <w:vAlign w:val="top"/>
          </w:tcPr>
          <w:p>
            <w:r/>
            <w:r>
              <w:rPr>
                <w:rFonts w:ascii="Aptos" w:hAnsi="Aptos"/>
                <w:b w:val="0"/>
                <w:sz w:val="14"/>
              </w:rPr>
              <w:t>Egress</w:t>
            </w:r>
          </w:p>
        </w:tc>
        <w:tc>
          <w:tcPr>
            <w:tcW w:type="dxa" w:w="7920"/>
            <w:vAlign w:val="top"/>
          </w:tcPr>
          <w:p>
            <w:r/>
            <w:r>
              <w:rPr>
                <w:rFonts w:ascii="Aptos" w:hAnsi="Aptos"/>
                <w:b w:val="0"/>
                <w:sz w:val="14"/>
              </w:rPr>
              <w:t>Explicit destination resources and services; no wildcard egress for restricted data.</w:t>
            </w:r>
          </w:p>
        </w:tc>
      </w:tr>
      <w:tr>
        <w:tc>
          <w:tcPr>
            <w:tcW w:type="dxa" w:w="2592"/>
            <w:vAlign w:val="top"/>
          </w:tcPr>
          <w:p>
            <w:r/>
            <w:r>
              <w:rPr>
                <w:rFonts w:ascii="Aptos" w:hAnsi="Aptos"/>
                <w:b w:val="0"/>
                <w:sz w:val="14"/>
              </w:rPr>
              <w:t>Bridge perimeters</w:t>
            </w:r>
          </w:p>
        </w:tc>
        <w:tc>
          <w:tcPr>
            <w:tcW w:type="dxa" w:w="7920"/>
            <w:vAlign w:val="top"/>
          </w:tcPr>
          <w:p>
            <w:r/>
            <w:r>
              <w:rPr>
                <w:rFonts w:ascii="Aptos" w:hAnsi="Aptos"/>
                <w:b w:val="0"/>
                <w:sz w:val="14"/>
              </w:rPr>
              <w:t>Used sparingly for shared governance services after threat review.</w:t>
            </w:r>
          </w:p>
        </w:tc>
      </w:tr>
      <w:tr>
        <w:tc>
          <w:tcPr>
            <w:tcW w:type="dxa" w:w="2592"/>
            <w:vAlign w:val="top"/>
          </w:tcPr>
          <w:p>
            <w:r/>
            <w:r>
              <w:rPr>
                <w:rFonts w:ascii="Aptos" w:hAnsi="Aptos"/>
                <w:b w:val="0"/>
                <w:sz w:val="14"/>
              </w:rPr>
              <w:t>Unsupported services</w:t>
            </w:r>
          </w:p>
        </w:tc>
        <w:tc>
          <w:tcPr>
            <w:tcW w:type="dxa" w:w="7920"/>
            <w:vAlign w:val="top"/>
          </w:tcPr>
          <w:p>
            <w:r/>
            <w:r>
              <w:rPr>
                <w:rFonts w:ascii="Aptos" w:hAnsi="Aptos"/>
                <w:b w:val="0"/>
                <w:sz w:val="14"/>
              </w:rPr>
              <w:t>Documented as exception with compensating controls, monitoring and review trigger.</w:t>
            </w:r>
          </w:p>
        </w:tc>
      </w:tr>
    </w:tbl>
    <w:p>
      <w:pPr>
        <w:pStyle w:val="Small"/>
      </w:pPr>
    </w:p>
    <w:p>
      <w:r>
        <w:br w:type="page"/>
      </w:r>
    </w:p>
    <w:p>
      <w:pPr>
        <w:pStyle w:val="Heading1"/>
      </w:pPr>
      <w:r>
        <w:t>17. Access Context Manager</w:t>
      </w:r>
    </w:p>
    <w:p>
      <w:r>
        <w:t>Access Context Manager supplies access levels based on client attributes including IP address, user identity and device attributes. In the data platform, access levels are used with VPC Service Controls ingress policies, context-aware administrative access and high-trust paths for regulated data. Access levels must be named, versioned and tested as policy artifacts.</w:t>
      </w:r>
    </w:p>
    <w:p>
      <w:r>
        <w:br w:type="page"/>
      </w:r>
    </w:p>
    <w:p>
      <w:pPr>
        <w:pStyle w:val="Heading1"/>
      </w:pPr>
      <w:r>
        <w:t>18. Private Service Connect</w:t>
      </w:r>
    </w:p>
    <w:p>
      <w:r>
        <w:t>Private Service Connect is used to access Google APIs privately and expose producer services to consumers without broad network peering. It is the preferred pattern for sensitive API paths, internal data services, centrally shared APIs and managed service connectivity when a private consumer-producer pattern is required.</w:t>
      </w:r>
    </w:p>
    <w:p>
      <w:r>
        <w:br w:type="page"/>
      </w:r>
    </w:p>
    <w:p>
      <w:pPr>
        <w:pStyle w:val="Heading1"/>
      </w:pPr>
      <w:r>
        <w:t>19. Cloud Armor and Cloud Firewall</w:t>
      </w:r>
    </w:p>
    <w:p>
      <w:r>
        <w:t>Cloud Armor protects external application entry points such as data-product portals, APIs, model-serving endpoints and embedded analytics applications from L3/L4 and L7 DDoS and application-layer attacks. Cloud Firewall and hierarchical firewall policies enforce network segmentation and back-end traffic policy. Firewall logging is required for deny rules and high-risk allow rules.</w:t>
      </w:r>
    </w:p>
    <w:p>
      <w:r>
        <w:drawing>
          <wp:inline xmlns:a="http://schemas.openxmlformats.org/drawingml/2006/main" xmlns:pic="http://schemas.openxmlformats.org/drawingml/2006/picture">
            <wp:extent cx="6583680" cy="918744"/>
            <wp:docPr id="4" name="Picture 4"/>
            <wp:cNvGraphicFramePr>
              <a:graphicFrameLocks noChangeAspect="1"/>
            </wp:cNvGraphicFramePr>
            <a:graphic>
              <a:graphicData uri="http://schemas.openxmlformats.org/drawingml/2006/picture">
                <pic:pic>
                  <pic:nvPicPr>
                    <pic:cNvPr id="0" name="security_operations_detection_response.png"/>
                    <pic:cNvPicPr/>
                  </pic:nvPicPr>
                  <pic:blipFill>
                    <a:blip r:embed="rId14"/>
                    <a:stretch>
                      <a:fillRect/>
                    </a:stretch>
                  </pic:blipFill>
                  <pic:spPr>
                    <a:xfrm>
                      <a:off x="0" y="0"/>
                      <a:ext cx="6583680" cy="918744"/>
                    </a:xfrm>
                    <a:prstGeom prst="rect"/>
                  </pic:spPr>
                </pic:pic>
              </a:graphicData>
            </a:graphic>
          </wp:inline>
        </w:drawing>
      </w:r>
    </w:p>
    <w:p>
      <w:pPr>
        <w:pStyle w:val="Small"/>
        <w:jc w:val="center"/>
      </w:pPr>
      <w:r>
        <w:t>Figure 4 - Security operations detection and response flow</w:t>
      </w:r>
    </w:p>
    <w:p>
      <w:r>
        <w:br w:type="page"/>
      </w:r>
    </w:p>
    <w:p>
      <w:pPr>
        <w:pStyle w:val="Heading1"/>
      </w:pPr>
      <w:r>
        <w:t>20. Security Command Center and Threat Detection</w:t>
      </w:r>
    </w:p>
    <w:p>
      <w:r>
        <w:t>Security Command Center is the central Google Cloud security and risk plane. It aggregates findings for misconfigurations, vulnerabilities, toxic combinations, threat detections, container runtime attacks and compliance posture. Event Threat Detection and Container Threat Detection generate findings that must be routed to the enterprise SIEM/SOAR with severity, asset owner and data classification enrichment.</w:t>
      </w:r>
    </w:p>
    <w:tbl>
      <w:tblPr>
        <w:tblStyle w:val="TableGrid"/>
        <w:tblW w:type="auto" w:w="0"/>
        <w:jc w:val="center"/>
        <w:tblLook w:firstColumn="1" w:firstRow="1" w:lastColumn="0" w:lastRow="0" w:noHBand="0" w:noVBand="1" w:val="04A0"/>
      </w:tblPr>
      <w:tblGrid>
        <w:gridCol w:w="3504"/>
        <w:gridCol w:w="3504"/>
        <w:gridCol w:w="3504"/>
      </w:tblGrid>
      <w:tr>
        <w:tc>
          <w:tcPr>
            <w:tcW w:type="dxa" w:w="2592"/>
            <w:vAlign w:val="top"/>
            <w:shd w:fill="D9EAF7"/>
          </w:tcPr>
          <w:p>
            <w:r/>
            <w:r>
              <w:rPr>
                <w:rFonts w:ascii="Aptos" w:hAnsi="Aptos"/>
                <w:b/>
                <w:sz w:val="14"/>
              </w:rPr>
              <w:t>Signal</w:t>
            </w:r>
          </w:p>
        </w:tc>
        <w:tc>
          <w:tcPr>
            <w:tcW w:type="dxa" w:w="3168"/>
            <w:vAlign w:val="top"/>
            <w:shd w:fill="D9EAF7"/>
          </w:tcPr>
          <w:p>
            <w:r/>
            <w:r>
              <w:rPr>
                <w:rFonts w:ascii="Aptos" w:hAnsi="Aptos"/>
                <w:b/>
                <w:sz w:val="14"/>
              </w:rPr>
              <w:t>Source</w:t>
            </w:r>
          </w:p>
        </w:tc>
        <w:tc>
          <w:tcPr>
            <w:tcW w:type="dxa" w:w="4752"/>
            <w:vAlign w:val="top"/>
            <w:shd w:fill="D9EAF7"/>
          </w:tcPr>
          <w:p>
            <w:r/>
            <w:r>
              <w:rPr>
                <w:rFonts w:ascii="Aptos" w:hAnsi="Aptos"/>
                <w:b/>
                <w:sz w:val="14"/>
              </w:rPr>
              <w:t>Action</w:t>
            </w:r>
          </w:p>
        </w:tc>
      </w:tr>
      <w:tr>
        <w:tc>
          <w:tcPr>
            <w:tcW w:type="dxa" w:w="2592"/>
            <w:vAlign w:val="top"/>
          </w:tcPr>
          <w:p>
            <w:r/>
            <w:r>
              <w:rPr>
                <w:rFonts w:ascii="Aptos" w:hAnsi="Aptos"/>
                <w:b w:val="0"/>
                <w:sz w:val="14"/>
              </w:rPr>
              <w:t>Anomalous IAM grant</w:t>
            </w:r>
          </w:p>
        </w:tc>
        <w:tc>
          <w:tcPr>
            <w:tcW w:type="dxa" w:w="3168"/>
            <w:vAlign w:val="top"/>
          </w:tcPr>
          <w:p>
            <w:r/>
            <w:r>
              <w:rPr>
                <w:rFonts w:ascii="Aptos" w:hAnsi="Aptos"/>
                <w:b w:val="0"/>
                <w:sz w:val="14"/>
              </w:rPr>
              <w:t>Event Threat Detection / audit logs</w:t>
            </w:r>
          </w:p>
        </w:tc>
        <w:tc>
          <w:tcPr>
            <w:tcW w:type="dxa" w:w="4752"/>
            <w:vAlign w:val="top"/>
          </w:tcPr>
          <w:p>
            <w:r/>
            <w:r>
              <w:rPr>
                <w:rFonts w:ascii="Aptos" w:hAnsi="Aptos"/>
                <w:b w:val="0"/>
                <w:sz w:val="14"/>
              </w:rPr>
              <w:t>Contain account, review change, revoke grant if unauthorized.</w:t>
            </w:r>
          </w:p>
        </w:tc>
      </w:tr>
      <w:tr>
        <w:tc>
          <w:tcPr>
            <w:tcW w:type="dxa" w:w="2592"/>
            <w:vAlign w:val="top"/>
          </w:tcPr>
          <w:p>
            <w:r/>
            <w:r>
              <w:rPr>
                <w:rFonts w:ascii="Aptos" w:hAnsi="Aptos"/>
                <w:b w:val="0"/>
                <w:sz w:val="14"/>
              </w:rPr>
              <w:t>Container runtime attack</w:t>
            </w:r>
          </w:p>
        </w:tc>
        <w:tc>
          <w:tcPr>
            <w:tcW w:type="dxa" w:w="3168"/>
            <w:vAlign w:val="top"/>
          </w:tcPr>
          <w:p>
            <w:r/>
            <w:r>
              <w:rPr>
                <w:rFonts w:ascii="Aptos" w:hAnsi="Aptos"/>
                <w:b w:val="0"/>
                <w:sz w:val="14"/>
              </w:rPr>
              <w:t>Container Threat Detection</w:t>
            </w:r>
          </w:p>
        </w:tc>
        <w:tc>
          <w:tcPr>
            <w:tcW w:type="dxa" w:w="4752"/>
            <w:vAlign w:val="top"/>
          </w:tcPr>
          <w:p>
            <w:r/>
            <w:r>
              <w:rPr>
                <w:rFonts w:ascii="Aptos" w:hAnsi="Aptos"/>
                <w:b w:val="0"/>
                <w:sz w:val="14"/>
              </w:rPr>
              <w:t>Isolate workload, preserve logs, redeploy signed artifact.</w:t>
            </w:r>
          </w:p>
        </w:tc>
      </w:tr>
      <w:tr>
        <w:tc>
          <w:tcPr>
            <w:tcW w:type="dxa" w:w="2592"/>
            <w:vAlign w:val="top"/>
          </w:tcPr>
          <w:p>
            <w:r/>
            <w:r>
              <w:rPr>
                <w:rFonts w:ascii="Aptos" w:hAnsi="Aptos"/>
                <w:b w:val="0"/>
                <w:sz w:val="14"/>
              </w:rPr>
              <w:t>Public bucket or dataset</w:t>
            </w:r>
          </w:p>
        </w:tc>
        <w:tc>
          <w:tcPr>
            <w:tcW w:type="dxa" w:w="3168"/>
            <w:vAlign w:val="top"/>
          </w:tcPr>
          <w:p>
            <w:r/>
            <w:r>
              <w:rPr>
                <w:rFonts w:ascii="Aptos" w:hAnsi="Aptos"/>
                <w:b w:val="0"/>
                <w:sz w:val="14"/>
              </w:rPr>
              <w:t>SCC posture finding</w:t>
            </w:r>
          </w:p>
        </w:tc>
        <w:tc>
          <w:tcPr>
            <w:tcW w:type="dxa" w:w="4752"/>
            <w:vAlign w:val="top"/>
          </w:tcPr>
          <w:p>
            <w:r/>
            <w:r>
              <w:rPr>
                <w:rFonts w:ascii="Aptos" w:hAnsi="Aptos"/>
                <w:b w:val="0"/>
                <w:sz w:val="14"/>
              </w:rPr>
              <w:t>Block public access, open incident for sensitive data.</w:t>
            </w:r>
          </w:p>
        </w:tc>
      </w:tr>
      <w:tr>
        <w:tc>
          <w:tcPr>
            <w:tcW w:type="dxa" w:w="2592"/>
            <w:vAlign w:val="top"/>
          </w:tcPr>
          <w:p>
            <w:r/>
            <w:r>
              <w:rPr>
                <w:rFonts w:ascii="Aptos" w:hAnsi="Aptos"/>
                <w:b w:val="0"/>
                <w:sz w:val="14"/>
              </w:rPr>
              <w:t>VPC SC policy denied spike</w:t>
            </w:r>
          </w:p>
        </w:tc>
        <w:tc>
          <w:tcPr>
            <w:tcW w:type="dxa" w:w="3168"/>
            <w:vAlign w:val="top"/>
          </w:tcPr>
          <w:p>
            <w:r/>
            <w:r>
              <w:rPr>
                <w:rFonts w:ascii="Aptos" w:hAnsi="Aptos"/>
                <w:b w:val="0"/>
                <w:sz w:val="14"/>
              </w:rPr>
              <w:t>Policy denied logs</w:t>
            </w:r>
          </w:p>
        </w:tc>
        <w:tc>
          <w:tcPr>
            <w:tcW w:type="dxa" w:w="4752"/>
            <w:vAlign w:val="top"/>
          </w:tcPr>
          <w:p>
            <w:r/>
            <w:r>
              <w:rPr>
                <w:rFonts w:ascii="Aptos" w:hAnsi="Aptos"/>
                <w:b w:val="0"/>
                <w:sz w:val="14"/>
              </w:rPr>
              <w:t>Investigate exfiltration attempt or misconfigured workload.</w:t>
            </w:r>
          </w:p>
        </w:tc>
      </w:tr>
      <w:tr>
        <w:tc>
          <w:tcPr>
            <w:tcW w:type="dxa" w:w="2592"/>
            <w:vAlign w:val="top"/>
          </w:tcPr>
          <w:p>
            <w:r/>
            <w:r>
              <w:rPr>
                <w:rFonts w:ascii="Aptos" w:hAnsi="Aptos"/>
                <w:b w:val="0"/>
                <w:sz w:val="14"/>
              </w:rPr>
              <w:t>KMS unusual key access</w:t>
            </w:r>
          </w:p>
        </w:tc>
        <w:tc>
          <w:tcPr>
            <w:tcW w:type="dxa" w:w="3168"/>
            <w:vAlign w:val="top"/>
          </w:tcPr>
          <w:p>
            <w:r/>
            <w:r>
              <w:rPr>
                <w:rFonts w:ascii="Aptos" w:hAnsi="Aptos"/>
                <w:b w:val="0"/>
                <w:sz w:val="14"/>
              </w:rPr>
              <w:t>KMS audit logs</w:t>
            </w:r>
          </w:p>
        </w:tc>
        <w:tc>
          <w:tcPr>
            <w:tcW w:type="dxa" w:w="4752"/>
            <w:vAlign w:val="top"/>
          </w:tcPr>
          <w:p>
            <w:r/>
            <w:r>
              <w:rPr>
                <w:rFonts w:ascii="Aptos" w:hAnsi="Aptos"/>
                <w:b w:val="0"/>
                <w:sz w:val="14"/>
              </w:rPr>
              <w:t>Review principal and workload, rotate if compromise suspected.</w:t>
            </w:r>
          </w:p>
        </w:tc>
      </w:tr>
    </w:tbl>
    <w:p>
      <w:pPr>
        <w:pStyle w:val="Small"/>
      </w:pPr>
    </w:p>
    <w:p>
      <w:r>
        <w:br w:type="page"/>
      </w:r>
    </w:p>
    <w:p>
      <w:pPr>
        <w:pStyle w:val="Heading1"/>
      </w:pPr>
      <w:r>
        <w:t>21. Secret Manager, Cloud KMS, Cloud HSM, CMEK and External Key Manager</w:t>
      </w:r>
    </w:p>
    <w:p>
      <w:r>
        <w:t>Secret Manager stores sensitive configuration such as API tokens and partner credentials that cannot be eliminated. Cloud KMS provides key management for CMEK, application encryption and signing use cases. Cloud HSM is used when hardware-backed key protection is required. Cloud EKM is conditional for workloads where key material must remain outside Google Cloud or where sovereign/regulatory requirements demand external control. Key Access Justifications should be evaluated with EKM for regulated workloads.</w:t>
      </w:r>
    </w:p>
    <w:p>
      <w:r>
        <w:drawing>
          <wp:inline xmlns:a="http://schemas.openxmlformats.org/drawingml/2006/main" xmlns:pic="http://schemas.openxmlformats.org/drawingml/2006/picture">
            <wp:extent cx="6583680" cy="1158802"/>
            <wp:docPr id="5" name="Picture 5"/>
            <wp:cNvGraphicFramePr>
              <a:graphicFrameLocks noChangeAspect="1"/>
            </wp:cNvGraphicFramePr>
            <a:graphic>
              <a:graphicData uri="http://schemas.openxmlformats.org/drawingml/2006/picture">
                <pic:pic>
                  <pic:nvPicPr>
                    <pic:cNvPr id="0" name="crypto_key_management.png"/>
                    <pic:cNvPicPr/>
                  </pic:nvPicPr>
                  <pic:blipFill>
                    <a:blip r:embed="rId15"/>
                    <a:stretch>
                      <a:fillRect/>
                    </a:stretch>
                  </pic:blipFill>
                  <pic:spPr>
                    <a:xfrm>
                      <a:off x="0" y="0"/>
                      <a:ext cx="6583680" cy="1158802"/>
                    </a:xfrm>
                    <a:prstGeom prst="rect"/>
                  </pic:spPr>
                </pic:pic>
              </a:graphicData>
            </a:graphic>
          </wp:inline>
        </w:drawing>
      </w:r>
    </w:p>
    <w:p>
      <w:pPr>
        <w:pStyle w:val="Small"/>
        <w:jc w:val="center"/>
      </w:pPr>
      <w:r>
        <w:t>Figure 5 - Cryptographic key management model</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shd w:fill="D9EAF7"/>
          </w:tcPr>
          <w:p>
            <w:r/>
            <w:r>
              <w:rPr>
                <w:rFonts w:ascii="Aptos" w:hAnsi="Aptos"/>
                <w:b/>
                <w:sz w:val="14"/>
              </w:rPr>
              <w:t>Classification</w:t>
            </w:r>
          </w:p>
        </w:tc>
        <w:tc>
          <w:tcPr>
            <w:tcW w:type="dxa" w:w="4320"/>
            <w:vAlign w:val="top"/>
            <w:shd w:fill="D9EAF7"/>
          </w:tcPr>
          <w:p>
            <w:r/>
            <w:r>
              <w:rPr>
                <w:rFonts w:ascii="Aptos" w:hAnsi="Aptos"/>
                <w:b/>
                <w:sz w:val="14"/>
              </w:rPr>
              <w:t>Encryption baseline</w:t>
            </w:r>
          </w:p>
        </w:tc>
        <w:tc>
          <w:tcPr>
            <w:tcW w:type="dxa" w:w="4320"/>
            <w:vAlign w:val="top"/>
            <w:shd w:fill="D9EAF7"/>
          </w:tcPr>
          <w:p>
            <w:r/>
            <w:r>
              <w:rPr>
                <w:rFonts w:ascii="Aptos" w:hAnsi="Aptos"/>
                <w:b/>
                <w:sz w:val="14"/>
              </w:rPr>
              <w:t>Key protection pattern</w:t>
            </w:r>
          </w:p>
        </w:tc>
      </w:tr>
      <w:tr>
        <w:tc>
          <w:tcPr>
            <w:tcW w:type="dxa" w:w="1872"/>
            <w:vAlign w:val="top"/>
          </w:tcPr>
          <w:p>
            <w:r/>
            <w:r>
              <w:rPr>
                <w:rFonts w:ascii="Aptos" w:hAnsi="Aptos"/>
                <w:b w:val="0"/>
                <w:sz w:val="14"/>
              </w:rPr>
              <w:t>Public</w:t>
            </w:r>
          </w:p>
        </w:tc>
        <w:tc>
          <w:tcPr>
            <w:tcW w:type="dxa" w:w="4320"/>
            <w:vAlign w:val="top"/>
          </w:tcPr>
          <w:p>
            <w:r/>
            <w:r>
              <w:rPr>
                <w:rFonts w:ascii="Aptos" w:hAnsi="Aptos"/>
                <w:b w:val="0"/>
                <w:sz w:val="14"/>
              </w:rPr>
              <w:t>Google default encryption</w:t>
            </w:r>
          </w:p>
        </w:tc>
        <w:tc>
          <w:tcPr>
            <w:tcW w:type="dxa" w:w="4320"/>
            <w:vAlign w:val="top"/>
          </w:tcPr>
          <w:p>
            <w:r/>
            <w:r>
              <w:rPr>
                <w:rFonts w:ascii="Aptos" w:hAnsi="Aptos"/>
                <w:b w:val="0"/>
                <w:sz w:val="14"/>
              </w:rPr>
              <w:t>CMEK optional only for consistency.</w:t>
            </w:r>
          </w:p>
        </w:tc>
      </w:tr>
      <w:tr>
        <w:tc>
          <w:tcPr>
            <w:tcW w:type="dxa" w:w="1872"/>
            <w:vAlign w:val="top"/>
          </w:tcPr>
          <w:p>
            <w:r/>
            <w:r>
              <w:rPr>
                <w:rFonts w:ascii="Aptos" w:hAnsi="Aptos"/>
                <w:b w:val="0"/>
                <w:sz w:val="14"/>
              </w:rPr>
              <w:t>Internal</w:t>
            </w:r>
          </w:p>
        </w:tc>
        <w:tc>
          <w:tcPr>
            <w:tcW w:type="dxa" w:w="4320"/>
            <w:vAlign w:val="top"/>
          </w:tcPr>
          <w:p>
            <w:r/>
            <w:r>
              <w:rPr>
                <w:rFonts w:ascii="Aptos" w:hAnsi="Aptos"/>
                <w:b w:val="0"/>
                <w:sz w:val="14"/>
              </w:rPr>
              <w:t>Google default encryption</w:t>
            </w:r>
          </w:p>
        </w:tc>
        <w:tc>
          <w:tcPr>
            <w:tcW w:type="dxa" w:w="4320"/>
            <w:vAlign w:val="top"/>
          </w:tcPr>
          <w:p>
            <w:r/>
            <w:r>
              <w:rPr>
                <w:rFonts w:ascii="Aptos" w:hAnsi="Aptos"/>
                <w:b w:val="0"/>
                <w:sz w:val="14"/>
              </w:rPr>
              <w:t>CMEK recommended for shared enterprise stores.</w:t>
            </w:r>
          </w:p>
        </w:tc>
      </w:tr>
      <w:tr>
        <w:tc>
          <w:tcPr>
            <w:tcW w:type="dxa" w:w="1872"/>
            <w:vAlign w:val="top"/>
          </w:tcPr>
          <w:p>
            <w:r/>
            <w:r>
              <w:rPr>
                <w:rFonts w:ascii="Aptos" w:hAnsi="Aptos"/>
                <w:b w:val="0"/>
                <w:sz w:val="14"/>
              </w:rPr>
              <w:t>Confidential</w:t>
            </w:r>
          </w:p>
        </w:tc>
        <w:tc>
          <w:tcPr>
            <w:tcW w:type="dxa" w:w="4320"/>
            <w:vAlign w:val="top"/>
          </w:tcPr>
          <w:p>
            <w:r/>
            <w:r>
              <w:rPr>
                <w:rFonts w:ascii="Aptos" w:hAnsi="Aptos"/>
                <w:b w:val="0"/>
                <w:sz w:val="14"/>
              </w:rPr>
              <w:t>Google default + CMEK where supported</w:t>
            </w:r>
          </w:p>
        </w:tc>
        <w:tc>
          <w:tcPr>
            <w:tcW w:type="dxa" w:w="4320"/>
            <w:vAlign w:val="top"/>
          </w:tcPr>
          <w:p>
            <w:r/>
            <w:r>
              <w:rPr>
                <w:rFonts w:ascii="Aptos" w:hAnsi="Aptos"/>
                <w:b w:val="0"/>
                <w:sz w:val="14"/>
              </w:rPr>
              <w:t>Software Cloud KMS or HSM based on risk.</w:t>
            </w:r>
          </w:p>
        </w:tc>
      </w:tr>
      <w:tr>
        <w:tc>
          <w:tcPr>
            <w:tcW w:type="dxa" w:w="1872"/>
            <w:vAlign w:val="top"/>
          </w:tcPr>
          <w:p>
            <w:r/>
            <w:r>
              <w:rPr>
                <w:rFonts w:ascii="Aptos" w:hAnsi="Aptos"/>
                <w:b w:val="0"/>
                <w:sz w:val="14"/>
              </w:rPr>
              <w:t>Restricted</w:t>
            </w:r>
          </w:p>
        </w:tc>
        <w:tc>
          <w:tcPr>
            <w:tcW w:type="dxa" w:w="4320"/>
            <w:vAlign w:val="top"/>
          </w:tcPr>
          <w:p>
            <w:r/>
            <w:r>
              <w:rPr>
                <w:rFonts w:ascii="Aptos" w:hAnsi="Aptos"/>
                <w:b w:val="0"/>
                <w:sz w:val="14"/>
              </w:rPr>
              <w:t>CMEK mandatory where supported</w:t>
            </w:r>
          </w:p>
        </w:tc>
        <w:tc>
          <w:tcPr>
            <w:tcW w:type="dxa" w:w="4320"/>
            <w:vAlign w:val="top"/>
          </w:tcPr>
          <w:p>
            <w:r/>
            <w:r>
              <w:rPr>
                <w:rFonts w:ascii="Aptos" w:hAnsi="Aptos"/>
                <w:b w:val="0"/>
                <w:sz w:val="14"/>
              </w:rPr>
              <w:t>HSM recommended; strict service-agent IAM.</w:t>
            </w:r>
          </w:p>
        </w:tc>
      </w:tr>
      <w:tr>
        <w:tc>
          <w:tcPr>
            <w:tcW w:type="dxa" w:w="1872"/>
            <w:vAlign w:val="top"/>
          </w:tcPr>
          <w:p>
            <w:r/>
            <w:r>
              <w:rPr>
                <w:rFonts w:ascii="Aptos" w:hAnsi="Aptos"/>
                <w:b w:val="0"/>
                <w:sz w:val="14"/>
              </w:rPr>
              <w:t>Regulated</w:t>
            </w:r>
          </w:p>
        </w:tc>
        <w:tc>
          <w:tcPr>
            <w:tcW w:type="dxa" w:w="4320"/>
            <w:vAlign w:val="top"/>
          </w:tcPr>
          <w:p>
            <w:r/>
            <w:r>
              <w:rPr>
                <w:rFonts w:ascii="Aptos" w:hAnsi="Aptos"/>
                <w:b w:val="0"/>
                <w:sz w:val="14"/>
              </w:rPr>
              <w:t>CMEK mandatory and region-aware</w:t>
            </w:r>
          </w:p>
        </w:tc>
        <w:tc>
          <w:tcPr>
            <w:tcW w:type="dxa" w:w="4320"/>
            <w:vAlign w:val="top"/>
          </w:tcPr>
          <w:p>
            <w:r/>
            <w:r>
              <w:rPr>
                <w:rFonts w:ascii="Aptos" w:hAnsi="Aptos"/>
                <w:b w:val="0"/>
                <w:sz w:val="14"/>
              </w:rPr>
              <w:t>HSM/EKM evaluated by compliance and legal.</w:t>
            </w:r>
          </w:p>
        </w:tc>
      </w:tr>
    </w:tbl>
    <w:p>
      <w:pPr>
        <w:pStyle w:val="Small"/>
      </w:pPr>
    </w:p>
    <w:p>
      <w:r>
        <w:br w:type="page"/>
      </w:r>
    </w:p>
    <w:p>
      <w:pPr>
        <w:pStyle w:val="Heading1"/>
      </w:pPr>
      <w:r>
        <w:t>22. Certificate Management</w:t>
      </w:r>
    </w:p>
    <w:p>
      <w:r>
        <w:t>Certificate Manager is the standard control for TLS certificates used with Cloud Load Balancing. Certificates must be centrally inventoried, automatically renewed where possible and aligned to approved DNS ownership. Private certificate authority requirements are handled by the enterprise PKI or Certificate Authority Service where applicable.</w:t>
      </w:r>
    </w:p>
    <w:p>
      <w:r>
        <w:br w:type="page"/>
      </w:r>
    </w:p>
    <w:p>
      <w:pPr>
        <w:pStyle w:val="Heading1"/>
      </w:pPr>
      <w:r>
        <w:t>23. Sensitive Data Protection</w:t>
      </w:r>
    </w:p>
    <w:p>
      <w:r>
        <w:t>Sensitive Data Protection supports inspection, profiling, de-identification, masking, redaction, tokenization and pseudonymization. It is required for Restricted and Regulated raw data onboarding, non-production data preparation, analytics exports, document ingestion and GenAI/RAG corpora. Domain teams own business classification; the privacy engineering team owns templates and policy standards.</w:t>
      </w:r>
    </w:p>
    <w:p>
      <w:r>
        <w:br w:type="page"/>
      </w:r>
    </w:p>
    <w:p>
      <w:pPr>
        <w:pStyle w:val="Heading1"/>
      </w:pPr>
      <w:r>
        <w:t>24. Data Classification, Tokenization, Masking and Pseudonymization</w:t>
      </w:r>
    </w:p>
    <w:tbl>
      <w:tblPr>
        <w:tblStyle w:val="TableGrid"/>
        <w:tblW w:type="auto" w:w="0"/>
        <w:jc w:val="center"/>
        <w:tblLook w:firstColumn="1" w:firstRow="1" w:lastColumn="0" w:lastRow="0" w:noHBand="0" w:noVBand="1" w:val="04A0"/>
      </w:tblPr>
      <w:tblGrid>
        <w:gridCol w:w="3504"/>
        <w:gridCol w:w="3504"/>
        <w:gridCol w:w="3504"/>
      </w:tblGrid>
      <w:tr>
        <w:tc>
          <w:tcPr>
            <w:tcW w:type="dxa" w:w="2160"/>
            <w:vAlign w:val="top"/>
            <w:shd w:fill="D9EAF7"/>
          </w:tcPr>
          <w:p>
            <w:r/>
            <w:r>
              <w:rPr>
                <w:rFonts w:ascii="Aptos" w:hAnsi="Aptos"/>
                <w:b/>
                <w:sz w:val="14"/>
              </w:rPr>
              <w:t>Technique</w:t>
            </w:r>
          </w:p>
        </w:tc>
        <w:tc>
          <w:tcPr>
            <w:tcW w:type="dxa" w:w="4320"/>
            <w:vAlign w:val="top"/>
            <w:shd w:fill="D9EAF7"/>
          </w:tcPr>
          <w:p>
            <w:r/>
            <w:r>
              <w:rPr>
                <w:rFonts w:ascii="Aptos" w:hAnsi="Aptos"/>
                <w:b/>
                <w:sz w:val="14"/>
              </w:rPr>
              <w:t>Use case</w:t>
            </w:r>
          </w:p>
        </w:tc>
        <w:tc>
          <w:tcPr>
            <w:tcW w:type="dxa" w:w="4032"/>
            <w:vAlign w:val="top"/>
            <w:shd w:fill="D9EAF7"/>
          </w:tcPr>
          <w:p>
            <w:r/>
            <w:r>
              <w:rPr>
                <w:rFonts w:ascii="Aptos" w:hAnsi="Aptos"/>
                <w:b/>
                <w:sz w:val="14"/>
              </w:rPr>
              <w:t>Production rule</w:t>
            </w:r>
          </w:p>
        </w:tc>
      </w:tr>
      <w:tr>
        <w:tc>
          <w:tcPr>
            <w:tcW w:type="dxa" w:w="2160"/>
            <w:vAlign w:val="top"/>
          </w:tcPr>
          <w:p>
            <w:r/>
            <w:r>
              <w:rPr>
                <w:rFonts w:ascii="Aptos" w:hAnsi="Aptos"/>
                <w:b w:val="0"/>
                <w:sz w:val="14"/>
              </w:rPr>
              <w:t>Data classification</w:t>
            </w:r>
          </w:p>
        </w:tc>
        <w:tc>
          <w:tcPr>
            <w:tcW w:type="dxa" w:w="4320"/>
            <w:vAlign w:val="top"/>
          </w:tcPr>
          <w:p>
            <w:r/>
            <w:r>
              <w:rPr>
                <w:rFonts w:ascii="Aptos" w:hAnsi="Aptos"/>
                <w:b w:val="0"/>
                <w:sz w:val="14"/>
              </w:rPr>
              <w:t>Determine controls, owners, retention, access and key policy</w:t>
            </w:r>
          </w:p>
        </w:tc>
        <w:tc>
          <w:tcPr>
            <w:tcW w:type="dxa" w:w="4032"/>
            <w:vAlign w:val="top"/>
          </w:tcPr>
          <w:p>
            <w:r/>
            <w:r>
              <w:rPr>
                <w:rFonts w:ascii="Aptos" w:hAnsi="Aptos"/>
                <w:b w:val="0"/>
                <w:sz w:val="14"/>
              </w:rPr>
              <w:t>Required for all certified data products.</w:t>
            </w:r>
          </w:p>
        </w:tc>
      </w:tr>
      <w:tr>
        <w:tc>
          <w:tcPr>
            <w:tcW w:type="dxa" w:w="2160"/>
            <w:vAlign w:val="top"/>
          </w:tcPr>
          <w:p>
            <w:r/>
            <w:r>
              <w:rPr>
                <w:rFonts w:ascii="Aptos" w:hAnsi="Aptos"/>
                <w:b w:val="0"/>
                <w:sz w:val="14"/>
              </w:rPr>
              <w:t>Masking</w:t>
            </w:r>
          </w:p>
        </w:tc>
        <w:tc>
          <w:tcPr>
            <w:tcW w:type="dxa" w:w="4320"/>
            <w:vAlign w:val="top"/>
          </w:tcPr>
          <w:p>
            <w:r/>
            <w:r>
              <w:rPr>
                <w:rFonts w:ascii="Aptos" w:hAnsi="Aptos"/>
                <w:b w:val="0"/>
                <w:sz w:val="14"/>
              </w:rPr>
              <w:t>Reduce exposure in reports, logs and non-sensitive operations</w:t>
            </w:r>
          </w:p>
        </w:tc>
        <w:tc>
          <w:tcPr>
            <w:tcW w:type="dxa" w:w="4032"/>
            <w:vAlign w:val="top"/>
          </w:tcPr>
          <w:p>
            <w:r/>
            <w:r>
              <w:rPr>
                <w:rFonts w:ascii="Aptos" w:hAnsi="Aptos"/>
                <w:b w:val="0"/>
                <w:sz w:val="14"/>
              </w:rPr>
              <w:t>Use dynamic masking or transformed views for analytics.</w:t>
            </w:r>
          </w:p>
        </w:tc>
      </w:tr>
      <w:tr>
        <w:tc>
          <w:tcPr>
            <w:tcW w:type="dxa" w:w="2160"/>
            <w:vAlign w:val="top"/>
          </w:tcPr>
          <w:p>
            <w:r/>
            <w:r>
              <w:rPr>
                <w:rFonts w:ascii="Aptos" w:hAnsi="Aptos"/>
                <w:b w:val="0"/>
                <w:sz w:val="14"/>
              </w:rPr>
              <w:t>Tokenization</w:t>
            </w:r>
          </w:p>
        </w:tc>
        <w:tc>
          <w:tcPr>
            <w:tcW w:type="dxa" w:w="4320"/>
            <w:vAlign w:val="top"/>
          </w:tcPr>
          <w:p>
            <w:r/>
            <w:r>
              <w:rPr>
                <w:rFonts w:ascii="Aptos" w:hAnsi="Aptos"/>
                <w:b w:val="0"/>
                <w:sz w:val="14"/>
              </w:rPr>
              <w:t>Preserve joins while hiding direct identifiers</w:t>
            </w:r>
          </w:p>
        </w:tc>
        <w:tc>
          <w:tcPr>
            <w:tcW w:type="dxa" w:w="4032"/>
            <w:vAlign w:val="top"/>
          </w:tcPr>
          <w:p>
            <w:r/>
            <w:r>
              <w:rPr>
                <w:rFonts w:ascii="Aptos" w:hAnsi="Aptos"/>
                <w:b w:val="0"/>
                <w:sz w:val="14"/>
              </w:rPr>
              <w:t>Use reversible tokenization only with approved key custody.</w:t>
            </w:r>
          </w:p>
        </w:tc>
      </w:tr>
      <w:tr>
        <w:tc>
          <w:tcPr>
            <w:tcW w:type="dxa" w:w="2160"/>
            <w:vAlign w:val="top"/>
          </w:tcPr>
          <w:p>
            <w:r/>
            <w:r>
              <w:rPr>
                <w:rFonts w:ascii="Aptos" w:hAnsi="Aptos"/>
                <w:b w:val="0"/>
                <w:sz w:val="14"/>
              </w:rPr>
              <w:t>Pseudonymization</w:t>
            </w:r>
          </w:p>
        </w:tc>
        <w:tc>
          <w:tcPr>
            <w:tcW w:type="dxa" w:w="4320"/>
            <w:vAlign w:val="top"/>
          </w:tcPr>
          <w:p>
            <w:r/>
            <w:r>
              <w:rPr>
                <w:rFonts w:ascii="Aptos" w:hAnsi="Aptos"/>
                <w:b w:val="0"/>
                <w:sz w:val="14"/>
              </w:rPr>
              <w:t>Reduce exposure while preserving analytical utility</w:t>
            </w:r>
          </w:p>
        </w:tc>
        <w:tc>
          <w:tcPr>
            <w:tcW w:type="dxa" w:w="4032"/>
            <w:vAlign w:val="top"/>
          </w:tcPr>
          <w:p>
            <w:r/>
            <w:r>
              <w:rPr>
                <w:rFonts w:ascii="Aptos" w:hAnsi="Aptos"/>
                <w:b w:val="0"/>
                <w:sz w:val="14"/>
              </w:rPr>
              <w:t>Mandatory evaluation for health, financial and HR identifiers.</w:t>
            </w:r>
          </w:p>
        </w:tc>
      </w:tr>
      <w:tr>
        <w:tc>
          <w:tcPr>
            <w:tcW w:type="dxa" w:w="2160"/>
            <w:vAlign w:val="top"/>
          </w:tcPr>
          <w:p>
            <w:r/>
            <w:r>
              <w:rPr>
                <w:rFonts w:ascii="Aptos" w:hAnsi="Aptos"/>
                <w:b w:val="0"/>
                <w:sz w:val="14"/>
              </w:rPr>
              <w:t>Redaction</w:t>
            </w:r>
          </w:p>
        </w:tc>
        <w:tc>
          <w:tcPr>
            <w:tcW w:type="dxa" w:w="4320"/>
            <w:vAlign w:val="top"/>
          </w:tcPr>
          <w:p>
            <w:r/>
            <w:r>
              <w:rPr>
                <w:rFonts w:ascii="Aptos" w:hAnsi="Aptos"/>
                <w:b w:val="0"/>
                <w:sz w:val="14"/>
              </w:rPr>
              <w:t>Remove data with no business need</w:t>
            </w:r>
          </w:p>
        </w:tc>
        <w:tc>
          <w:tcPr>
            <w:tcW w:type="dxa" w:w="4032"/>
            <w:vAlign w:val="top"/>
          </w:tcPr>
          <w:p>
            <w:r/>
            <w:r>
              <w:rPr>
                <w:rFonts w:ascii="Aptos" w:hAnsi="Aptos"/>
                <w:b w:val="0"/>
                <w:sz w:val="14"/>
              </w:rPr>
              <w:t>Use for logs, prompts, exports and non-production copies.</w:t>
            </w:r>
          </w:p>
        </w:tc>
      </w:tr>
    </w:tbl>
    <w:p>
      <w:pPr>
        <w:pStyle w:val="Small"/>
      </w:pPr>
    </w:p>
    <w:p>
      <w:r>
        <w:br w:type="page"/>
      </w:r>
    </w:p>
    <w:p>
      <w:pPr>
        <w:pStyle w:val="Heading1"/>
      </w:pPr>
      <w:r>
        <w:t>25. Audit Logging, Access Transparency and Access Approval</w:t>
      </w:r>
    </w:p>
    <w:p>
      <w:r>
        <w:t>Cloud Audit Logs are required for answering who did what, where and when across Google Cloud resources. Admin Activity, Data Access, System Event and Policy Denied logs must be captured according to workload classification and routed to protected logging projects. Access Transparency provides logs for Google personnel access to customer content in supported services. Access Approval provides a consent workflow for selected Google personnel access requests and is required for regulated workloads after supported services are validated.</w:t>
      </w:r>
    </w:p>
    <w:p>
      <w:r>
        <w:br w:type="page"/>
      </w:r>
    </w:p>
    <w:p>
      <w:pPr>
        <w:pStyle w:val="Heading1"/>
      </w:pPr>
      <w:r>
        <w:t>26. Supply Chain Security</w:t>
      </w:r>
    </w:p>
    <w:p>
      <w:r>
        <w:t>Supply-chain controls prevent unreviewed or vulnerable artifacts from running in production. Build systems authenticate with Workload Identity Federation, generate provenance, scan artifacts, store them in Artifact Registry and publish attestations. Binary Authorization enforces that only approved, scanned and signed containers are deployed to production GKE or applicable runtime targets.</w:t>
      </w:r>
    </w:p>
    <w:p>
      <w:r>
        <w:drawing>
          <wp:inline xmlns:a="http://schemas.openxmlformats.org/drawingml/2006/main" xmlns:pic="http://schemas.openxmlformats.org/drawingml/2006/picture">
            <wp:extent cx="6583680" cy="257414"/>
            <wp:docPr id="6" name="Picture 6"/>
            <wp:cNvGraphicFramePr>
              <a:graphicFrameLocks noChangeAspect="1"/>
            </wp:cNvGraphicFramePr>
            <a:graphic>
              <a:graphicData uri="http://schemas.openxmlformats.org/drawingml/2006/picture">
                <pic:pic>
                  <pic:nvPicPr>
                    <pic:cNvPr id="0" name="supply_chain_security.png"/>
                    <pic:cNvPicPr/>
                  </pic:nvPicPr>
                  <pic:blipFill>
                    <a:blip r:embed="rId16"/>
                    <a:stretch>
                      <a:fillRect/>
                    </a:stretch>
                  </pic:blipFill>
                  <pic:spPr>
                    <a:xfrm>
                      <a:off x="0" y="0"/>
                      <a:ext cx="6583680" cy="257414"/>
                    </a:xfrm>
                    <a:prstGeom prst="rect"/>
                  </pic:spPr>
                </pic:pic>
              </a:graphicData>
            </a:graphic>
          </wp:inline>
        </w:drawing>
      </w:r>
    </w:p>
    <w:p>
      <w:pPr>
        <w:pStyle w:val="Small"/>
        <w:jc w:val="center"/>
      </w:pPr>
      <w:r>
        <w:t>Figure 6 - Secure software supply-chain gate for production workloads</w:t>
      </w:r>
    </w:p>
    <w:p>
      <w:r>
        <w:br w:type="page"/>
      </w:r>
    </w:p>
    <w:p>
      <w:pPr>
        <w:pStyle w:val="Heading1"/>
      </w:pPr>
      <w:r>
        <w:t>27. Vulnerability Scanning</w:t>
      </w:r>
    </w:p>
    <w:p>
      <w:r>
        <w:t>Vulnerability scanning combines Artifact Analysis, Security Command Center posture findings, container runtime signals and third-party enterprise scanners where required. Findings are prioritized by exploitability, exposed surface, data classification, workload tier and business criticality. Critical vulnerabilities in internet-exposed or Restricted/Regulated workloads require emergency remediation or compensating control approval.</w:t>
      </w:r>
    </w:p>
    <w:p>
      <w:r>
        <w:br w:type="page"/>
      </w:r>
    </w:p>
    <w:p>
      <w:pPr>
        <w:pStyle w:val="Heading1"/>
      </w:pPr>
      <w:r>
        <w:t>28. Security Monitoring, SIEM and SOAR</w:t>
      </w:r>
    </w:p>
    <w:p>
      <w:r>
        <w:t>Security monitoring centralizes audit logs, Security Command Center findings, VPC Service Controls policy denials, Cloud KMS activity, Cloud Armor events, firewall logs, container detections and identity activity. The SIEM correlates events across cloud, identity, endpoint and network domains. SOAR playbooks implement containment actions with strict guardrails and human approval for destructive operations.</w:t>
      </w:r>
    </w:p>
    <w:p>
      <w:r>
        <w:br w:type="page"/>
      </w:r>
    </w:p>
    <w:p>
      <w:pPr>
        <w:pStyle w:val="Heading1"/>
      </w:pPr>
      <w:r>
        <w:t>29. Threat Modeling, STRIDE and Attack Path Analysis</w:t>
      </w:r>
    </w:p>
    <w:p>
      <w:r>
        <w:t>Threat modeling is mandatory for new data domains, regulated data products, internet-facing analytics applications, AI agents, RAG retrieval flows and cross-perimeter data exchange. STRIDE is used to identify spoofing, tampering, repudiation, information disclosure, denial of service and elevation of privilege. Attack path analysis prioritizes toxic combinations, such as public exposure plus privileged service account plus sensitive dataset.</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shd w:fill="D9EAF7"/>
          </w:tcPr>
          <w:p>
            <w:r/>
            <w:r>
              <w:rPr>
                <w:rFonts w:ascii="Aptos" w:hAnsi="Aptos"/>
                <w:b/>
                <w:sz w:val="14"/>
              </w:rPr>
              <w:t>STRIDE category</w:t>
            </w:r>
          </w:p>
        </w:tc>
        <w:tc>
          <w:tcPr>
            <w:tcW w:type="dxa" w:w="4320"/>
            <w:vAlign w:val="top"/>
            <w:shd w:fill="D9EAF7"/>
          </w:tcPr>
          <w:p>
            <w:r/>
            <w:r>
              <w:rPr>
                <w:rFonts w:ascii="Aptos" w:hAnsi="Aptos"/>
                <w:b/>
                <w:sz w:val="14"/>
              </w:rPr>
              <w:t>Data platform example</w:t>
            </w:r>
          </w:p>
        </w:tc>
        <w:tc>
          <w:tcPr>
            <w:tcW w:type="dxa" w:w="4032"/>
            <w:vAlign w:val="top"/>
            <w:shd w:fill="D9EAF7"/>
          </w:tcPr>
          <w:p>
            <w:r/>
            <w:r>
              <w:rPr>
                <w:rFonts w:ascii="Aptos" w:hAnsi="Aptos"/>
                <w:b/>
                <w:sz w:val="14"/>
              </w:rPr>
              <w:t>Control response</w:t>
            </w:r>
          </w:p>
        </w:tc>
      </w:tr>
      <w:tr>
        <w:tc>
          <w:tcPr>
            <w:tcW w:type="dxa" w:w="2016"/>
            <w:vAlign w:val="top"/>
          </w:tcPr>
          <w:p>
            <w:r/>
            <w:r>
              <w:rPr>
                <w:rFonts w:ascii="Aptos" w:hAnsi="Aptos"/>
                <w:b w:val="0"/>
                <w:sz w:val="14"/>
              </w:rPr>
              <w:t>Spoofing</w:t>
            </w:r>
          </w:p>
        </w:tc>
        <w:tc>
          <w:tcPr>
            <w:tcW w:type="dxa" w:w="4320"/>
            <w:vAlign w:val="top"/>
          </w:tcPr>
          <w:p>
            <w:r/>
            <w:r>
              <w:rPr>
                <w:rFonts w:ascii="Aptos" w:hAnsi="Aptos"/>
                <w:b w:val="0"/>
                <w:sz w:val="14"/>
              </w:rPr>
              <w:t>Impersonated pipeline identity</w:t>
            </w:r>
          </w:p>
        </w:tc>
        <w:tc>
          <w:tcPr>
            <w:tcW w:type="dxa" w:w="4032"/>
            <w:vAlign w:val="top"/>
          </w:tcPr>
          <w:p>
            <w:r/>
            <w:r>
              <w:rPr>
                <w:rFonts w:ascii="Aptos" w:hAnsi="Aptos"/>
                <w:b w:val="0"/>
                <w:sz w:val="14"/>
              </w:rPr>
              <w:t>WIF, service account impersonation, audit logs</w:t>
            </w:r>
          </w:p>
        </w:tc>
      </w:tr>
      <w:tr>
        <w:tc>
          <w:tcPr>
            <w:tcW w:type="dxa" w:w="2016"/>
            <w:vAlign w:val="top"/>
          </w:tcPr>
          <w:p>
            <w:r/>
            <w:r>
              <w:rPr>
                <w:rFonts w:ascii="Aptos" w:hAnsi="Aptos"/>
                <w:b w:val="0"/>
                <w:sz w:val="14"/>
              </w:rPr>
              <w:t>Tampering</w:t>
            </w:r>
          </w:p>
        </w:tc>
        <w:tc>
          <w:tcPr>
            <w:tcW w:type="dxa" w:w="4320"/>
            <w:vAlign w:val="top"/>
          </w:tcPr>
          <w:p>
            <w:r/>
            <w:r>
              <w:rPr>
                <w:rFonts w:ascii="Aptos" w:hAnsi="Aptos"/>
                <w:b w:val="0"/>
                <w:sz w:val="14"/>
              </w:rPr>
              <w:t>Modified Dataflow image or SQL artifact</w:t>
            </w:r>
          </w:p>
        </w:tc>
        <w:tc>
          <w:tcPr>
            <w:tcW w:type="dxa" w:w="4032"/>
            <w:vAlign w:val="top"/>
          </w:tcPr>
          <w:p>
            <w:r/>
            <w:r>
              <w:rPr>
                <w:rFonts w:ascii="Aptos" w:hAnsi="Aptos"/>
                <w:b w:val="0"/>
                <w:sz w:val="14"/>
              </w:rPr>
              <w:t>Signed artifacts, code review, Binary Authorization</w:t>
            </w:r>
          </w:p>
        </w:tc>
      </w:tr>
      <w:tr>
        <w:tc>
          <w:tcPr>
            <w:tcW w:type="dxa" w:w="2016"/>
            <w:vAlign w:val="top"/>
          </w:tcPr>
          <w:p>
            <w:r/>
            <w:r>
              <w:rPr>
                <w:rFonts w:ascii="Aptos" w:hAnsi="Aptos"/>
                <w:b w:val="0"/>
                <w:sz w:val="14"/>
              </w:rPr>
              <w:t>Repudiation</w:t>
            </w:r>
          </w:p>
        </w:tc>
        <w:tc>
          <w:tcPr>
            <w:tcW w:type="dxa" w:w="4320"/>
            <w:vAlign w:val="top"/>
          </w:tcPr>
          <w:p>
            <w:r/>
            <w:r>
              <w:rPr>
                <w:rFonts w:ascii="Aptos" w:hAnsi="Aptos"/>
                <w:b w:val="0"/>
                <w:sz w:val="14"/>
              </w:rPr>
              <w:t>Untraceable data export</w:t>
            </w:r>
          </w:p>
        </w:tc>
        <w:tc>
          <w:tcPr>
            <w:tcW w:type="dxa" w:w="4032"/>
            <w:vAlign w:val="top"/>
          </w:tcPr>
          <w:p>
            <w:r/>
            <w:r>
              <w:rPr>
                <w:rFonts w:ascii="Aptos" w:hAnsi="Aptos"/>
                <w:b w:val="0"/>
                <w:sz w:val="14"/>
              </w:rPr>
              <w:t>Audit logs, request reason, immutable evidence</w:t>
            </w:r>
          </w:p>
        </w:tc>
      </w:tr>
      <w:tr>
        <w:tc>
          <w:tcPr>
            <w:tcW w:type="dxa" w:w="2016"/>
            <w:vAlign w:val="top"/>
          </w:tcPr>
          <w:p>
            <w:r/>
            <w:r>
              <w:rPr>
                <w:rFonts w:ascii="Aptos" w:hAnsi="Aptos"/>
                <w:b w:val="0"/>
                <w:sz w:val="14"/>
              </w:rPr>
              <w:t>Information disclosure</w:t>
            </w:r>
          </w:p>
        </w:tc>
        <w:tc>
          <w:tcPr>
            <w:tcW w:type="dxa" w:w="4320"/>
            <w:vAlign w:val="top"/>
          </w:tcPr>
          <w:p>
            <w:r/>
            <w:r>
              <w:rPr>
                <w:rFonts w:ascii="Aptos" w:hAnsi="Aptos"/>
                <w:b w:val="0"/>
                <w:sz w:val="14"/>
              </w:rPr>
              <w:t>Restricted dataset copied to unmanaged project</w:t>
            </w:r>
          </w:p>
        </w:tc>
        <w:tc>
          <w:tcPr>
            <w:tcW w:type="dxa" w:w="4032"/>
            <w:vAlign w:val="top"/>
          </w:tcPr>
          <w:p>
            <w:r/>
            <w:r>
              <w:rPr>
                <w:rFonts w:ascii="Aptos" w:hAnsi="Aptos"/>
                <w:b w:val="0"/>
                <w:sz w:val="14"/>
              </w:rPr>
              <w:t>VPC SC, IAM, masking, policy tags</w:t>
            </w:r>
          </w:p>
        </w:tc>
      </w:tr>
      <w:tr>
        <w:tc>
          <w:tcPr>
            <w:tcW w:type="dxa" w:w="2016"/>
            <w:vAlign w:val="top"/>
          </w:tcPr>
          <w:p>
            <w:r/>
            <w:r>
              <w:rPr>
                <w:rFonts w:ascii="Aptos" w:hAnsi="Aptos"/>
                <w:b w:val="0"/>
                <w:sz w:val="14"/>
              </w:rPr>
              <w:t>Denial of service</w:t>
            </w:r>
          </w:p>
        </w:tc>
        <w:tc>
          <w:tcPr>
            <w:tcW w:type="dxa" w:w="4320"/>
            <w:vAlign w:val="top"/>
          </w:tcPr>
          <w:p>
            <w:r/>
            <w:r>
              <w:rPr>
                <w:rFonts w:ascii="Aptos" w:hAnsi="Aptos"/>
                <w:b w:val="0"/>
                <w:sz w:val="14"/>
              </w:rPr>
              <w:t>Analytics portal DDoS</w:t>
            </w:r>
          </w:p>
        </w:tc>
        <w:tc>
          <w:tcPr>
            <w:tcW w:type="dxa" w:w="4032"/>
            <w:vAlign w:val="top"/>
          </w:tcPr>
          <w:p>
            <w:r/>
            <w:r>
              <w:rPr>
                <w:rFonts w:ascii="Aptos" w:hAnsi="Aptos"/>
                <w:b w:val="0"/>
                <w:sz w:val="14"/>
              </w:rPr>
              <w:t>Cloud Armor, capacity limits, runbook</w:t>
            </w:r>
          </w:p>
        </w:tc>
      </w:tr>
      <w:tr>
        <w:tc>
          <w:tcPr>
            <w:tcW w:type="dxa" w:w="2016"/>
            <w:vAlign w:val="top"/>
          </w:tcPr>
          <w:p>
            <w:r/>
            <w:r>
              <w:rPr>
                <w:rFonts w:ascii="Aptos" w:hAnsi="Aptos"/>
                <w:b w:val="0"/>
                <w:sz w:val="14"/>
              </w:rPr>
              <w:t>Elevation of privilege</w:t>
            </w:r>
          </w:p>
        </w:tc>
        <w:tc>
          <w:tcPr>
            <w:tcW w:type="dxa" w:w="4320"/>
            <w:vAlign w:val="top"/>
          </w:tcPr>
          <w:p>
            <w:r/>
            <w:r>
              <w:rPr>
                <w:rFonts w:ascii="Aptos" w:hAnsi="Aptos"/>
                <w:b w:val="0"/>
                <w:sz w:val="14"/>
              </w:rPr>
              <w:t>Developer grants owner to self</w:t>
            </w:r>
          </w:p>
        </w:tc>
        <w:tc>
          <w:tcPr>
            <w:tcW w:type="dxa" w:w="4032"/>
            <w:vAlign w:val="top"/>
          </w:tcPr>
          <w:p>
            <w:r/>
            <w:r>
              <w:rPr>
                <w:rFonts w:ascii="Aptos" w:hAnsi="Aptos"/>
                <w:b w:val="0"/>
                <w:sz w:val="14"/>
              </w:rPr>
              <w:t>PAM, deny policies, SCC finding, alert</w:t>
            </w:r>
          </w:p>
        </w:tc>
      </w:tr>
    </w:tbl>
    <w:p>
      <w:pPr>
        <w:pStyle w:val="Small"/>
      </w:pPr>
    </w:p>
    <w:p>
      <w:r>
        <w:br w:type="page"/>
      </w:r>
    </w:p>
    <w:p>
      <w:pPr>
        <w:pStyle w:val="Heading1"/>
      </w:pPr>
      <w:r>
        <w:t>30. Incident Response</w:t>
      </w:r>
    </w:p>
    <w:p>
      <w:r>
        <w:t>Security incident response follows a standard lifecycle: detect, triage, classify, contain, preserve evidence, eradicate, recover and improve. Incidents involving Restricted or Regulated data require privacy, legal, compliance and business-owner notification paths. Every critical incident must produce a post-incident review, control improvement and regression test.</w:t>
      </w:r>
    </w:p>
    <w:p>
      <w:r>
        <w:br w:type="page"/>
      </w:r>
    </w:p>
    <w:p>
      <w:pPr>
        <w:pStyle w:val="Heading1"/>
      </w:pPr>
      <w:r>
        <w:t>31. Regulatory Control Mapping</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872"/>
            <w:vAlign w:val="top"/>
            <w:shd w:fill="D9EAF7"/>
          </w:tcPr>
          <w:p>
            <w:r/>
            <w:r>
              <w:rPr>
                <w:rFonts w:ascii="Aptos" w:hAnsi="Aptos"/>
                <w:b/>
                <w:sz w:val="12"/>
              </w:rPr>
              <w:t>Control Area</w:t>
            </w:r>
          </w:p>
        </w:tc>
        <w:tc>
          <w:tcPr>
            <w:tcW w:type="dxa" w:w="2016"/>
            <w:vAlign w:val="top"/>
            <w:shd w:fill="D9EAF7"/>
          </w:tcPr>
          <w:p>
            <w:r/>
            <w:r>
              <w:rPr>
                <w:rFonts w:ascii="Aptos" w:hAnsi="Aptos"/>
                <w:b/>
                <w:sz w:val="12"/>
              </w:rPr>
              <w:t>NIST 800-53 / CSF</w:t>
            </w:r>
          </w:p>
        </w:tc>
        <w:tc>
          <w:tcPr>
            <w:tcW w:type="dxa" w:w="1440"/>
            <w:vAlign w:val="top"/>
            <w:shd w:fill="D9EAF7"/>
          </w:tcPr>
          <w:p>
            <w:r/>
            <w:r>
              <w:rPr>
                <w:rFonts w:ascii="Aptos" w:hAnsi="Aptos"/>
                <w:b/>
                <w:sz w:val="12"/>
              </w:rPr>
              <w:t>HIPAA</w:t>
            </w:r>
          </w:p>
        </w:tc>
        <w:tc>
          <w:tcPr>
            <w:tcW w:type="dxa" w:w="1440"/>
            <w:vAlign w:val="top"/>
            <w:shd w:fill="D9EAF7"/>
          </w:tcPr>
          <w:p>
            <w:r/>
            <w:r>
              <w:rPr>
                <w:rFonts w:ascii="Aptos" w:hAnsi="Aptos"/>
                <w:b/>
                <w:sz w:val="12"/>
              </w:rPr>
              <w:t>GDPR</w:t>
            </w:r>
          </w:p>
        </w:tc>
        <w:tc>
          <w:tcPr>
            <w:tcW w:type="dxa" w:w="1440"/>
            <w:vAlign w:val="top"/>
            <w:shd w:fill="D9EAF7"/>
          </w:tcPr>
          <w:p>
            <w:r/>
            <w:r>
              <w:rPr>
                <w:rFonts w:ascii="Aptos" w:hAnsi="Aptos"/>
                <w:b/>
                <w:sz w:val="12"/>
              </w:rPr>
              <w:t>PCI DSS</w:t>
            </w:r>
          </w:p>
        </w:tc>
        <w:tc>
          <w:tcPr>
            <w:tcW w:type="dxa" w:w="1440"/>
            <w:vAlign w:val="top"/>
            <w:shd w:fill="D9EAF7"/>
          </w:tcPr>
          <w:p>
            <w:r/>
            <w:r>
              <w:rPr>
                <w:rFonts w:ascii="Aptos" w:hAnsi="Aptos"/>
                <w:b/>
                <w:sz w:val="12"/>
              </w:rPr>
              <w:t>SOC 2</w:t>
            </w:r>
          </w:p>
        </w:tc>
        <w:tc>
          <w:tcPr>
            <w:tcW w:type="dxa" w:w="1584"/>
            <w:vAlign w:val="top"/>
            <w:shd w:fill="D9EAF7"/>
          </w:tcPr>
          <w:p>
            <w:r/>
            <w:r>
              <w:rPr>
                <w:rFonts w:ascii="Aptos" w:hAnsi="Aptos"/>
                <w:b/>
                <w:sz w:val="12"/>
              </w:rPr>
              <w:t>ISO 27001</w:t>
            </w:r>
          </w:p>
        </w:tc>
        <w:tc>
          <w:tcPr>
            <w:tcW w:type="dxa" w:w="2592"/>
            <w:vAlign w:val="top"/>
            <w:shd w:fill="D9EAF7"/>
          </w:tcPr>
          <w:p>
            <w:r/>
            <w:r>
              <w:rPr>
                <w:rFonts w:ascii="Aptos" w:hAnsi="Aptos"/>
                <w:b/>
                <w:sz w:val="12"/>
              </w:rPr>
              <w:t>Evidence</w:t>
            </w:r>
          </w:p>
        </w:tc>
      </w:tr>
      <w:tr>
        <w:tc>
          <w:tcPr>
            <w:tcW w:type="dxa" w:w="1872"/>
            <w:vAlign w:val="top"/>
          </w:tcPr>
          <w:p>
            <w:r/>
            <w:r>
              <w:rPr>
                <w:rFonts w:ascii="Aptos" w:hAnsi="Aptos"/>
                <w:b w:val="0"/>
                <w:sz w:val="12"/>
              </w:rPr>
              <w:t>Identity governance</w:t>
            </w:r>
          </w:p>
        </w:tc>
        <w:tc>
          <w:tcPr>
            <w:tcW w:type="dxa" w:w="2016"/>
            <w:vAlign w:val="top"/>
          </w:tcPr>
          <w:p>
            <w:r/>
            <w:r>
              <w:rPr>
                <w:rFonts w:ascii="Aptos" w:hAnsi="Aptos"/>
                <w:b w:val="0"/>
                <w:sz w:val="12"/>
              </w:rPr>
              <w:t>AC-2, AC-3, IA-2 / PR.AC</w:t>
            </w:r>
          </w:p>
        </w:tc>
        <w:tc>
          <w:tcPr>
            <w:tcW w:type="dxa" w:w="1440"/>
            <w:vAlign w:val="top"/>
          </w:tcPr>
          <w:p>
            <w:r/>
            <w:r>
              <w:rPr>
                <w:rFonts w:ascii="Aptos" w:hAnsi="Aptos"/>
                <w:b w:val="0"/>
                <w:sz w:val="12"/>
              </w:rPr>
              <w:t>164.308(a)(4)</w:t>
            </w:r>
          </w:p>
        </w:tc>
        <w:tc>
          <w:tcPr>
            <w:tcW w:type="dxa" w:w="1440"/>
            <w:vAlign w:val="top"/>
          </w:tcPr>
          <w:p>
            <w:r/>
            <w:r>
              <w:rPr>
                <w:rFonts w:ascii="Aptos" w:hAnsi="Aptos"/>
                <w:b w:val="0"/>
                <w:sz w:val="12"/>
              </w:rPr>
              <w:t>Art. 5, 25, 32</w:t>
            </w:r>
          </w:p>
        </w:tc>
        <w:tc>
          <w:tcPr>
            <w:tcW w:type="dxa" w:w="1440"/>
            <w:vAlign w:val="top"/>
          </w:tcPr>
          <w:p>
            <w:r/>
            <w:r>
              <w:rPr>
                <w:rFonts w:ascii="Aptos" w:hAnsi="Aptos"/>
                <w:b w:val="0"/>
                <w:sz w:val="12"/>
              </w:rPr>
              <w:t>Req. 7, 8</w:t>
            </w:r>
          </w:p>
        </w:tc>
        <w:tc>
          <w:tcPr>
            <w:tcW w:type="dxa" w:w="1440"/>
            <w:vAlign w:val="top"/>
          </w:tcPr>
          <w:p>
            <w:r/>
            <w:r>
              <w:rPr>
                <w:rFonts w:ascii="Aptos" w:hAnsi="Aptos"/>
                <w:b w:val="0"/>
                <w:sz w:val="12"/>
              </w:rPr>
              <w:t>CC6.1, CC6.2</w:t>
            </w:r>
          </w:p>
        </w:tc>
        <w:tc>
          <w:tcPr>
            <w:tcW w:type="dxa" w:w="1584"/>
            <w:vAlign w:val="top"/>
          </w:tcPr>
          <w:p>
            <w:r/>
            <w:r>
              <w:rPr>
                <w:rFonts w:ascii="Aptos" w:hAnsi="Aptos"/>
                <w:b w:val="0"/>
                <w:sz w:val="12"/>
              </w:rPr>
              <w:t>A.5, A.8</w:t>
            </w:r>
          </w:p>
        </w:tc>
        <w:tc>
          <w:tcPr>
            <w:tcW w:type="dxa" w:w="2592"/>
            <w:vAlign w:val="top"/>
          </w:tcPr>
          <w:p>
            <w:r/>
            <w:r>
              <w:rPr>
                <w:rFonts w:ascii="Aptos" w:hAnsi="Aptos"/>
                <w:b w:val="0"/>
                <w:sz w:val="12"/>
              </w:rPr>
              <w:t>IAM policy export, access review, PAM grant logs</w:t>
            </w:r>
          </w:p>
        </w:tc>
      </w:tr>
      <w:tr>
        <w:tc>
          <w:tcPr>
            <w:tcW w:type="dxa" w:w="1872"/>
            <w:vAlign w:val="top"/>
          </w:tcPr>
          <w:p>
            <w:r/>
            <w:r>
              <w:rPr>
                <w:rFonts w:ascii="Aptos" w:hAnsi="Aptos"/>
                <w:b w:val="0"/>
                <w:sz w:val="12"/>
              </w:rPr>
              <w:t>Data perimeter</w:t>
            </w:r>
          </w:p>
        </w:tc>
        <w:tc>
          <w:tcPr>
            <w:tcW w:type="dxa" w:w="2016"/>
            <w:vAlign w:val="top"/>
          </w:tcPr>
          <w:p>
            <w:r/>
            <w:r>
              <w:rPr>
                <w:rFonts w:ascii="Aptos" w:hAnsi="Aptos"/>
                <w:b w:val="0"/>
                <w:sz w:val="12"/>
              </w:rPr>
              <w:t>AC-4, SC-7 / PR.DS</w:t>
            </w:r>
          </w:p>
        </w:tc>
        <w:tc>
          <w:tcPr>
            <w:tcW w:type="dxa" w:w="1440"/>
            <w:vAlign w:val="top"/>
          </w:tcPr>
          <w:p>
            <w:r/>
            <w:r>
              <w:rPr>
                <w:rFonts w:ascii="Aptos" w:hAnsi="Aptos"/>
                <w:b w:val="0"/>
                <w:sz w:val="12"/>
              </w:rPr>
              <w:t>164.312(a),(e)</w:t>
            </w:r>
          </w:p>
        </w:tc>
        <w:tc>
          <w:tcPr>
            <w:tcW w:type="dxa" w:w="1440"/>
            <w:vAlign w:val="top"/>
          </w:tcPr>
          <w:p>
            <w:r/>
            <w:r>
              <w:rPr>
                <w:rFonts w:ascii="Aptos" w:hAnsi="Aptos"/>
                <w:b w:val="0"/>
                <w:sz w:val="12"/>
              </w:rPr>
              <w:t>Art. 32, 44</w:t>
            </w:r>
          </w:p>
        </w:tc>
        <w:tc>
          <w:tcPr>
            <w:tcW w:type="dxa" w:w="1440"/>
            <w:vAlign w:val="top"/>
          </w:tcPr>
          <w:p>
            <w:r/>
            <w:r>
              <w:rPr>
                <w:rFonts w:ascii="Aptos" w:hAnsi="Aptos"/>
                <w:b w:val="0"/>
                <w:sz w:val="12"/>
              </w:rPr>
              <w:t>Req. 1, 3</w:t>
            </w:r>
          </w:p>
        </w:tc>
        <w:tc>
          <w:tcPr>
            <w:tcW w:type="dxa" w:w="1440"/>
            <w:vAlign w:val="top"/>
          </w:tcPr>
          <w:p>
            <w:r/>
            <w:r>
              <w:rPr>
                <w:rFonts w:ascii="Aptos" w:hAnsi="Aptos"/>
                <w:b w:val="0"/>
                <w:sz w:val="12"/>
              </w:rPr>
              <w:t>CC6.6, CC6.7</w:t>
            </w:r>
          </w:p>
        </w:tc>
        <w:tc>
          <w:tcPr>
            <w:tcW w:type="dxa" w:w="1584"/>
            <w:vAlign w:val="top"/>
          </w:tcPr>
          <w:p>
            <w:r/>
            <w:r>
              <w:rPr>
                <w:rFonts w:ascii="Aptos" w:hAnsi="Aptos"/>
                <w:b w:val="0"/>
                <w:sz w:val="12"/>
              </w:rPr>
              <w:t>A.8.12, A.8.16</w:t>
            </w:r>
          </w:p>
        </w:tc>
        <w:tc>
          <w:tcPr>
            <w:tcW w:type="dxa" w:w="2592"/>
            <w:vAlign w:val="top"/>
          </w:tcPr>
          <w:p>
            <w:r/>
            <w:r>
              <w:rPr>
                <w:rFonts w:ascii="Aptos" w:hAnsi="Aptos"/>
                <w:b w:val="0"/>
                <w:sz w:val="12"/>
              </w:rPr>
              <w:t>VPC SC config, policy denied logs</w:t>
            </w:r>
          </w:p>
        </w:tc>
      </w:tr>
      <w:tr>
        <w:tc>
          <w:tcPr>
            <w:tcW w:type="dxa" w:w="1872"/>
            <w:vAlign w:val="top"/>
          </w:tcPr>
          <w:p>
            <w:r/>
            <w:r>
              <w:rPr>
                <w:rFonts w:ascii="Aptos" w:hAnsi="Aptos"/>
                <w:b w:val="0"/>
                <w:sz w:val="12"/>
              </w:rPr>
              <w:t>Encryption and key management</w:t>
            </w:r>
          </w:p>
        </w:tc>
        <w:tc>
          <w:tcPr>
            <w:tcW w:type="dxa" w:w="2016"/>
            <w:vAlign w:val="top"/>
          </w:tcPr>
          <w:p>
            <w:r/>
            <w:r>
              <w:rPr>
                <w:rFonts w:ascii="Aptos" w:hAnsi="Aptos"/>
                <w:b w:val="0"/>
                <w:sz w:val="12"/>
              </w:rPr>
              <w:t>SC-12, SC-13 / PR.DS</w:t>
            </w:r>
          </w:p>
        </w:tc>
        <w:tc>
          <w:tcPr>
            <w:tcW w:type="dxa" w:w="1440"/>
            <w:vAlign w:val="top"/>
          </w:tcPr>
          <w:p>
            <w:r/>
            <w:r>
              <w:rPr>
                <w:rFonts w:ascii="Aptos" w:hAnsi="Aptos"/>
                <w:b w:val="0"/>
                <w:sz w:val="12"/>
              </w:rPr>
              <w:t>164.312(a)(2)(iv)</w:t>
            </w:r>
          </w:p>
        </w:tc>
        <w:tc>
          <w:tcPr>
            <w:tcW w:type="dxa" w:w="1440"/>
            <w:vAlign w:val="top"/>
          </w:tcPr>
          <w:p>
            <w:r/>
            <w:r>
              <w:rPr>
                <w:rFonts w:ascii="Aptos" w:hAnsi="Aptos"/>
                <w:b w:val="0"/>
                <w:sz w:val="12"/>
              </w:rPr>
              <w:t>Art. 32</w:t>
            </w:r>
          </w:p>
        </w:tc>
        <w:tc>
          <w:tcPr>
            <w:tcW w:type="dxa" w:w="1440"/>
            <w:vAlign w:val="top"/>
          </w:tcPr>
          <w:p>
            <w:r/>
            <w:r>
              <w:rPr>
                <w:rFonts w:ascii="Aptos" w:hAnsi="Aptos"/>
                <w:b w:val="0"/>
                <w:sz w:val="12"/>
              </w:rPr>
              <w:t>Req. 3.5, 3.6</w:t>
            </w:r>
          </w:p>
        </w:tc>
        <w:tc>
          <w:tcPr>
            <w:tcW w:type="dxa" w:w="1440"/>
            <w:vAlign w:val="top"/>
          </w:tcPr>
          <w:p>
            <w:r/>
            <w:r>
              <w:rPr>
                <w:rFonts w:ascii="Aptos" w:hAnsi="Aptos"/>
                <w:b w:val="0"/>
                <w:sz w:val="12"/>
              </w:rPr>
              <w:t>CC6.1, CC6.7</w:t>
            </w:r>
          </w:p>
        </w:tc>
        <w:tc>
          <w:tcPr>
            <w:tcW w:type="dxa" w:w="1584"/>
            <w:vAlign w:val="top"/>
          </w:tcPr>
          <w:p>
            <w:r/>
            <w:r>
              <w:rPr>
                <w:rFonts w:ascii="Aptos" w:hAnsi="Aptos"/>
                <w:b w:val="0"/>
                <w:sz w:val="12"/>
              </w:rPr>
              <w:t>A.8.24</w:t>
            </w:r>
          </w:p>
        </w:tc>
        <w:tc>
          <w:tcPr>
            <w:tcW w:type="dxa" w:w="2592"/>
            <w:vAlign w:val="top"/>
          </w:tcPr>
          <w:p>
            <w:r/>
            <w:r>
              <w:rPr>
                <w:rFonts w:ascii="Aptos" w:hAnsi="Aptos"/>
                <w:b w:val="0"/>
                <w:sz w:val="12"/>
              </w:rPr>
              <w:t>KMS IAM, rotation, key access logs</w:t>
            </w:r>
          </w:p>
        </w:tc>
      </w:tr>
      <w:tr>
        <w:tc>
          <w:tcPr>
            <w:tcW w:type="dxa" w:w="1872"/>
            <w:vAlign w:val="top"/>
          </w:tcPr>
          <w:p>
            <w:r/>
            <w:r>
              <w:rPr>
                <w:rFonts w:ascii="Aptos" w:hAnsi="Aptos"/>
                <w:b w:val="0"/>
                <w:sz w:val="12"/>
              </w:rPr>
              <w:t>Sensitive data protection</w:t>
            </w:r>
          </w:p>
        </w:tc>
        <w:tc>
          <w:tcPr>
            <w:tcW w:type="dxa" w:w="2016"/>
            <w:vAlign w:val="top"/>
          </w:tcPr>
          <w:p>
            <w:r/>
            <w:r>
              <w:rPr>
                <w:rFonts w:ascii="Aptos" w:hAnsi="Aptos"/>
                <w:b w:val="0"/>
                <w:sz w:val="12"/>
              </w:rPr>
              <w:t>PT-2, SI-12 / PR.DS</w:t>
            </w:r>
          </w:p>
        </w:tc>
        <w:tc>
          <w:tcPr>
            <w:tcW w:type="dxa" w:w="1440"/>
            <w:vAlign w:val="top"/>
          </w:tcPr>
          <w:p>
            <w:r/>
            <w:r>
              <w:rPr>
                <w:rFonts w:ascii="Aptos" w:hAnsi="Aptos"/>
                <w:b w:val="0"/>
                <w:sz w:val="12"/>
              </w:rPr>
              <w:t>164.312(a),(b)</w:t>
            </w:r>
          </w:p>
        </w:tc>
        <w:tc>
          <w:tcPr>
            <w:tcW w:type="dxa" w:w="1440"/>
            <w:vAlign w:val="top"/>
          </w:tcPr>
          <w:p>
            <w:r/>
            <w:r>
              <w:rPr>
                <w:rFonts w:ascii="Aptos" w:hAnsi="Aptos"/>
                <w:b w:val="0"/>
                <w:sz w:val="12"/>
              </w:rPr>
              <w:t>Art. 5, 6, 25, 32</w:t>
            </w:r>
          </w:p>
        </w:tc>
        <w:tc>
          <w:tcPr>
            <w:tcW w:type="dxa" w:w="1440"/>
            <w:vAlign w:val="top"/>
          </w:tcPr>
          <w:p>
            <w:r/>
            <w:r>
              <w:rPr>
                <w:rFonts w:ascii="Aptos" w:hAnsi="Aptos"/>
                <w:b w:val="0"/>
                <w:sz w:val="12"/>
              </w:rPr>
              <w:t>Req. 3, 4</w:t>
            </w:r>
          </w:p>
        </w:tc>
        <w:tc>
          <w:tcPr>
            <w:tcW w:type="dxa" w:w="1440"/>
            <w:vAlign w:val="top"/>
          </w:tcPr>
          <w:p>
            <w:r/>
            <w:r>
              <w:rPr>
                <w:rFonts w:ascii="Aptos" w:hAnsi="Aptos"/>
                <w:b w:val="0"/>
                <w:sz w:val="12"/>
              </w:rPr>
              <w:t>CC6.1, CC6.7</w:t>
            </w:r>
          </w:p>
        </w:tc>
        <w:tc>
          <w:tcPr>
            <w:tcW w:type="dxa" w:w="1584"/>
            <w:vAlign w:val="top"/>
          </w:tcPr>
          <w:p>
            <w:r/>
            <w:r>
              <w:rPr>
                <w:rFonts w:ascii="Aptos" w:hAnsi="Aptos"/>
                <w:b w:val="0"/>
                <w:sz w:val="12"/>
              </w:rPr>
              <w:t>A.8.11, A.8.12</w:t>
            </w:r>
          </w:p>
        </w:tc>
        <w:tc>
          <w:tcPr>
            <w:tcW w:type="dxa" w:w="2592"/>
            <w:vAlign w:val="top"/>
          </w:tcPr>
          <w:p>
            <w:r/>
            <w:r>
              <w:rPr>
                <w:rFonts w:ascii="Aptos" w:hAnsi="Aptos"/>
                <w:b w:val="0"/>
                <w:sz w:val="12"/>
              </w:rPr>
              <w:t>SDP profiles, masking/tokenization evidence</w:t>
            </w:r>
          </w:p>
        </w:tc>
      </w:tr>
      <w:tr>
        <w:tc>
          <w:tcPr>
            <w:tcW w:type="dxa" w:w="1872"/>
            <w:vAlign w:val="top"/>
          </w:tcPr>
          <w:p>
            <w:r/>
            <w:r>
              <w:rPr>
                <w:rFonts w:ascii="Aptos" w:hAnsi="Aptos"/>
                <w:b w:val="0"/>
                <w:sz w:val="12"/>
              </w:rPr>
              <w:t>Audit and detection</w:t>
            </w:r>
          </w:p>
        </w:tc>
        <w:tc>
          <w:tcPr>
            <w:tcW w:type="dxa" w:w="2016"/>
            <w:vAlign w:val="top"/>
          </w:tcPr>
          <w:p>
            <w:r/>
            <w:r>
              <w:rPr>
                <w:rFonts w:ascii="Aptos" w:hAnsi="Aptos"/>
                <w:b w:val="0"/>
                <w:sz w:val="12"/>
              </w:rPr>
              <w:t>AU-2, AU-6, SI-4 / DE.CM</w:t>
            </w:r>
          </w:p>
        </w:tc>
        <w:tc>
          <w:tcPr>
            <w:tcW w:type="dxa" w:w="1440"/>
            <w:vAlign w:val="top"/>
          </w:tcPr>
          <w:p>
            <w:r/>
            <w:r>
              <w:rPr>
                <w:rFonts w:ascii="Aptos" w:hAnsi="Aptos"/>
                <w:b w:val="0"/>
                <w:sz w:val="12"/>
              </w:rPr>
              <w:t>164.312(b)</w:t>
            </w:r>
          </w:p>
        </w:tc>
        <w:tc>
          <w:tcPr>
            <w:tcW w:type="dxa" w:w="1440"/>
            <w:vAlign w:val="top"/>
          </w:tcPr>
          <w:p>
            <w:r/>
            <w:r>
              <w:rPr>
                <w:rFonts w:ascii="Aptos" w:hAnsi="Aptos"/>
                <w:b w:val="0"/>
                <w:sz w:val="12"/>
              </w:rPr>
              <w:t>Art. 30, 33</w:t>
            </w:r>
          </w:p>
        </w:tc>
        <w:tc>
          <w:tcPr>
            <w:tcW w:type="dxa" w:w="1440"/>
            <w:vAlign w:val="top"/>
          </w:tcPr>
          <w:p>
            <w:r/>
            <w:r>
              <w:rPr>
                <w:rFonts w:ascii="Aptos" w:hAnsi="Aptos"/>
                <w:b w:val="0"/>
                <w:sz w:val="12"/>
              </w:rPr>
              <w:t>Req. 10</w:t>
            </w:r>
          </w:p>
        </w:tc>
        <w:tc>
          <w:tcPr>
            <w:tcW w:type="dxa" w:w="1440"/>
            <w:vAlign w:val="top"/>
          </w:tcPr>
          <w:p>
            <w:r/>
            <w:r>
              <w:rPr>
                <w:rFonts w:ascii="Aptos" w:hAnsi="Aptos"/>
                <w:b w:val="0"/>
                <w:sz w:val="12"/>
              </w:rPr>
              <w:t>CC7.2, CC7.3</w:t>
            </w:r>
          </w:p>
        </w:tc>
        <w:tc>
          <w:tcPr>
            <w:tcW w:type="dxa" w:w="1584"/>
            <w:vAlign w:val="top"/>
          </w:tcPr>
          <w:p>
            <w:r/>
            <w:r>
              <w:rPr>
                <w:rFonts w:ascii="Aptos" w:hAnsi="Aptos"/>
                <w:b w:val="0"/>
                <w:sz w:val="12"/>
              </w:rPr>
              <w:t>A.8.15, A.8.16</w:t>
            </w:r>
          </w:p>
        </w:tc>
        <w:tc>
          <w:tcPr>
            <w:tcW w:type="dxa" w:w="2592"/>
            <w:vAlign w:val="top"/>
          </w:tcPr>
          <w:p>
            <w:r/>
            <w:r>
              <w:rPr>
                <w:rFonts w:ascii="Aptos" w:hAnsi="Aptos"/>
                <w:b w:val="0"/>
                <w:sz w:val="12"/>
              </w:rPr>
              <w:t>Audit sinks, SCC findings, SIEM tickets</w:t>
            </w:r>
          </w:p>
        </w:tc>
      </w:tr>
      <w:tr>
        <w:tc>
          <w:tcPr>
            <w:tcW w:type="dxa" w:w="1872"/>
            <w:vAlign w:val="top"/>
          </w:tcPr>
          <w:p>
            <w:r/>
            <w:r>
              <w:rPr>
                <w:rFonts w:ascii="Aptos" w:hAnsi="Aptos"/>
                <w:b w:val="0"/>
                <w:sz w:val="12"/>
              </w:rPr>
              <w:t>Incident response</w:t>
            </w:r>
          </w:p>
        </w:tc>
        <w:tc>
          <w:tcPr>
            <w:tcW w:type="dxa" w:w="2016"/>
            <w:vAlign w:val="top"/>
          </w:tcPr>
          <w:p>
            <w:r/>
            <w:r>
              <w:rPr>
                <w:rFonts w:ascii="Aptos" w:hAnsi="Aptos"/>
                <w:b w:val="0"/>
                <w:sz w:val="12"/>
              </w:rPr>
              <w:t>IR-4, IR-6 / RS.RP</w:t>
            </w:r>
          </w:p>
        </w:tc>
        <w:tc>
          <w:tcPr>
            <w:tcW w:type="dxa" w:w="1440"/>
            <w:vAlign w:val="top"/>
          </w:tcPr>
          <w:p>
            <w:r/>
            <w:r>
              <w:rPr>
                <w:rFonts w:ascii="Aptos" w:hAnsi="Aptos"/>
                <w:b w:val="0"/>
                <w:sz w:val="12"/>
              </w:rPr>
              <w:t>164.308(a)(6)</w:t>
            </w:r>
          </w:p>
        </w:tc>
        <w:tc>
          <w:tcPr>
            <w:tcW w:type="dxa" w:w="1440"/>
            <w:vAlign w:val="top"/>
          </w:tcPr>
          <w:p>
            <w:r/>
            <w:r>
              <w:rPr>
                <w:rFonts w:ascii="Aptos" w:hAnsi="Aptos"/>
                <w:b w:val="0"/>
                <w:sz w:val="12"/>
              </w:rPr>
              <w:t>Art. 33, 34</w:t>
            </w:r>
          </w:p>
        </w:tc>
        <w:tc>
          <w:tcPr>
            <w:tcW w:type="dxa" w:w="1440"/>
            <w:vAlign w:val="top"/>
          </w:tcPr>
          <w:p>
            <w:r/>
            <w:r>
              <w:rPr>
                <w:rFonts w:ascii="Aptos" w:hAnsi="Aptos"/>
                <w:b w:val="0"/>
                <w:sz w:val="12"/>
              </w:rPr>
              <w:t>Req. 12.10</w:t>
            </w:r>
          </w:p>
        </w:tc>
        <w:tc>
          <w:tcPr>
            <w:tcW w:type="dxa" w:w="1440"/>
            <w:vAlign w:val="top"/>
          </w:tcPr>
          <w:p>
            <w:r/>
            <w:r>
              <w:rPr>
                <w:rFonts w:ascii="Aptos" w:hAnsi="Aptos"/>
                <w:b w:val="0"/>
                <w:sz w:val="12"/>
              </w:rPr>
              <w:t>CC7.4, CC7.5</w:t>
            </w:r>
          </w:p>
        </w:tc>
        <w:tc>
          <w:tcPr>
            <w:tcW w:type="dxa" w:w="1584"/>
            <w:vAlign w:val="top"/>
          </w:tcPr>
          <w:p>
            <w:r/>
            <w:r>
              <w:rPr>
                <w:rFonts w:ascii="Aptos" w:hAnsi="Aptos"/>
                <w:b w:val="0"/>
                <w:sz w:val="12"/>
              </w:rPr>
              <w:t>A.5.24, A.5.26</w:t>
            </w:r>
          </w:p>
        </w:tc>
        <w:tc>
          <w:tcPr>
            <w:tcW w:type="dxa" w:w="2592"/>
            <w:vAlign w:val="top"/>
          </w:tcPr>
          <w:p>
            <w:r/>
            <w:r>
              <w:rPr>
                <w:rFonts w:ascii="Aptos" w:hAnsi="Aptos"/>
                <w:b w:val="0"/>
                <w:sz w:val="12"/>
              </w:rPr>
              <w:t>Incident tickets, tabletop exercise records</w:t>
            </w:r>
          </w:p>
        </w:tc>
      </w:tr>
    </w:tbl>
    <w:p>
      <w:pPr>
        <w:pStyle w:val="Small"/>
      </w:pPr>
    </w:p>
    <w:p>
      <w:r>
        <w:br w:type="page"/>
      </w:r>
    </w:p>
    <w:p>
      <w:pPr>
        <w:pStyle w:val="Heading1"/>
      </w:pPr>
      <w:r>
        <w:t>32. Security Testing and Penetration Testing</w:t>
      </w:r>
    </w:p>
    <w:p>
      <w:r>
        <w:t>Security testing includes IAM negative persona tests, VPC Service Controls exfiltration tests, key access tests, Cloud Armor rule validation, firewall deny tests, supply-chain gate tests, incident tabletop exercises and penetration testing for externally exposed applications. Testing evidence is stored in the release-evidence repository and sampled during production readiness review.</w:t>
      </w:r>
    </w:p>
    <w:p>
      <w:r>
        <w:br w:type="page"/>
      </w:r>
    </w:p>
    <w:p>
      <w:pPr>
        <w:pStyle w:val="Heading1"/>
      </w:pPr>
      <w:r>
        <w:t>33. Security Assurance and Architecture Review</w:t>
      </w:r>
    </w:p>
    <w:p>
      <w:r>
        <w:t>Security assurance is a continuous process that combines architecture review, automated policy validation, operational evidence and independent testing. Every production data product must complete a Security Architecture Review Board checklist. Exceptions must include business justification, compensating controls, expiry date, risk owner and remediation plan.</w:t>
      </w:r>
    </w:p>
    <w:p>
      <w:r>
        <w:br w:type="page"/>
      </w:r>
    </w:p>
    <w:p>
      <w:pPr>
        <w:pStyle w:val="Heading1"/>
      </w:pPr>
      <w:r>
        <w:t>34. Structured Google Cloud Service Assessments</w:t>
      </w:r>
    </w:p>
    <w:p>
      <w:r>
        <w:t>The following assessments summarize the selected Google Cloud services for Volume 08. They do not replace current Google Cloud documentation, quota validation or product-specific implementation design.</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60"/>
            <w:vAlign w:val="top"/>
            <w:shd w:fill="D9EAF7"/>
          </w:tcPr>
          <w:p>
            <w:r/>
            <w:r>
              <w:rPr>
                <w:rFonts w:ascii="Aptos" w:hAnsi="Aptos"/>
                <w:b/>
                <w:sz w:val="11"/>
              </w:rPr>
              <w:t>Service</w:t>
            </w:r>
          </w:p>
        </w:tc>
        <w:tc>
          <w:tcPr>
            <w:tcW w:type="dxa" w:w="2016"/>
            <w:vAlign w:val="top"/>
            <w:shd w:fill="D9EAF7"/>
          </w:tcPr>
          <w:p>
            <w:r/>
            <w:r>
              <w:rPr>
                <w:rFonts w:ascii="Aptos" w:hAnsi="Aptos"/>
                <w:b/>
                <w:sz w:val="11"/>
              </w:rPr>
              <w:t>Purpose</w:t>
            </w:r>
          </w:p>
        </w:tc>
        <w:tc>
          <w:tcPr>
            <w:tcW w:type="dxa" w:w="3024"/>
            <w:vAlign w:val="top"/>
            <w:shd w:fill="D9EAF7"/>
          </w:tcPr>
          <w:p>
            <w:r/>
            <w:r>
              <w:rPr>
                <w:rFonts w:ascii="Aptos" w:hAnsi="Aptos"/>
                <w:b/>
                <w:sz w:val="11"/>
              </w:rPr>
              <w:t>Benefits</w:t>
            </w:r>
          </w:p>
        </w:tc>
        <w:tc>
          <w:tcPr>
            <w:tcW w:type="dxa" w:w="3024"/>
            <w:vAlign w:val="top"/>
            <w:shd w:fill="D9EAF7"/>
          </w:tcPr>
          <w:p>
            <w:r/>
            <w:r>
              <w:rPr>
                <w:rFonts w:ascii="Aptos" w:hAnsi="Aptos"/>
                <w:b/>
                <w:sz w:val="11"/>
              </w:rPr>
              <w:t>Limitations</w:t>
            </w:r>
          </w:p>
        </w:tc>
        <w:tc>
          <w:tcPr>
            <w:tcW w:type="dxa" w:w="2448"/>
            <w:vAlign w:val="top"/>
            <w:shd w:fill="D9EAF7"/>
          </w:tcPr>
          <w:p>
            <w:r/>
            <w:r>
              <w:rPr>
                <w:rFonts w:ascii="Aptos" w:hAnsi="Aptos"/>
                <w:b/>
                <w:sz w:val="11"/>
              </w:rPr>
              <w:t>Production evidence</w:t>
            </w:r>
          </w:p>
        </w:tc>
      </w:tr>
      <w:tr>
        <w:tc>
          <w:tcPr>
            <w:tcW w:type="dxa" w:w="2160"/>
            <w:vAlign w:val="top"/>
          </w:tcPr>
          <w:p>
            <w:r/>
            <w:r>
              <w:rPr>
                <w:rFonts w:ascii="Aptos" w:hAnsi="Aptos"/>
                <w:b w:val="0"/>
                <w:sz w:val="11"/>
              </w:rPr>
              <w:t>Cloud Identity / Workforce Identity Federation</w:t>
            </w:r>
          </w:p>
        </w:tc>
        <w:tc>
          <w:tcPr>
            <w:tcW w:type="dxa" w:w="2016"/>
            <w:vAlign w:val="top"/>
          </w:tcPr>
          <w:p>
            <w:r/>
            <w:r>
              <w:rPr>
                <w:rFonts w:ascii="Aptos" w:hAnsi="Aptos"/>
                <w:b w:val="0"/>
                <w:sz w:val="11"/>
              </w:rPr>
              <w:t>Federated human identity</w:t>
            </w:r>
          </w:p>
        </w:tc>
        <w:tc>
          <w:tcPr>
            <w:tcW w:type="dxa" w:w="3024"/>
            <w:vAlign w:val="top"/>
          </w:tcPr>
          <w:p>
            <w:r/>
            <w:r>
              <w:rPr>
                <w:rFonts w:ascii="Aptos" w:hAnsi="Aptos"/>
                <w:b w:val="0"/>
                <w:sz w:val="11"/>
              </w:rPr>
              <w:t>SSO, MFA, group-based access, external workforce support</w:t>
            </w:r>
          </w:p>
        </w:tc>
        <w:tc>
          <w:tcPr>
            <w:tcW w:type="dxa" w:w="3024"/>
            <w:vAlign w:val="top"/>
          </w:tcPr>
          <w:p>
            <w:r/>
            <w:r>
              <w:rPr>
                <w:rFonts w:ascii="Aptos" w:hAnsi="Aptos"/>
                <w:b w:val="0"/>
                <w:sz w:val="11"/>
              </w:rPr>
              <w:t>Requires IdP governance and lifecycle integration</w:t>
            </w:r>
          </w:p>
        </w:tc>
        <w:tc>
          <w:tcPr>
            <w:tcW w:type="dxa" w:w="2448"/>
            <w:vAlign w:val="top"/>
          </w:tcPr>
          <w:p>
            <w:r/>
            <w:r>
              <w:rPr>
                <w:rFonts w:ascii="Aptos" w:hAnsi="Aptos"/>
                <w:b w:val="0"/>
                <w:sz w:val="11"/>
              </w:rPr>
              <w:t>User/group lifecycle, MFA, session logs</w:t>
            </w:r>
          </w:p>
        </w:tc>
      </w:tr>
      <w:tr>
        <w:tc>
          <w:tcPr>
            <w:tcW w:type="dxa" w:w="2160"/>
            <w:vAlign w:val="top"/>
          </w:tcPr>
          <w:p>
            <w:r/>
            <w:r>
              <w:rPr>
                <w:rFonts w:ascii="Aptos" w:hAnsi="Aptos"/>
                <w:b w:val="0"/>
                <w:sz w:val="11"/>
              </w:rPr>
              <w:t>Workload Identity Federation</w:t>
            </w:r>
          </w:p>
        </w:tc>
        <w:tc>
          <w:tcPr>
            <w:tcW w:type="dxa" w:w="2016"/>
            <w:vAlign w:val="top"/>
          </w:tcPr>
          <w:p>
            <w:r/>
            <w:r>
              <w:rPr>
                <w:rFonts w:ascii="Aptos" w:hAnsi="Aptos"/>
                <w:b w:val="0"/>
                <w:sz w:val="11"/>
              </w:rPr>
              <w:t>Keyless workload authentication</w:t>
            </w:r>
          </w:p>
        </w:tc>
        <w:tc>
          <w:tcPr>
            <w:tcW w:type="dxa" w:w="3024"/>
            <w:vAlign w:val="top"/>
          </w:tcPr>
          <w:p>
            <w:r/>
            <w:r>
              <w:rPr>
                <w:rFonts w:ascii="Aptos" w:hAnsi="Aptos"/>
                <w:b w:val="0"/>
                <w:sz w:val="11"/>
              </w:rPr>
              <w:t>Avoids long-lived keys, supports CI/CD and cross-cloud workloads</w:t>
            </w:r>
          </w:p>
        </w:tc>
        <w:tc>
          <w:tcPr>
            <w:tcW w:type="dxa" w:w="3024"/>
            <w:vAlign w:val="top"/>
          </w:tcPr>
          <w:p>
            <w:r/>
            <w:r>
              <w:rPr>
                <w:rFonts w:ascii="Aptos" w:hAnsi="Aptos"/>
                <w:b w:val="0"/>
                <w:sz w:val="11"/>
              </w:rPr>
              <w:t>Requires issuer trust and attribute mapping</w:t>
            </w:r>
          </w:p>
        </w:tc>
        <w:tc>
          <w:tcPr>
            <w:tcW w:type="dxa" w:w="2448"/>
            <w:vAlign w:val="top"/>
          </w:tcPr>
          <w:p>
            <w:r/>
            <w:r>
              <w:rPr>
                <w:rFonts w:ascii="Aptos" w:hAnsi="Aptos"/>
                <w:b w:val="0"/>
                <w:sz w:val="11"/>
              </w:rPr>
              <w:t>Federation config, audit logs</w:t>
            </w:r>
          </w:p>
        </w:tc>
      </w:tr>
      <w:tr>
        <w:tc>
          <w:tcPr>
            <w:tcW w:type="dxa" w:w="2160"/>
            <w:vAlign w:val="top"/>
          </w:tcPr>
          <w:p>
            <w:r/>
            <w:r>
              <w:rPr>
                <w:rFonts w:ascii="Aptos" w:hAnsi="Aptos"/>
                <w:b w:val="0"/>
                <w:sz w:val="11"/>
              </w:rPr>
              <w:t>IAM / IAM Conditions / Deny Policies</w:t>
            </w:r>
          </w:p>
        </w:tc>
        <w:tc>
          <w:tcPr>
            <w:tcW w:type="dxa" w:w="2016"/>
            <w:vAlign w:val="top"/>
          </w:tcPr>
          <w:p>
            <w:r/>
            <w:r>
              <w:rPr>
                <w:rFonts w:ascii="Aptos" w:hAnsi="Aptos"/>
                <w:b w:val="0"/>
                <w:sz w:val="11"/>
              </w:rPr>
              <w:t>Authorization and least privilege</w:t>
            </w:r>
          </w:p>
        </w:tc>
        <w:tc>
          <w:tcPr>
            <w:tcW w:type="dxa" w:w="3024"/>
            <w:vAlign w:val="top"/>
          </w:tcPr>
          <w:p>
            <w:r/>
            <w:r>
              <w:rPr>
                <w:rFonts w:ascii="Aptos" w:hAnsi="Aptos"/>
                <w:b w:val="0"/>
                <w:sz w:val="11"/>
              </w:rPr>
              <w:t>Fine-grained resource access and contextual conditions</w:t>
            </w:r>
          </w:p>
        </w:tc>
        <w:tc>
          <w:tcPr>
            <w:tcW w:type="dxa" w:w="3024"/>
            <w:vAlign w:val="top"/>
          </w:tcPr>
          <w:p>
            <w:r/>
            <w:r>
              <w:rPr>
                <w:rFonts w:ascii="Aptos" w:hAnsi="Aptos"/>
                <w:b w:val="0"/>
                <w:sz w:val="11"/>
              </w:rPr>
              <w:t>Role sprawl and custom-role drift need governance</w:t>
            </w:r>
          </w:p>
        </w:tc>
        <w:tc>
          <w:tcPr>
            <w:tcW w:type="dxa" w:w="2448"/>
            <w:vAlign w:val="top"/>
          </w:tcPr>
          <w:p>
            <w:r/>
            <w:r>
              <w:rPr>
                <w:rFonts w:ascii="Aptos" w:hAnsi="Aptos"/>
                <w:b w:val="0"/>
                <w:sz w:val="11"/>
              </w:rPr>
              <w:t>IAM policy exports, access review</w:t>
            </w:r>
          </w:p>
        </w:tc>
      </w:tr>
      <w:tr>
        <w:tc>
          <w:tcPr>
            <w:tcW w:type="dxa" w:w="2160"/>
            <w:vAlign w:val="top"/>
          </w:tcPr>
          <w:p>
            <w:r/>
            <w:r>
              <w:rPr>
                <w:rFonts w:ascii="Aptos" w:hAnsi="Aptos"/>
                <w:b w:val="0"/>
                <w:sz w:val="11"/>
              </w:rPr>
              <w:t>Privileged Access Manager</w:t>
            </w:r>
          </w:p>
        </w:tc>
        <w:tc>
          <w:tcPr>
            <w:tcW w:type="dxa" w:w="2016"/>
            <w:vAlign w:val="top"/>
          </w:tcPr>
          <w:p>
            <w:r/>
            <w:r>
              <w:rPr>
                <w:rFonts w:ascii="Aptos" w:hAnsi="Aptos"/>
                <w:b w:val="0"/>
                <w:sz w:val="11"/>
              </w:rPr>
              <w:t>JIT privileged access</w:t>
            </w:r>
          </w:p>
        </w:tc>
        <w:tc>
          <w:tcPr>
            <w:tcW w:type="dxa" w:w="3024"/>
            <w:vAlign w:val="top"/>
          </w:tcPr>
          <w:p>
            <w:r/>
            <w:r>
              <w:rPr>
                <w:rFonts w:ascii="Aptos" w:hAnsi="Aptos"/>
                <w:b w:val="0"/>
                <w:sz w:val="11"/>
              </w:rPr>
              <w:t>Time-bound, approval-based elevation with auditability</w:t>
            </w:r>
          </w:p>
        </w:tc>
        <w:tc>
          <w:tcPr>
            <w:tcW w:type="dxa" w:w="3024"/>
            <w:vAlign w:val="top"/>
          </w:tcPr>
          <w:p>
            <w:r/>
            <w:r>
              <w:rPr>
                <w:rFonts w:ascii="Aptos" w:hAnsi="Aptos"/>
                <w:b w:val="0"/>
                <w:sz w:val="11"/>
              </w:rPr>
              <w:t>Requires entitlement design and operating process</w:t>
            </w:r>
          </w:p>
        </w:tc>
        <w:tc>
          <w:tcPr>
            <w:tcW w:type="dxa" w:w="2448"/>
            <w:vAlign w:val="top"/>
          </w:tcPr>
          <w:p>
            <w:r/>
            <w:r>
              <w:rPr>
                <w:rFonts w:ascii="Aptos" w:hAnsi="Aptos"/>
                <w:b w:val="0"/>
                <w:sz w:val="11"/>
              </w:rPr>
              <w:t>PAM grants, approvals, expiry logs</w:t>
            </w:r>
          </w:p>
        </w:tc>
      </w:tr>
      <w:tr>
        <w:tc>
          <w:tcPr>
            <w:tcW w:type="dxa" w:w="2160"/>
            <w:vAlign w:val="top"/>
          </w:tcPr>
          <w:p>
            <w:r/>
            <w:r>
              <w:rPr>
                <w:rFonts w:ascii="Aptos" w:hAnsi="Aptos"/>
                <w:b w:val="0"/>
                <w:sz w:val="11"/>
              </w:rPr>
              <w:t>Organization Policy Service</w:t>
            </w:r>
          </w:p>
        </w:tc>
        <w:tc>
          <w:tcPr>
            <w:tcW w:type="dxa" w:w="2016"/>
            <w:vAlign w:val="top"/>
          </w:tcPr>
          <w:p>
            <w:r/>
            <w:r>
              <w:rPr>
                <w:rFonts w:ascii="Aptos" w:hAnsi="Aptos"/>
                <w:b w:val="0"/>
                <w:sz w:val="11"/>
              </w:rPr>
              <w:t>Prevent unsafe configuration</w:t>
            </w:r>
          </w:p>
        </w:tc>
        <w:tc>
          <w:tcPr>
            <w:tcW w:type="dxa" w:w="3024"/>
            <w:vAlign w:val="top"/>
          </w:tcPr>
          <w:p>
            <w:r/>
            <w:r>
              <w:rPr>
                <w:rFonts w:ascii="Aptos" w:hAnsi="Aptos"/>
                <w:b w:val="0"/>
                <w:sz w:val="11"/>
              </w:rPr>
              <w:t>Centralized guardrails across hierarchy</w:t>
            </w:r>
          </w:p>
        </w:tc>
        <w:tc>
          <w:tcPr>
            <w:tcW w:type="dxa" w:w="3024"/>
            <w:vAlign w:val="top"/>
          </w:tcPr>
          <w:p>
            <w:r/>
            <w:r>
              <w:rPr>
                <w:rFonts w:ascii="Aptos" w:hAnsi="Aptos"/>
                <w:b w:val="0"/>
                <w:sz w:val="11"/>
              </w:rPr>
              <w:t>Exceptions and inheritance require careful testing</w:t>
            </w:r>
          </w:p>
        </w:tc>
        <w:tc>
          <w:tcPr>
            <w:tcW w:type="dxa" w:w="2448"/>
            <w:vAlign w:val="top"/>
          </w:tcPr>
          <w:p>
            <w:r/>
            <w:r>
              <w:rPr>
                <w:rFonts w:ascii="Aptos" w:hAnsi="Aptos"/>
                <w:b w:val="0"/>
                <w:sz w:val="11"/>
              </w:rPr>
              <w:t>Org policy inventory and violations</w:t>
            </w:r>
          </w:p>
        </w:tc>
      </w:tr>
      <w:tr>
        <w:tc>
          <w:tcPr>
            <w:tcW w:type="dxa" w:w="2160"/>
            <w:vAlign w:val="top"/>
          </w:tcPr>
          <w:p>
            <w:r/>
            <w:r>
              <w:rPr>
                <w:rFonts w:ascii="Aptos" w:hAnsi="Aptos"/>
                <w:b w:val="0"/>
                <w:sz w:val="11"/>
              </w:rPr>
              <w:t>VPC Service Controls</w:t>
            </w:r>
          </w:p>
        </w:tc>
        <w:tc>
          <w:tcPr>
            <w:tcW w:type="dxa" w:w="2016"/>
            <w:vAlign w:val="top"/>
          </w:tcPr>
          <w:p>
            <w:r/>
            <w:r>
              <w:rPr>
                <w:rFonts w:ascii="Aptos" w:hAnsi="Aptos"/>
                <w:b w:val="0"/>
                <w:sz w:val="11"/>
              </w:rPr>
              <w:t>API perimeter and exfiltration reduction</w:t>
            </w:r>
          </w:p>
        </w:tc>
        <w:tc>
          <w:tcPr>
            <w:tcW w:type="dxa" w:w="3024"/>
            <w:vAlign w:val="top"/>
          </w:tcPr>
          <w:p>
            <w:r/>
            <w:r>
              <w:rPr>
                <w:rFonts w:ascii="Aptos" w:hAnsi="Aptos"/>
                <w:b w:val="0"/>
                <w:sz w:val="11"/>
              </w:rPr>
              <w:t>Protects supported services with ingress/egress and context controls</w:t>
            </w:r>
          </w:p>
        </w:tc>
        <w:tc>
          <w:tcPr>
            <w:tcW w:type="dxa" w:w="3024"/>
            <w:vAlign w:val="top"/>
          </w:tcPr>
          <w:p>
            <w:r/>
            <w:r>
              <w:rPr>
                <w:rFonts w:ascii="Aptos" w:hAnsi="Aptos"/>
                <w:b w:val="0"/>
                <w:sz w:val="11"/>
              </w:rPr>
              <w:t>Compatibility and dry-run testing required</w:t>
            </w:r>
          </w:p>
        </w:tc>
        <w:tc>
          <w:tcPr>
            <w:tcW w:type="dxa" w:w="2448"/>
            <w:vAlign w:val="top"/>
          </w:tcPr>
          <w:p>
            <w:r/>
            <w:r>
              <w:rPr>
                <w:rFonts w:ascii="Aptos" w:hAnsi="Aptos"/>
                <w:b w:val="0"/>
                <w:sz w:val="11"/>
              </w:rPr>
              <w:t>Perimeter config and policy denied logs</w:t>
            </w:r>
          </w:p>
        </w:tc>
      </w:tr>
      <w:tr>
        <w:tc>
          <w:tcPr>
            <w:tcW w:type="dxa" w:w="2160"/>
            <w:vAlign w:val="top"/>
          </w:tcPr>
          <w:p>
            <w:r/>
            <w:r>
              <w:rPr>
                <w:rFonts w:ascii="Aptos" w:hAnsi="Aptos"/>
                <w:b w:val="0"/>
                <w:sz w:val="11"/>
              </w:rPr>
              <w:t>Access Context Manager</w:t>
            </w:r>
          </w:p>
        </w:tc>
        <w:tc>
          <w:tcPr>
            <w:tcW w:type="dxa" w:w="2016"/>
            <w:vAlign w:val="top"/>
          </w:tcPr>
          <w:p>
            <w:r/>
            <w:r>
              <w:rPr>
                <w:rFonts w:ascii="Aptos" w:hAnsi="Aptos"/>
                <w:b w:val="0"/>
                <w:sz w:val="11"/>
              </w:rPr>
              <w:t>Context-aware access</w:t>
            </w:r>
          </w:p>
        </w:tc>
        <w:tc>
          <w:tcPr>
            <w:tcW w:type="dxa" w:w="3024"/>
            <w:vAlign w:val="top"/>
          </w:tcPr>
          <w:p>
            <w:r/>
            <w:r>
              <w:rPr>
                <w:rFonts w:ascii="Aptos" w:hAnsi="Aptos"/>
                <w:b w:val="0"/>
                <w:sz w:val="11"/>
              </w:rPr>
              <w:t>Device, IP, identity and custom access levels</w:t>
            </w:r>
          </w:p>
        </w:tc>
        <w:tc>
          <w:tcPr>
            <w:tcW w:type="dxa" w:w="3024"/>
            <w:vAlign w:val="top"/>
          </w:tcPr>
          <w:p>
            <w:r/>
            <w:r>
              <w:rPr>
                <w:rFonts w:ascii="Aptos" w:hAnsi="Aptos"/>
                <w:b w:val="0"/>
                <w:sz w:val="11"/>
              </w:rPr>
              <w:t>Dependent on endpoint and IdP signal quality</w:t>
            </w:r>
          </w:p>
        </w:tc>
        <w:tc>
          <w:tcPr>
            <w:tcW w:type="dxa" w:w="2448"/>
            <w:vAlign w:val="top"/>
          </w:tcPr>
          <w:p>
            <w:r/>
            <w:r>
              <w:rPr>
                <w:rFonts w:ascii="Aptos" w:hAnsi="Aptos"/>
                <w:b w:val="0"/>
                <w:sz w:val="11"/>
              </w:rPr>
              <w:t>Access level YAML and test results</w:t>
            </w:r>
          </w:p>
        </w:tc>
      </w:tr>
      <w:tr>
        <w:tc>
          <w:tcPr>
            <w:tcW w:type="dxa" w:w="2160"/>
            <w:vAlign w:val="top"/>
          </w:tcPr>
          <w:p>
            <w:r/>
            <w:r>
              <w:rPr>
                <w:rFonts w:ascii="Aptos" w:hAnsi="Aptos"/>
                <w:b w:val="0"/>
                <w:sz w:val="11"/>
              </w:rPr>
              <w:t>Private Service Connect</w:t>
            </w:r>
          </w:p>
        </w:tc>
        <w:tc>
          <w:tcPr>
            <w:tcW w:type="dxa" w:w="2016"/>
            <w:vAlign w:val="top"/>
          </w:tcPr>
          <w:p>
            <w:r/>
            <w:r>
              <w:rPr>
                <w:rFonts w:ascii="Aptos" w:hAnsi="Aptos"/>
                <w:b w:val="0"/>
                <w:sz w:val="11"/>
              </w:rPr>
              <w:t>Private service access</w:t>
            </w:r>
          </w:p>
        </w:tc>
        <w:tc>
          <w:tcPr>
            <w:tcW w:type="dxa" w:w="3024"/>
            <w:vAlign w:val="top"/>
          </w:tcPr>
          <w:p>
            <w:r/>
            <w:r>
              <w:rPr>
                <w:rFonts w:ascii="Aptos" w:hAnsi="Aptos"/>
                <w:b w:val="0"/>
                <w:sz w:val="11"/>
              </w:rPr>
              <w:t>Private API and producer/consumer connectivity</w:t>
            </w:r>
          </w:p>
        </w:tc>
        <w:tc>
          <w:tcPr>
            <w:tcW w:type="dxa" w:w="3024"/>
            <w:vAlign w:val="top"/>
          </w:tcPr>
          <w:p>
            <w:r/>
            <w:r>
              <w:rPr>
                <w:rFonts w:ascii="Aptos" w:hAnsi="Aptos"/>
                <w:b w:val="0"/>
                <w:sz w:val="11"/>
              </w:rPr>
              <w:t>Requires DNS and endpoint governance</w:t>
            </w:r>
          </w:p>
        </w:tc>
        <w:tc>
          <w:tcPr>
            <w:tcW w:type="dxa" w:w="2448"/>
            <w:vAlign w:val="top"/>
          </w:tcPr>
          <w:p>
            <w:r/>
            <w:r>
              <w:rPr>
                <w:rFonts w:ascii="Aptos" w:hAnsi="Aptos"/>
                <w:b w:val="0"/>
                <w:sz w:val="11"/>
              </w:rPr>
              <w:t>PSC endpoint inventory</w:t>
            </w:r>
          </w:p>
        </w:tc>
      </w:tr>
      <w:tr>
        <w:tc>
          <w:tcPr>
            <w:tcW w:type="dxa" w:w="2160"/>
            <w:vAlign w:val="top"/>
          </w:tcPr>
          <w:p>
            <w:r/>
            <w:r>
              <w:rPr>
                <w:rFonts w:ascii="Aptos" w:hAnsi="Aptos"/>
                <w:b w:val="0"/>
                <w:sz w:val="11"/>
              </w:rPr>
              <w:t>Cloud Armor</w:t>
            </w:r>
          </w:p>
        </w:tc>
        <w:tc>
          <w:tcPr>
            <w:tcW w:type="dxa" w:w="2016"/>
            <w:vAlign w:val="top"/>
          </w:tcPr>
          <w:p>
            <w:r/>
            <w:r>
              <w:rPr>
                <w:rFonts w:ascii="Aptos" w:hAnsi="Aptos"/>
                <w:b w:val="0"/>
                <w:sz w:val="11"/>
              </w:rPr>
              <w:t>Edge WAF and DDoS protection</w:t>
            </w:r>
          </w:p>
        </w:tc>
        <w:tc>
          <w:tcPr>
            <w:tcW w:type="dxa" w:w="3024"/>
            <w:vAlign w:val="top"/>
          </w:tcPr>
          <w:p>
            <w:r/>
            <w:r>
              <w:rPr>
                <w:rFonts w:ascii="Aptos" w:hAnsi="Aptos"/>
                <w:b w:val="0"/>
                <w:sz w:val="11"/>
              </w:rPr>
              <w:t>Preconfigured WAF rules and edge policies</w:t>
            </w:r>
          </w:p>
        </w:tc>
        <w:tc>
          <w:tcPr>
            <w:tcW w:type="dxa" w:w="3024"/>
            <w:vAlign w:val="top"/>
          </w:tcPr>
          <w:p>
            <w:r/>
            <w:r>
              <w:rPr>
                <w:rFonts w:ascii="Aptos" w:hAnsi="Aptos"/>
                <w:b w:val="0"/>
                <w:sz w:val="11"/>
              </w:rPr>
              <w:t>Tuning and subscription tier may be required</w:t>
            </w:r>
          </w:p>
        </w:tc>
        <w:tc>
          <w:tcPr>
            <w:tcW w:type="dxa" w:w="2448"/>
            <w:vAlign w:val="top"/>
          </w:tcPr>
          <w:p>
            <w:r/>
            <w:r>
              <w:rPr>
                <w:rFonts w:ascii="Aptos" w:hAnsi="Aptos"/>
                <w:b w:val="0"/>
                <w:sz w:val="11"/>
              </w:rPr>
              <w:t>WAF policy logs and test reports</w:t>
            </w:r>
          </w:p>
        </w:tc>
      </w:tr>
      <w:tr>
        <w:tc>
          <w:tcPr>
            <w:tcW w:type="dxa" w:w="2160"/>
            <w:vAlign w:val="top"/>
          </w:tcPr>
          <w:p>
            <w:r/>
            <w:r>
              <w:rPr>
                <w:rFonts w:ascii="Aptos" w:hAnsi="Aptos"/>
                <w:b w:val="0"/>
                <w:sz w:val="11"/>
              </w:rPr>
              <w:t>Cloud Firewall</w:t>
            </w:r>
          </w:p>
        </w:tc>
        <w:tc>
          <w:tcPr>
            <w:tcW w:type="dxa" w:w="2016"/>
            <w:vAlign w:val="top"/>
          </w:tcPr>
          <w:p>
            <w:r/>
            <w:r>
              <w:rPr>
                <w:rFonts w:ascii="Aptos" w:hAnsi="Aptos"/>
                <w:b w:val="0"/>
                <w:sz w:val="11"/>
              </w:rPr>
              <w:t>Network segmentation</w:t>
            </w:r>
          </w:p>
        </w:tc>
        <w:tc>
          <w:tcPr>
            <w:tcW w:type="dxa" w:w="3024"/>
            <w:vAlign w:val="top"/>
          </w:tcPr>
          <w:p>
            <w:r/>
            <w:r>
              <w:rPr>
                <w:rFonts w:ascii="Aptos" w:hAnsi="Aptos"/>
                <w:b w:val="0"/>
                <w:sz w:val="11"/>
              </w:rPr>
              <w:t>Hierarchical, global and regional firewall policies</w:t>
            </w:r>
          </w:p>
        </w:tc>
        <w:tc>
          <w:tcPr>
            <w:tcW w:type="dxa" w:w="3024"/>
            <w:vAlign w:val="top"/>
          </w:tcPr>
          <w:p>
            <w:r/>
            <w:r>
              <w:rPr>
                <w:rFonts w:ascii="Aptos" w:hAnsi="Aptos"/>
                <w:b w:val="0"/>
                <w:sz w:val="11"/>
              </w:rPr>
              <w:t>Does not replace IAM or API-level controls</w:t>
            </w:r>
          </w:p>
        </w:tc>
        <w:tc>
          <w:tcPr>
            <w:tcW w:type="dxa" w:w="2448"/>
            <w:vAlign w:val="top"/>
          </w:tcPr>
          <w:p>
            <w:r/>
            <w:r>
              <w:rPr>
                <w:rFonts w:ascii="Aptos" w:hAnsi="Aptos"/>
                <w:b w:val="0"/>
                <w:sz w:val="11"/>
              </w:rPr>
              <w:t>Firewall rule logs</w:t>
            </w:r>
          </w:p>
        </w:tc>
      </w:tr>
      <w:tr>
        <w:tc>
          <w:tcPr>
            <w:tcW w:type="dxa" w:w="2160"/>
            <w:vAlign w:val="top"/>
          </w:tcPr>
          <w:p>
            <w:r/>
            <w:r>
              <w:rPr>
                <w:rFonts w:ascii="Aptos" w:hAnsi="Aptos"/>
                <w:b w:val="0"/>
                <w:sz w:val="11"/>
              </w:rPr>
              <w:t>Security Command Center</w:t>
            </w:r>
          </w:p>
        </w:tc>
        <w:tc>
          <w:tcPr>
            <w:tcW w:type="dxa" w:w="2016"/>
            <w:vAlign w:val="top"/>
          </w:tcPr>
          <w:p>
            <w:r/>
            <w:r>
              <w:rPr>
                <w:rFonts w:ascii="Aptos" w:hAnsi="Aptos"/>
                <w:b w:val="0"/>
                <w:sz w:val="11"/>
              </w:rPr>
              <w:t>Posture and threat management</w:t>
            </w:r>
          </w:p>
        </w:tc>
        <w:tc>
          <w:tcPr>
            <w:tcW w:type="dxa" w:w="3024"/>
            <w:vAlign w:val="top"/>
          </w:tcPr>
          <w:p>
            <w:r/>
            <w:r>
              <w:rPr>
                <w:rFonts w:ascii="Aptos" w:hAnsi="Aptos"/>
                <w:b w:val="0"/>
                <w:sz w:val="11"/>
              </w:rPr>
              <w:t>Findings, vulnerabilities, compliance and threat sources</w:t>
            </w:r>
          </w:p>
        </w:tc>
        <w:tc>
          <w:tcPr>
            <w:tcW w:type="dxa" w:w="3024"/>
            <w:vAlign w:val="top"/>
          </w:tcPr>
          <w:p>
            <w:r/>
            <w:r>
              <w:rPr>
                <w:rFonts w:ascii="Aptos" w:hAnsi="Aptos"/>
                <w:b w:val="0"/>
                <w:sz w:val="11"/>
              </w:rPr>
              <w:t>Tier selection and integration required</w:t>
            </w:r>
          </w:p>
        </w:tc>
        <w:tc>
          <w:tcPr>
            <w:tcW w:type="dxa" w:w="2448"/>
            <w:vAlign w:val="top"/>
          </w:tcPr>
          <w:p>
            <w:r/>
            <w:r>
              <w:rPr>
                <w:rFonts w:ascii="Aptos" w:hAnsi="Aptos"/>
                <w:b w:val="0"/>
                <w:sz w:val="11"/>
              </w:rPr>
              <w:t>SCC findings and response tickets</w:t>
            </w:r>
          </w:p>
        </w:tc>
      </w:tr>
      <w:tr>
        <w:tc>
          <w:tcPr>
            <w:tcW w:type="dxa" w:w="2160"/>
            <w:vAlign w:val="top"/>
          </w:tcPr>
          <w:p>
            <w:r/>
            <w:r>
              <w:rPr>
                <w:rFonts w:ascii="Aptos" w:hAnsi="Aptos"/>
                <w:b w:val="0"/>
                <w:sz w:val="11"/>
              </w:rPr>
              <w:t>Event Threat Detection</w:t>
            </w:r>
          </w:p>
        </w:tc>
        <w:tc>
          <w:tcPr>
            <w:tcW w:type="dxa" w:w="2016"/>
            <w:vAlign w:val="top"/>
          </w:tcPr>
          <w:p>
            <w:r/>
            <w:r>
              <w:rPr>
                <w:rFonts w:ascii="Aptos" w:hAnsi="Aptos"/>
                <w:b w:val="0"/>
                <w:sz w:val="11"/>
              </w:rPr>
              <w:t>Threat detection from logs</w:t>
            </w:r>
          </w:p>
        </w:tc>
        <w:tc>
          <w:tcPr>
            <w:tcW w:type="dxa" w:w="3024"/>
            <w:vAlign w:val="top"/>
          </w:tcPr>
          <w:p>
            <w:r/>
            <w:r>
              <w:rPr>
                <w:rFonts w:ascii="Aptos" w:hAnsi="Aptos"/>
                <w:b w:val="0"/>
                <w:sz w:val="11"/>
              </w:rPr>
              <w:t>Near-real-time anomaly and threat detection</w:t>
            </w:r>
          </w:p>
        </w:tc>
        <w:tc>
          <w:tcPr>
            <w:tcW w:type="dxa" w:w="3024"/>
            <w:vAlign w:val="top"/>
          </w:tcPr>
          <w:p>
            <w:r/>
            <w:r>
              <w:rPr>
                <w:rFonts w:ascii="Aptos" w:hAnsi="Aptos"/>
                <w:b w:val="0"/>
                <w:sz w:val="11"/>
              </w:rPr>
              <w:t>Requires log availability and SCC tier</w:t>
            </w:r>
          </w:p>
        </w:tc>
        <w:tc>
          <w:tcPr>
            <w:tcW w:type="dxa" w:w="2448"/>
            <w:vAlign w:val="top"/>
          </w:tcPr>
          <w:p>
            <w:r/>
            <w:r>
              <w:rPr>
                <w:rFonts w:ascii="Aptos" w:hAnsi="Aptos"/>
                <w:b w:val="0"/>
                <w:sz w:val="11"/>
              </w:rPr>
              <w:t>ETD findings and test events</w:t>
            </w:r>
          </w:p>
        </w:tc>
      </w:tr>
      <w:tr>
        <w:tc>
          <w:tcPr>
            <w:tcW w:type="dxa" w:w="2160"/>
            <w:vAlign w:val="top"/>
          </w:tcPr>
          <w:p>
            <w:r/>
            <w:r>
              <w:rPr>
                <w:rFonts w:ascii="Aptos" w:hAnsi="Aptos"/>
                <w:b w:val="0"/>
                <w:sz w:val="11"/>
              </w:rPr>
              <w:t>Container Threat Detection</w:t>
            </w:r>
          </w:p>
        </w:tc>
        <w:tc>
          <w:tcPr>
            <w:tcW w:type="dxa" w:w="2016"/>
            <w:vAlign w:val="top"/>
          </w:tcPr>
          <w:p>
            <w:r/>
            <w:r>
              <w:rPr>
                <w:rFonts w:ascii="Aptos" w:hAnsi="Aptos"/>
                <w:b w:val="0"/>
                <w:sz w:val="11"/>
              </w:rPr>
              <w:t>Container runtime detection</w:t>
            </w:r>
          </w:p>
        </w:tc>
        <w:tc>
          <w:tcPr>
            <w:tcW w:type="dxa" w:w="3024"/>
            <w:vAlign w:val="top"/>
          </w:tcPr>
          <w:p>
            <w:r/>
            <w:r>
              <w:rPr>
                <w:rFonts w:ascii="Aptos" w:hAnsi="Aptos"/>
                <w:b w:val="0"/>
                <w:sz w:val="11"/>
              </w:rPr>
              <w:t>Detects common container runtime attacks</w:t>
            </w:r>
          </w:p>
        </w:tc>
        <w:tc>
          <w:tcPr>
            <w:tcW w:type="dxa" w:w="3024"/>
            <w:vAlign w:val="top"/>
          </w:tcPr>
          <w:p>
            <w:r/>
            <w:r>
              <w:rPr>
                <w:rFonts w:ascii="Aptos" w:hAnsi="Aptos"/>
                <w:b w:val="0"/>
                <w:sz w:val="11"/>
              </w:rPr>
              <w:t>Requires supported SCC tier and environment</w:t>
            </w:r>
          </w:p>
        </w:tc>
        <w:tc>
          <w:tcPr>
            <w:tcW w:type="dxa" w:w="2448"/>
            <w:vAlign w:val="top"/>
          </w:tcPr>
          <w:p>
            <w:r/>
            <w:r>
              <w:rPr>
                <w:rFonts w:ascii="Aptos" w:hAnsi="Aptos"/>
                <w:b w:val="0"/>
                <w:sz w:val="11"/>
              </w:rPr>
              <w:t>CTD findings and incident tickets</w:t>
            </w:r>
          </w:p>
        </w:tc>
      </w:tr>
      <w:tr>
        <w:tc>
          <w:tcPr>
            <w:tcW w:type="dxa" w:w="2160"/>
            <w:vAlign w:val="top"/>
          </w:tcPr>
          <w:p>
            <w:r/>
            <w:r>
              <w:rPr>
                <w:rFonts w:ascii="Aptos" w:hAnsi="Aptos"/>
                <w:b w:val="0"/>
                <w:sz w:val="11"/>
              </w:rPr>
              <w:t>Secret Manager</w:t>
            </w:r>
          </w:p>
        </w:tc>
        <w:tc>
          <w:tcPr>
            <w:tcW w:type="dxa" w:w="2016"/>
            <w:vAlign w:val="top"/>
          </w:tcPr>
          <w:p>
            <w:r/>
            <w:r>
              <w:rPr>
                <w:rFonts w:ascii="Aptos" w:hAnsi="Aptos"/>
                <w:b w:val="0"/>
                <w:sz w:val="11"/>
              </w:rPr>
              <w:t>Secret storage and rotation support</w:t>
            </w:r>
          </w:p>
        </w:tc>
        <w:tc>
          <w:tcPr>
            <w:tcW w:type="dxa" w:w="3024"/>
            <w:vAlign w:val="top"/>
          </w:tcPr>
          <w:p>
            <w:r/>
            <w:r>
              <w:rPr>
                <w:rFonts w:ascii="Aptos" w:hAnsi="Aptos"/>
                <w:b w:val="0"/>
                <w:sz w:val="11"/>
              </w:rPr>
              <w:t>Versioned secret storage with IAM and audit logs</w:t>
            </w:r>
          </w:p>
        </w:tc>
        <w:tc>
          <w:tcPr>
            <w:tcW w:type="dxa" w:w="3024"/>
            <w:vAlign w:val="top"/>
          </w:tcPr>
          <w:p>
            <w:r/>
            <w:r>
              <w:rPr>
                <w:rFonts w:ascii="Aptos" w:hAnsi="Aptos"/>
                <w:b w:val="0"/>
                <w:sz w:val="11"/>
              </w:rPr>
              <w:t>Secrets should be minimized and rotated</w:t>
            </w:r>
          </w:p>
        </w:tc>
        <w:tc>
          <w:tcPr>
            <w:tcW w:type="dxa" w:w="2448"/>
            <w:vAlign w:val="top"/>
          </w:tcPr>
          <w:p>
            <w:r/>
            <w:r>
              <w:rPr>
                <w:rFonts w:ascii="Aptos" w:hAnsi="Aptos"/>
                <w:b w:val="0"/>
                <w:sz w:val="11"/>
              </w:rPr>
              <w:t>Secret inventory and access logs</w:t>
            </w:r>
          </w:p>
        </w:tc>
      </w:tr>
      <w:tr>
        <w:tc>
          <w:tcPr>
            <w:tcW w:type="dxa" w:w="2160"/>
            <w:vAlign w:val="top"/>
          </w:tcPr>
          <w:p>
            <w:r/>
            <w:r>
              <w:rPr>
                <w:rFonts w:ascii="Aptos" w:hAnsi="Aptos"/>
                <w:b w:val="0"/>
                <w:sz w:val="11"/>
              </w:rPr>
              <w:t>Cloud KMS / Cloud HSM / Cloud EKM</w:t>
            </w:r>
          </w:p>
        </w:tc>
        <w:tc>
          <w:tcPr>
            <w:tcW w:type="dxa" w:w="2016"/>
            <w:vAlign w:val="top"/>
          </w:tcPr>
          <w:p>
            <w:r/>
            <w:r>
              <w:rPr>
                <w:rFonts w:ascii="Aptos" w:hAnsi="Aptos"/>
                <w:b w:val="0"/>
                <w:sz w:val="11"/>
              </w:rPr>
              <w:t>Key management</w:t>
            </w:r>
          </w:p>
        </w:tc>
        <w:tc>
          <w:tcPr>
            <w:tcW w:type="dxa" w:w="3024"/>
            <w:vAlign w:val="top"/>
          </w:tcPr>
          <w:p>
            <w:r/>
            <w:r>
              <w:rPr>
                <w:rFonts w:ascii="Aptos" w:hAnsi="Aptos"/>
                <w:b w:val="0"/>
                <w:sz w:val="11"/>
              </w:rPr>
              <w:t>CMEK, key rotation, HSM-backed and external key options</w:t>
            </w:r>
          </w:p>
        </w:tc>
        <w:tc>
          <w:tcPr>
            <w:tcW w:type="dxa" w:w="3024"/>
            <w:vAlign w:val="top"/>
          </w:tcPr>
          <w:p>
            <w:r/>
            <w:r>
              <w:rPr>
                <w:rFonts w:ascii="Aptos" w:hAnsi="Aptos"/>
                <w:b w:val="0"/>
                <w:sz w:val="11"/>
              </w:rPr>
              <w:t>Service support and regionality must be validated</w:t>
            </w:r>
          </w:p>
        </w:tc>
        <w:tc>
          <w:tcPr>
            <w:tcW w:type="dxa" w:w="2448"/>
            <w:vAlign w:val="top"/>
          </w:tcPr>
          <w:p>
            <w:r/>
            <w:r>
              <w:rPr>
                <w:rFonts w:ascii="Aptos" w:hAnsi="Aptos"/>
                <w:b w:val="0"/>
                <w:sz w:val="11"/>
              </w:rPr>
              <w:t>Key inventory, IAM, rotation, access logs</w:t>
            </w:r>
          </w:p>
        </w:tc>
      </w:tr>
      <w:tr>
        <w:tc>
          <w:tcPr>
            <w:tcW w:type="dxa" w:w="2160"/>
            <w:vAlign w:val="top"/>
          </w:tcPr>
          <w:p>
            <w:r/>
            <w:r>
              <w:rPr>
                <w:rFonts w:ascii="Aptos" w:hAnsi="Aptos"/>
                <w:b w:val="0"/>
                <w:sz w:val="11"/>
              </w:rPr>
              <w:t>Sensitive Data Protection</w:t>
            </w:r>
          </w:p>
        </w:tc>
        <w:tc>
          <w:tcPr>
            <w:tcW w:type="dxa" w:w="2016"/>
            <w:vAlign w:val="top"/>
          </w:tcPr>
          <w:p>
            <w:r/>
            <w:r>
              <w:rPr>
                <w:rFonts w:ascii="Aptos" w:hAnsi="Aptos"/>
                <w:b w:val="0"/>
                <w:sz w:val="11"/>
              </w:rPr>
              <w:t>Inspect and de-identify sensitive data</w:t>
            </w:r>
          </w:p>
        </w:tc>
        <w:tc>
          <w:tcPr>
            <w:tcW w:type="dxa" w:w="3024"/>
            <w:vAlign w:val="top"/>
          </w:tcPr>
          <w:p>
            <w:r/>
            <w:r>
              <w:rPr>
                <w:rFonts w:ascii="Aptos" w:hAnsi="Aptos"/>
                <w:b w:val="0"/>
                <w:sz w:val="11"/>
              </w:rPr>
              <w:t>Profiling, masking, redaction, tokenization, pseudonymization</w:t>
            </w:r>
          </w:p>
        </w:tc>
        <w:tc>
          <w:tcPr>
            <w:tcW w:type="dxa" w:w="3024"/>
            <w:vAlign w:val="top"/>
          </w:tcPr>
          <w:p>
            <w:r/>
            <w:r>
              <w:rPr>
                <w:rFonts w:ascii="Aptos" w:hAnsi="Aptos"/>
                <w:b w:val="0"/>
                <w:sz w:val="11"/>
              </w:rPr>
              <w:t>Requires tuning to reduce false positives/negatives</w:t>
            </w:r>
          </w:p>
        </w:tc>
        <w:tc>
          <w:tcPr>
            <w:tcW w:type="dxa" w:w="2448"/>
            <w:vAlign w:val="top"/>
          </w:tcPr>
          <w:p>
            <w:r/>
            <w:r>
              <w:rPr>
                <w:rFonts w:ascii="Aptos" w:hAnsi="Aptos"/>
                <w:b w:val="0"/>
                <w:sz w:val="11"/>
              </w:rPr>
              <w:t>Templates, profiles, transforms</w:t>
            </w:r>
          </w:p>
        </w:tc>
      </w:tr>
      <w:tr>
        <w:tc>
          <w:tcPr>
            <w:tcW w:type="dxa" w:w="2160"/>
            <w:vAlign w:val="top"/>
          </w:tcPr>
          <w:p>
            <w:r/>
            <w:r>
              <w:rPr>
                <w:rFonts w:ascii="Aptos" w:hAnsi="Aptos"/>
                <w:b w:val="0"/>
                <w:sz w:val="11"/>
              </w:rPr>
              <w:t>Access Transparency / Access Approval</w:t>
            </w:r>
          </w:p>
        </w:tc>
        <w:tc>
          <w:tcPr>
            <w:tcW w:type="dxa" w:w="2016"/>
            <w:vAlign w:val="top"/>
          </w:tcPr>
          <w:p>
            <w:r/>
            <w:r>
              <w:rPr>
                <w:rFonts w:ascii="Aptos" w:hAnsi="Aptos"/>
                <w:b w:val="0"/>
                <w:sz w:val="11"/>
              </w:rPr>
              <w:t>Google personnel access visibility and approval</w:t>
            </w:r>
          </w:p>
        </w:tc>
        <w:tc>
          <w:tcPr>
            <w:tcW w:type="dxa" w:w="3024"/>
            <w:vAlign w:val="top"/>
          </w:tcPr>
          <w:p>
            <w:r/>
            <w:r>
              <w:rPr>
                <w:rFonts w:ascii="Aptos" w:hAnsi="Aptos"/>
                <w:b w:val="0"/>
                <w:sz w:val="11"/>
              </w:rPr>
              <w:t>Transparency logs and explicit approval workflow</w:t>
            </w:r>
          </w:p>
        </w:tc>
        <w:tc>
          <w:tcPr>
            <w:tcW w:type="dxa" w:w="3024"/>
            <w:vAlign w:val="top"/>
          </w:tcPr>
          <w:p>
            <w:r/>
            <w:r>
              <w:rPr>
                <w:rFonts w:ascii="Aptos" w:hAnsi="Aptos"/>
                <w:b w:val="0"/>
                <w:sz w:val="11"/>
              </w:rPr>
              <w:t>Supported services and operational impact must be validated</w:t>
            </w:r>
          </w:p>
        </w:tc>
        <w:tc>
          <w:tcPr>
            <w:tcW w:type="dxa" w:w="2448"/>
            <w:vAlign w:val="top"/>
          </w:tcPr>
          <w:p>
            <w:r/>
            <w:r>
              <w:rPr>
                <w:rFonts w:ascii="Aptos" w:hAnsi="Aptos"/>
                <w:b w:val="0"/>
                <w:sz w:val="11"/>
              </w:rPr>
              <w:t>Access logs and approval records</w:t>
            </w:r>
          </w:p>
        </w:tc>
      </w:tr>
      <w:tr>
        <w:tc>
          <w:tcPr>
            <w:tcW w:type="dxa" w:w="2160"/>
            <w:vAlign w:val="top"/>
          </w:tcPr>
          <w:p>
            <w:r/>
            <w:r>
              <w:rPr>
                <w:rFonts w:ascii="Aptos" w:hAnsi="Aptos"/>
                <w:b w:val="0"/>
                <w:sz w:val="11"/>
              </w:rPr>
              <w:t>Artifact Analysis / Binary Authorization</w:t>
            </w:r>
          </w:p>
        </w:tc>
        <w:tc>
          <w:tcPr>
            <w:tcW w:type="dxa" w:w="2016"/>
            <w:vAlign w:val="top"/>
          </w:tcPr>
          <w:p>
            <w:r/>
            <w:r>
              <w:rPr>
                <w:rFonts w:ascii="Aptos" w:hAnsi="Aptos"/>
                <w:b w:val="0"/>
                <w:sz w:val="11"/>
              </w:rPr>
              <w:t>Supply-chain assurance</w:t>
            </w:r>
          </w:p>
        </w:tc>
        <w:tc>
          <w:tcPr>
            <w:tcW w:type="dxa" w:w="3024"/>
            <w:vAlign w:val="top"/>
          </w:tcPr>
          <w:p>
            <w:r/>
            <w:r>
              <w:rPr>
                <w:rFonts w:ascii="Aptos" w:hAnsi="Aptos"/>
                <w:b w:val="0"/>
                <w:sz w:val="11"/>
              </w:rPr>
              <w:t>Vulnerability data and deployment attestation enforcement</w:t>
            </w:r>
          </w:p>
        </w:tc>
        <w:tc>
          <w:tcPr>
            <w:tcW w:type="dxa" w:w="3024"/>
            <w:vAlign w:val="top"/>
          </w:tcPr>
          <w:p>
            <w:r/>
            <w:r>
              <w:rPr>
                <w:rFonts w:ascii="Aptos" w:hAnsi="Aptos"/>
                <w:b w:val="0"/>
                <w:sz w:val="11"/>
              </w:rPr>
              <w:t>Requires policy design and build integration</w:t>
            </w:r>
          </w:p>
        </w:tc>
        <w:tc>
          <w:tcPr>
            <w:tcW w:type="dxa" w:w="2448"/>
            <w:vAlign w:val="top"/>
          </w:tcPr>
          <w:p>
            <w:r/>
            <w:r>
              <w:rPr>
                <w:rFonts w:ascii="Aptos" w:hAnsi="Aptos"/>
                <w:b w:val="0"/>
                <w:sz w:val="11"/>
              </w:rPr>
              <w:t>Scan results, attestations, blocked deployments</w:t>
            </w:r>
          </w:p>
        </w:tc>
      </w:tr>
    </w:tbl>
    <w:p>
      <w:pPr>
        <w:pStyle w:val="Small"/>
      </w:pPr>
    </w:p>
    <w:p>
      <w:r>
        <w:br w:type="page"/>
      </w:r>
    </w:p>
    <w:p>
      <w:pPr>
        <w:pStyle w:val="Heading2"/>
      </w:pPr>
      <w:r>
        <w:t>34.x Service assessment - Cloud Identity / Workforce Identity Federation</w:t>
      </w:r>
    </w:p>
    <w:p>
      <w:r>
        <w:t>Federates employees, contractors and partners from the enterprise IdP with MFA, device posture and group lifecycle controls.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Federates employees, contractors and partners from the enterprise IdP with MFA, device posture and group lifecycle controls.</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SSO, MFA, group-based access, external workforce support</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SSO, MFA, group-based access, external workforce support</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Requires IdP governance and lifecycle integration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User/group lifecycle, MFA, session logs; positive and negative tests passed; runbook approved; owner and escalation path documented.</w:t>
            </w:r>
          </w:p>
        </w:tc>
      </w:tr>
    </w:tbl>
    <w:p>
      <w:pPr>
        <w:pStyle w:val="Small"/>
      </w:pPr>
    </w:p>
    <w:p>
      <w:r>
        <w:br w:type="page"/>
      </w:r>
    </w:p>
    <w:p>
      <w:pPr>
        <w:pStyle w:val="Heading2"/>
      </w:pPr>
      <w:r>
        <w:t>34.x Service assessment - Workload Identity Federation</w:t>
      </w:r>
    </w:p>
    <w:p>
      <w:r>
        <w:t>Allows workloads and deployment pipelines to access Google Cloud resources without persistent service account keys.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Allows workloads and deployment pipelines to access Google Cloud resources without persistent service account keys.</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Avoids long-lived keys, supports CI/CD and cross-cloud workloads</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Avoids long-lived keys, supports CI/CD and cross-cloud workloads</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Requires issuer trust and attribute mapping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Federation config, audit logs; positive and negative tests passed; runbook approved; owner and escalation path documented.</w:t>
            </w:r>
          </w:p>
        </w:tc>
      </w:tr>
    </w:tbl>
    <w:p>
      <w:pPr>
        <w:pStyle w:val="Small"/>
      </w:pPr>
    </w:p>
    <w:p>
      <w:r>
        <w:br w:type="page"/>
      </w:r>
    </w:p>
    <w:p>
      <w:pPr>
        <w:pStyle w:val="Heading2"/>
      </w:pPr>
      <w:r>
        <w:t>34.x Service assessment - IAM / IAM Conditions / Deny Policies</w:t>
      </w:r>
    </w:p>
    <w:p>
      <w:r>
        <w:t>Provides least-privilege authorization, contextual policy and explicit prohibitions for high-risk actions.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Provides least-privilege authorization, contextual policy and explicit prohibitions for high-risk actions.</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Fine-grained resource access and contextual conditions</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Fine-grained resource access and contextual conditions</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Role sprawl and custom-role drift need governance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IAM policy exports, access review; positive and negative tests passed; runbook approved; owner and escalation path documented.</w:t>
            </w:r>
          </w:p>
        </w:tc>
      </w:tr>
    </w:tbl>
    <w:p>
      <w:pPr>
        <w:pStyle w:val="Small"/>
      </w:pPr>
    </w:p>
    <w:p>
      <w:r>
        <w:br w:type="page"/>
      </w:r>
    </w:p>
    <w:p>
      <w:pPr>
        <w:pStyle w:val="Heading2"/>
      </w:pPr>
      <w:r>
        <w:t>34.x Service assessment - Privileged Access Manager</w:t>
      </w:r>
    </w:p>
    <w:p>
      <w:r>
        <w:t>Provides temporary, approval-based, auditable privilege elevation for administrators and responders.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Provides temporary, approval-based, auditable privilege elevation for administrators and responders.</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Time-bound, approval-based elevation with auditability</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Time-bound, approval-based elevation with auditability</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Requires entitlement design and operating process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PAM grants, approvals, expiry logs; positive and negative tests passed; runbook approved; owner and escalation path documented.</w:t>
            </w:r>
          </w:p>
        </w:tc>
      </w:tr>
    </w:tbl>
    <w:p>
      <w:pPr>
        <w:pStyle w:val="Small"/>
      </w:pPr>
    </w:p>
    <w:p>
      <w:r>
        <w:br w:type="page"/>
      </w:r>
    </w:p>
    <w:p>
      <w:pPr>
        <w:pStyle w:val="Heading2"/>
      </w:pPr>
      <w:r>
        <w:t>34.x Service assessment - Organization Policy Service</w:t>
      </w:r>
    </w:p>
    <w:p>
      <w:r>
        <w:t>Imposes centralized guardrails across the Google Cloud resource hierarchy.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Imposes centralized guardrails across the Google Cloud resource hierarchy.</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Centralized guardrails across hierarchy</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Centralized guardrails across hierarchy</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Exceptions and inheritance require careful testing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Org policy inventory and violations; positive and negative tests passed; runbook approved; owner and escalation path documented.</w:t>
            </w:r>
          </w:p>
        </w:tc>
      </w:tr>
    </w:tbl>
    <w:p>
      <w:pPr>
        <w:pStyle w:val="Small"/>
      </w:pPr>
    </w:p>
    <w:p>
      <w:r>
        <w:br w:type="page"/>
      </w:r>
    </w:p>
    <w:p>
      <w:pPr>
        <w:pStyle w:val="Heading2"/>
      </w:pPr>
      <w:r>
        <w:t>34.x Service assessment - VPC Service Controls</w:t>
      </w:r>
    </w:p>
    <w:p>
      <w:r>
        <w:t>Reduces Google Cloud API data exfiltration risk by creating service perimeters around sensitive projects.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Reduces Google Cloud API data exfiltration risk by creating service perimeters around sensitive projects.</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Protects supported services with ingress/egress and context controls</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Protects supported services with ingress/egress and context controls</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Compatibility and dry-run testing required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Perimeter config and policy denied logs; positive and negative tests passed; runbook approved; owner and escalation path documented.</w:t>
            </w:r>
          </w:p>
        </w:tc>
      </w:tr>
    </w:tbl>
    <w:p>
      <w:pPr>
        <w:pStyle w:val="Small"/>
      </w:pPr>
    </w:p>
    <w:p>
      <w:r>
        <w:br w:type="page"/>
      </w:r>
    </w:p>
    <w:p>
      <w:pPr>
        <w:pStyle w:val="Heading2"/>
      </w:pPr>
      <w:r>
        <w:t>34.x Service assessment - Access Context Manager</w:t>
      </w:r>
    </w:p>
    <w:p>
      <w:r>
        <w:t>Defines contextual access levels that can be used by VPC Service Controls and context-aware access decisions.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Defines contextual access levels that can be used by VPC Service Controls and context-aware access decisions.</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Device, IP, identity and custom access levels</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Device, IP, identity and custom access levels</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Dependent on endpoint and IdP signal quality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Access level YAML and test results; positive and negative tests passed; runbook approved; owner and escalation path documented.</w:t>
            </w:r>
          </w:p>
        </w:tc>
      </w:tr>
    </w:tbl>
    <w:p>
      <w:pPr>
        <w:pStyle w:val="Small"/>
      </w:pPr>
    </w:p>
    <w:p>
      <w:r>
        <w:br w:type="page"/>
      </w:r>
    </w:p>
    <w:p>
      <w:pPr>
        <w:pStyle w:val="Heading2"/>
      </w:pPr>
      <w:r>
        <w:t>34.x Service assessment - Private Service Connect</w:t>
      </w:r>
    </w:p>
    <w:p>
      <w:r>
        <w:t>Provides private API and producer-consumer service connectivity without broad network exposure.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Provides private API and producer-consumer service connectivity without broad network exposure.</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Private API and producer/consumer connectivity</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Private API and producer/consumer connectivity</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Requires DNS and endpoint governance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PSC endpoint inventory; positive and negative tests passed; runbook approved; owner and escalation path documented.</w:t>
            </w:r>
          </w:p>
        </w:tc>
      </w:tr>
    </w:tbl>
    <w:p>
      <w:pPr>
        <w:pStyle w:val="Small"/>
      </w:pPr>
    </w:p>
    <w:p>
      <w:r>
        <w:br w:type="page"/>
      </w:r>
    </w:p>
    <w:p>
      <w:pPr>
        <w:pStyle w:val="Heading2"/>
      </w:pPr>
      <w:r>
        <w:t>34.x Service assessment - Cloud Armor</w:t>
      </w:r>
    </w:p>
    <w:p>
      <w:r>
        <w:t>Provides edge WAF, DDoS mitigation and request filtering for externally exposed applications and APIs.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Provides edge WAF, DDoS mitigation and request filtering for externally exposed applications and APIs.</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Preconfigured WAF rules and edge policies</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Preconfigured WAF rules and edge policies</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Tuning and subscription tier may be required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WAF policy logs and test reports; positive and negative tests passed; runbook approved; owner and escalation path documented.</w:t>
            </w:r>
          </w:p>
        </w:tc>
      </w:tr>
    </w:tbl>
    <w:p>
      <w:pPr>
        <w:pStyle w:val="Small"/>
      </w:pPr>
    </w:p>
    <w:p>
      <w:r>
        <w:br w:type="page"/>
      </w:r>
    </w:p>
    <w:p>
      <w:pPr>
        <w:pStyle w:val="Heading2"/>
      </w:pPr>
      <w:r>
        <w:t>34.x Service assessment - Cloud Firewall</w:t>
      </w:r>
    </w:p>
    <w:p>
      <w:r>
        <w:t>Provides hierarchical and network firewall policy enforcement and logging for back-end network paths.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Provides hierarchical and network firewall policy enforcement and logging for back-end network paths.</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Hierarchical, global and regional firewall policies</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Hierarchical, global and regional firewall policies</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Does not replace IAM or API-level controls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Firewall rule logs; positive and negative tests passed; runbook approved; owner and escalation path documented.</w:t>
            </w:r>
          </w:p>
        </w:tc>
      </w:tr>
    </w:tbl>
    <w:p>
      <w:pPr>
        <w:pStyle w:val="Small"/>
      </w:pPr>
    </w:p>
    <w:p>
      <w:r>
        <w:br w:type="page"/>
      </w:r>
    </w:p>
    <w:p>
      <w:pPr>
        <w:pStyle w:val="Heading2"/>
      </w:pPr>
      <w:r>
        <w:t>34.x Service assessment - Security Command Center</w:t>
      </w:r>
    </w:p>
    <w:p>
      <w:r>
        <w:t>Centralizes posture, vulnerability, threat and compliance findings across Google Cloud assets.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Centralizes posture, vulnerability, threat and compliance findings across Google Cloud assets.</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Findings, vulnerabilities, compliance and threat sources</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Findings, vulnerabilities, compliance and threat sources</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Tier selection and integration required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SCC findings and response tickets; positive and negative tests passed; runbook approved; owner and escalation path documented.</w:t>
            </w:r>
          </w:p>
        </w:tc>
      </w:tr>
    </w:tbl>
    <w:p>
      <w:pPr>
        <w:pStyle w:val="Small"/>
      </w:pPr>
    </w:p>
    <w:p>
      <w:r>
        <w:br w:type="page"/>
      </w:r>
    </w:p>
    <w:p>
      <w:pPr>
        <w:pStyle w:val="Heading2"/>
      </w:pPr>
      <w:r>
        <w:t>34.x Service assessment - Event Threat Detection</w:t>
      </w:r>
    </w:p>
    <w:p>
      <w:r>
        <w:t>Detects threats from Cloud Logging and Google Workspace logging signals and emits SCC findings.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Detects threats from Cloud Logging and Google Workspace logging signals and emits SCC findings.</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Near-real-time anomaly and threat detection</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Near-real-time anomaly and threat detection</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Requires log availability and SCC tier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ETD findings and test events; positive and negative tests passed; runbook approved; owner and escalation path documented.</w:t>
            </w:r>
          </w:p>
        </w:tc>
      </w:tr>
    </w:tbl>
    <w:p>
      <w:pPr>
        <w:pStyle w:val="Small"/>
      </w:pPr>
    </w:p>
    <w:p>
      <w:r>
        <w:br w:type="page"/>
      </w:r>
    </w:p>
    <w:p>
      <w:pPr>
        <w:pStyle w:val="Heading2"/>
      </w:pPr>
      <w:r>
        <w:t>34.x Service assessment - Container Threat Detection</w:t>
      </w:r>
    </w:p>
    <w:p>
      <w:r>
        <w:t>Detects common container runtime attacks and suspicious container behavior.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Detects common container runtime attacks and suspicious container behavior.</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Detects common container runtime attacks</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Detects common container runtime attacks</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Requires supported SCC tier and environment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CTD findings and incident tickets; positive and negative tests passed; runbook approved; owner and escalation path documented.</w:t>
            </w:r>
          </w:p>
        </w:tc>
      </w:tr>
    </w:tbl>
    <w:p>
      <w:pPr>
        <w:pStyle w:val="Small"/>
      </w:pPr>
    </w:p>
    <w:p>
      <w:r>
        <w:br w:type="page"/>
      </w:r>
    </w:p>
    <w:p>
      <w:pPr>
        <w:pStyle w:val="Heading2"/>
      </w:pPr>
      <w:r>
        <w:t>34.x Service assessment - Secret Manager</w:t>
      </w:r>
    </w:p>
    <w:p>
      <w:r>
        <w:t>Stores, versions and audits access to secrets that cannot be eliminated from workloads.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Stores, versions and audits access to secrets that cannot be eliminated from workloads.</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Versioned secret storage with IAM and audit logs</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Versioned secret storage with IAM and audit logs</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Secrets should be minimized and rotated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Secret inventory and access logs; positive and negative tests passed; runbook approved; owner and escalation path documented.</w:t>
            </w:r>
          </w:p>
        </w:tc>
      </w:tr>
    </w:tbl>
    <w:p>
      <w:pPr>
        <w:pStyle w:val="Small"/>
      </w:pPr>
    </w:p>
    <w:p>
      <w:r>
        <w:br w:type="page"/>
      </w:r>
    </w:p>
    <w:p>
      <w:pPr>
        <w:pStyle w:val="Heading2"/>
      </w:pPr>
      <w:r>
        <w:t>34.x Service assessment - Cloud KMS / Cloud HSM / Cloud EKM</w:t>
      </w:r>
    </w:p>
    <w:p>
      <w:r>
        <w:t>Manages cryptographic keys, CMEK, hardware-backed keys and externally managed key integrations.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Manages cryptographic keys, CMEK, hardware-backed keys and externally managed key integrations.</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CMEK, key rotation, HSM-backed and external key options</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CMEK, key rotation, HSM-backed and external key options</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Service support and regionality must be validated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Key inventory, IAM, rotation, access logs; positive and negative tests passed; runbook approved; owner and escalation path documented.</w:t>
            </w:r>
          </w:p>
        </w:tc>
      </w:tr>
    </w:tbl>
    <w:p>
      <w:pPr>
        <w:pStyle w:val="Small"/>
      </w:pPr>
    </w:p>
    <w:p>
      <w:r>
        <w:br w:type="page"/>
      </w:r>
    </w:p>
    <w:p>
      <w:pPr>
        <w:pStyle w:val="Heading2"/>
      </w:pPr>
      <w:r>
        <w:t>34.x Service assessment - Sensitive Data Protection</w:t>
      </w:r>
    </w:p>
    <w:p>
      <w:r>
        <w:t>Profiles, inspects and de-identifies sensitive data using masking, redaction, tokenization and pseudonymization.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Profiles, inspects and de-identifies sensitive data using masking, redaction, tokenization and pseudonymization.</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Profiling, masking, redaction, tokenization, pseudonymization</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Profiling, masking, redaction, tokenization, pseudonymization</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Requires tuning to reduce false positives/negatives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Templates, profiles, transforms; positive and negative tests passed; runbook approved; owner and escalation path documented.</w:t>
            </w:r>
          </w:p>
        </w:tc>
      </w:tr>
    </w:tbl>
    <w:p>
      <w:pPr>
        <w:pStyle w:val="Small"/>
      </w:pPr>
    </w:p>
    <w:p>
      <w:r>
        <w:br w:type="page"/>
      </w:r>
    </w:p>
    <w:p>
      <w:pPr>
        <w:pStyle w:val="Heading2"/>
      </w:pPr>
      <w:r>
        <w:t>34.x Service assessment - Access Transparency / Access Approval</w:t>
      </w:r>
    </w:p>
    <w:p>
      <w:r>
        <w:t>Provides visibility and approval control for supported Google personnel access to customer data.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Provides visibility and approval control for supported Google personnel access to customer data.</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Transparency logs and explicit approval workflow</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Transparency logs and explicit approval workflow</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Supported services and operational impact must be validated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Access logs and approval records; positive and negative tests passed; runbook approved; owner and escalation path documented.</w:t>
            </w:r>
          </w:p>
        </w:tc>
      </w:tr>
    </w:tbl>
    <w:p>
      <w:pPr>
        <w:pStyle w:val="Small"/>
      </w:pPr>
    </w:p>
    <w:p>
      <w:r>
        <w:br w:type="page"/>
      </w:r>
    </w:p>
    <w:p>
      <w:pPr>
        <w:pStyle w:val="Heading2"/>
      </w:pPr>
      <w:r>
        <w:t>34.x Service assessment - Artifact Analysis / Binary Authorization</w:t>
      </w:r>
    </w:p>
    <w:p>
      <w:r>
        <w:t>Provides vulnerability metadata and deployment authorization gates for trusted artifacts. This assessment must be validated against current Google Cloud documentation for regional availability, service tiers, quotas, IAM roles, supported integrations, VPC Service Controls support and Terraform provider arguments at implementation time.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rFonts w:ascii="Aptos" w:hAnsi="Aptos"/>
                <w:b/>
                <w:sz w:val="11"/>
              </w:rPr>
              <w:t>Assessment item</w:t>
            </w:r>
          </w:p>
        </w:tc>
        <w:tc>
          <w:tcPr>
            <w:tcW w:type="dxa" w:w="7776"/>
            <w:vAlign w:val="top"/>
            <w:shd w:fill="D9EAF7"/>
          </w:tcPr>
          <w:p>
            <w:r/>
            <w:r>
              <w:rPr>
                <w:rFonts w:ascii="Aptos" w:hAnsi="Aptos"/>
                <w:b/>
                <w:sz w:val="11"/>
              </w:rPr>
              <w:t>Volume 08 baseline</w:t>
            </w:r>
          </w:p>
        </w:tc>
      </w:tr>
      <w:tr>
        <w:tc>
          <w:tcPr>
            <w:tcW w:type="dxa" w:w="2880"/>
            <w:vAlign w:val="top"/>
          </w:tcPr>
          <w:p>
            <w:r/>
            <w:r>
              <w:rPr>
                <w:rFonts w:ascii="Aptos" w:hAnsi="Aptos"/>
                <w:b w:val="0"/>
                <w:sz w:val="11"/>
              </w:rPr>
              <w:t>Purpose</w:t>
            </w:r>
          </w:p>
        </w:tc>
        <w:tc>
          <w:tcPr>
            <w:tcW w:type="dxa" w:w="7776"/>
            <w:vAlign w:val="top"/>
          </w:tcPr>
          <w:p>
            <w:r/>
            <w:r>
              <w:rPr>
                <w:rFonts w:ascii="Aptos" w:hAnsi="Aptos"/>
                <w:b w:val="0"/>
                <w:sz w:val="11"/>
              </w:rPr>
              <w:t>Provides vulnerability metadata and deployment authorization gates for trusted artifacts.</w:t>
            </w:r>
          </w:p>
        </w:tc>
      </w:tr>
      <w:tr>
        <w:tc>
          <w:tcPr>
            <w:tcW w:type="dxa" w:w="2880"/>
            <w:vAlign w:val="top"/>
          </w:tcPr>
          <w:p>
            <w:r/>
            <w:r>
              <w:rPr>
                <w:rFonts w:ascii="Aptos" w:hAnsi="Aptos"/>
                <w:b w:val="0"/>
                <w:sz w:val="11"/>
              </w:rPr>
              <w:t>Enterprise architecture role</w:t>
            </w:r>
          </w:p>
        </w:tc>
        <w:tc>
          <w:tcPr>
            <w:tcW w:type="dxa" w:w="7776"/>
            <w:vAlign w:val="top"/>
          </w:tcPr>
          <w:p>
            <w:r/>
            <w:r>
              <w:rPr>
                <w:rFonts w:ascii="Aptos" w:hAnsi="Aptos"/>
                <w:b w:val="0"/>
                <w:sz w:val="11"/>
              </w:rPr>
              <w:t>Selected security control in the enterprise Zero Trust architecture; integrated with landing zone, data platform, analytics and AI workloads.</w:t>
            </w:r>
          </w:p>
        </w:tc>
      </w:tr>
      <w:tr>
        <w:tc>
          <w:tcPr>
            <w:tcW w:type="dxa" w:w="2880"/>
            <w:vAlign w:val="top"/>
          </w:tcPr>
          <w:p>
            <w:r/>
            <w:r>
              <w:rPr>
                <w:rFonts w:ascii="Aptos" w:hAnsi="Aptos"/>
                <w:b w:val="0"/>
                <w:sz w:val="11"/>
              </w:rPr>
              <w:t>Business capabilities supported</w:t>
            </w:r>
          </w:p>
        </w:tc>
        <w:tc>
          <w:tcPr>
            <w:tcW w:type="dxa" w:w="7776"/>
            <w:vAlign w:val="top"/>
          </w:tcPr>
          <w:p>
            <w:r/>
            <w:r>
              <w:rPr>
                <w:rFonts w:ascii="Aptos" w:hAnsi="Aptos"/>
                <w:b w:val="0"/>
                <w:sz w:val="11"/>
              </w:rPr>
              <w:t>Regulated data handling, secure self-service, auditability, risk reduction, operational resilience and compliance evidence.</w:t>
            </w:r>
          </w:p>
        </w:tc>
      </w:tr>
      <w:tr>
        <w:tc>
          <w:tcPr>
            <w:tcW w:type="dxa" w:w="2880"/>
            <w:vAlign w:val="top"/>
          </w:tcPr>
          <w:p>
            <w:r/>
            <w:r>
              <w:rPr>
                <w:rFonts w:ascii="Aptos" w:hAnsi="Aptos"/>
                <w:b w:val="0"/>
                <w:sz w:val="11"/>
              </w:rPr>
              <w:t>Technical capabilities</w:t>
            </w:r>
          </w:p>
        </w:tc>
        <w:tc>
          <w:tcPr>
            <w:tcW w:type="dxa" w:w="7776"/>
            <w:vAlign w:val="top"/>
          </w:tcPr>
          <w:p>
            <w:r/>
            <w:r>
              <w:rPr>
                <w:rFonts w:ascii="Aptos" w:hAnsi="Aptos"/>
                <w:b w:val="0"/>
                <w:sz w:val="11"/>
              </w:rPr>
              <w:t>Vulnerability data and deployment attestation enforcement</w:t>
            </w:r>
          </w:p>
        </w:tc>
      </w:tr>
      <w:tr>
        <w:tc>
          <w:tcPr>
            <w:tcW w:type="dxa" w:w="2880"/>
            <w:vAlign w:val="top"/>
          </w:tcPr>
          <w:p>
            <w:r/>
            <w:r>
              <w:rPr>
                <w:rFonts w:ascii="Aptos" w:hAnsi="Aptos"/>
                <w:b w:val="0"/>
                <w:sz w:val="11"/>
              </w:rPr>
              <w:t>Benefits</w:t>
            </w:r>
          </w:p>
        </w:tc>
        <w:tc>
          <w:tcPr>
            <w:tcW w:type="dxa" w:w="7776"/>
            <w:vAlign w:val="top"/>
          </w:tcPr>
          <w:p>
            <w:r/>
            <w:r>
              <w:rPr>
                <w:rFonts w:ascii="Aptos" w:hAnsi="Aptos"/>
                <w:b w:val="0"/>
                <w:sz w:val="11"/>
              </w:rPr>
              <w:t>Vulnerability data and deployment attestation enforcement</w:t>
            </w:r>
          </w:p>
        </w:tc>
      </w:tr>
      <w:tr>
        <w:tc>
          <w:tcPr>
            <w:tcW w:type="dxa" w:w="2880"/>
            <w:vAlign w:val="top"/>
          </w:tcPr>
          <w:p>
            <w:r/>
            <w:r>
              <w:rPr>
                <w:rFonts w:ascii="Aptos" w:hAnsi="Aptos"/>
                <w:b w:val="0"/>
                <w:sz w:val="11"/>
              </w:rPr>
              <w:t>Limitations</w:t>
            </w:r>
          </w:p>
        </w:tc>
        <w:tc>
          <w:tcPr>
            <w:tcW w:type="dxa" w:w="7776"/>
            <w:vAlign w:val="top"/>
          </w:tcPr>
          <w:p>
            <w:r/>
            <w:r>
              <w:rPr>
                <w:rFonts w:ascii="Aptos" w:hAnsi="Aptos"/>
                <w:b w:val="0"/>
                <w:sz w:val="11"/>
              </w:rPr>
              <w:t>Requires policy design and build integration Validate compatibility and support boundaries before enforcement.</w:t>
            </w:r>
          </w:p>
        </w:tc>
      </w:tr>
      <w:tr>
        <w:tc>
          <w:tcPr>
            <w:tcW w:type="dxa" w:w="2880"/>
            <w:vAlign w:val="top"/>
          </w:tcPr>
          <w:p>
            <w:r/>
            <w:r>
              <w:rPr>
                <w:rFonts w:ascii="Aptos" w:hAnsi="Aptos"/>
                <w:b w:val="0"/>
                <w:sz w:val="11"/>
              </w:rPr>
              <w:t>Service quotas</w:t>
            </w:r>
          </w:p>
        </w:tc>
        <w:tc>
          <w:tcPr>
            <w:tcW w:type="dxa" w:w="7776"/>
            <w:vAlign w:val="top"/>
          </w:tcPr>
          <w:p>
            <w:r/>
            <w:r>
              <w:rPr>
                <w:rFonts w:ascii="Aptos" w:hAnsi="Aptos"/>
                <w:b w:val="0"/>
                <w:sz w:val="11"/>
              </w:rPr>
              <w:t>Validate organization, project, request, policy, rule, finding, key, scan and API quotas during detailed design; do not assume defaults fit Fortune 100 scale.</w:t>
            </w:r>
          </w:p>
        </w:tc>
      </w:tr>
      <w:tr>
        <w:tc>
          <w:tcPr>
            <w:tcW w:type="dxa" w:w="2880"/>
            <w:vAlign w:val="top"/>
          </w:tcPr>
          <w:p>
            <w:r/>
            <w:r>
              <w:rPr>
                <w:rFonts w:ascii="Aptos" w:hAnsi="Aptos"/>
                <w:b w:val="0"/>
                <w:sz w:val="11"/>
              </w:rPr>
              <w:t>Regional availability considerations</w:t>
            </w:r>
          </w:p>
        </w:tc>
        <w:tc>
          <w:tcPr>
            <w:tcW w:type="dxa" w:w="7776"/>
            <w:vAlign w:val="top"/>
          </w:tcPr>
          <w:p>
            <w:r/>
            <w:r>
              <w:rPr>
                <w:rFonts w:ascii="Aptos" w:hAnsi="Aptos"/>
                <w:b w:val="0"/>
                <w:sz w:val="11"/>
              </w:rPr>
              <w:t>Confirm required locations, data residency, key location, service endpoint and regional control-plane behavior for AMER, EMEA and APAC.</w:t>
            </w:r>
          </w:p>
        </w:tc>
      </w:tr>
      <w:tr>
        <w:tc>
          <w:tcPr>
            <w:tcW w:type="dxa" w:w="2880"/>
            <w:vAlign w:val="top"/>
          </w:tcPr>
          <w:p>
            <w:r/>
            <w:r>
              <w:rPr>
                <w:rFonts w:ascii="Aptos" w:hAnsi="Aptos"/>
                <w:b w:val="0"/>
                <w:sz w:val="11"/>
              </w:rPr>
              <w:t>High-availability characteristics</w:t>
            </w:r>
          </w:p>
        </w:tc>
        <w:tc>
          <w:tcPr>
            <w:tcW w:type="dxa" w:w="7776"/>
            <w:vAlign w:val="top"/>
          </w:tcPr>
          <w:p>
            <w:r/>
            <w:r>
              <w:rPr>
                <w:rFonts w:ascii="Aptos" w:hAnsi="Aptos"/>
                <w:b w:val="0"/>
                <w:sz w:val="11"/>
              </w:rPr>
              <w:t>Use managed service HA characteristics; remove single project or single identity bottlenecks; test control-plane dependency failure modes.</w:t>
            </w:r>
          </w:p>
        </w:tc>
      </w:tr>
      <w:tr>
        <w:tc>
          <w:tcPr>
            <w:tcW w:type="dxa" w:w="2880"/>
            <w:vAlign w:val="top"/>
          </w:tcPr>
          <w:p>
            <w:r/>
            <w:r>
              <w:rPr>
                <w:rFonts w:ascii="Aptos" w:hAnsi="Aptos"/>
                <w:b w:val="0"/>
                <w:sz w:val="11"/>
              </w:rPr>
              <w:t>Disaster-recovery considerations</w:t>
            </w:r>
          </w:p>
        </w:tc>
        <w:tc>
          <w:tcPr>
            <w:tcW w:type="dxa" w:w="7776"/>
            <w:vAlign w:val="top"/>
          </w:tcPr>
          <w:p>
            <w:r/>
            <w:r>
              <w:rPr>
                <w:rFonts w:ascii="Aptos" w:hAnsi="Aptos"/>
                <w:b w:val="0"/>
                <w:sz w:val="11"/>
              </w:rPr>
              <w:t>Document recovery of configuration, policies, keys, logs, service agents and evidence repositories in Volume 12.</w:t>
            </w:r>
          </w:p>
        </w:tc>
      </w:tr>
      <w:tr>
        <w:tc>
          <w:tcPr>
            <w:tcW w:type="dxa" w:w="2880"/>
            <w:vAlign w:val="top"/>
          </w:tcPr>
          <w:p>
            <w:r/>
            <w:r>
              <w:rPr>
                <w:rFonts w:ascii="Aptos" w:hAnsi="Aptos"/>
                <w:b w:val="0"/>
                <w:sz w:val="11"/>
              </w:rPr>
              <w:t>Security model</w:t>
            </w:r>
          </w:p>
        </w:tc>
        <w:tc>
          <w:tcPr>
            <w:tcW w:type="dxa" w:w="7776"/>
            <w:vAlign w:val="top"/>
          </w:tcPr>
          <w:p>
            <w:r/>
            <w:r>
              <w:rPr>
                <w:rFonts w:ascii="Aptos" w:hAnsi="Aptos"/>
                <w:b w:val="0"/>
                <w:sz w:val="11"/>
              </w:rPr>
              <w:t>Least privilege IAM, group-based administration, change review, audit logs, policy-as-code and exception management.</w:t>
            </w:r>
          </w:p>
        </w:tc>
      </w:tr>
      <w:tr>
        <w:tc>
          <w:tcPr>
            <w:tcW w:type="dxa" w:w="2880"/>
            <w:vAlign w:val="top"/>
          </w:tcPr>
          <w:p>
            <w:r/>
            <w:r>
              <w:rPr>
                <w:rFonts w:ascii="Aptos" w:hAnsi="Aptos"/>
                <w:b w:val="0"/>
                <w:sz w:val="11"/>
              </w:rPr>
              <w:t>IAM requirements</w:t>
            </w:r>
          </w:p>
        </w:tc>
        <w:tc>
          <w:tcPr>
            <w:tcW w:type="dxa" w:w="7776"/>
            <w:vAlign w:val="top"/>
          </w:tcPr>
          <w:p>
            <w:r/>
            <w:r>
              <w:rPr>
                <w:rFonts w:ascii="Aptos" w:hAnsi="Aptos"/>
                <w:b w:val="0"/>
                <w:sz w:val="11"/>
              </w:rPr>
              <w:t>Separate admin, viewer, auditor, automation and service-agent roles; avoid broad basic roles; use PAM for elevation.</w:t>
            </w:r>
          </w:p>
        </w:tc>
      </w:tr>
      <w:tr>
        <w:tc>
          <w:tcPr>
            <w:tcW w:type="dxa" w:w="2880"/>
            <w:vAlign w:val="top"/>
          </w:tcPr>
          <w:p>
            <w:r/>
            <w:r>
              <w:rPr>
                <w:rFonts w:ascii="Aptos" w:hAnsi="Aptos"/>
                <w:b w:val="0"/>
                <w:sz w:val="11"/>
              </w:rPr>
              <w:t>Network requirements</w:t>
            </w:r>
          </w:p>
        </w:tc>
        <w:tc>
          <w:tcPr>
            <w:tcW w:type="dxa" w:w="7776"/>
            <w:vAlign w:val="top"/>
          </w:tcPr>
          <w:p>
            <w:r/>
            <w:r>
              <w:rPr>
                <w:rFonts w:ascii="Aptos" w:hAnsi="Aptos"/>
                <w:b w:val="0"/>
                <w:sz w:val="11"/>
              </w:rPr>
              <w:t>Use private management paths where possible and integrate with Shared VPC, PSC, firewall policies and controlled egress.</w:t>
            </w:r>
          </w:p>
        </w:tc>
      </w:tr>
      <w:tr>
        <w:tc>
          <w:tcPr>
            <w:tcW w:type="dxa" w:w="2880"/>
            <w:vAlign w:val="top"/>
          </w:tcPr>
          <w:p>
            <w:r/>
            <w:r>
              <w:rPr>
                <w:rFonts w:ascii="Aptos" w:hAnsi="Aptos"/>
                <w:b w:val="0"/>
                <w:sz w:val="11"/>
              </w:rPr>
              <w:t>VPC Service Controls considerations</w:t>
            </w:r>
          </w:p>
        </w:tc>
        <w:tc>
          <w:tcPr>
            <w:tcW w:type="dxa" w:w="7776"/>
            <w:vAlign w:val="top"/>
          </w:tcPr>
          <w:p>
            <w:r/>
            <w:r>
              <w:rPr>
                <w:rFonts w:ascii="Aptos" w:hAnsi="Aptos"/>
                <w:b w:val="0"/>
                <w:sz w:val="11"/>
              </w:rPr>
              <w:t>Validate supported products and interfaces; model ingress and egress; dry-run before enforcement; monitor policy denied logs.</w:t>
            </w:r>
          </w:p>
        </w:tc>
      </w:tr>
      <w:tr>
        <w:tc>
          <w:tcPr>
            <w:tcW w:type="dxa" w:w="2880"/>
            <w:vAlign w:val="top"/>
          </w:tcPr>
          <w:p>
            <w:r/>
            <w:r>
              <w:rPr>
                <w:rFonts w:ascii="Aptos" w:hAnsi="Aptos"/>
                <w:b w:val="0"/>
                <w:sz w:val="11"/>
              </w:rPr>
              <w:t>Encryption capabilities</w:t>
            </w:r>
          </w:p>
        </w:tc>
        <w:tc>
          <w:tcPr>
            <w:tcW w:type="dxa" w:w="7776"/>
            <w:vAlign w:val="top"/>
          </w:tcPr>
          <w:p>
            <w:r/>
            <w:r>
              <w:rPr>
                <w:rFonts w:ascii="Aptos" w:hAnsi="Aptos"/>
                <w:b w:val="0"/>
                <w:sz w:val="11"/>
              </w:rPr>
              <w:t>Use Google default encryption and CMEK/HSM/EKM where supported and justified by classification or regulation.</w:t>
            </w:r>
          </w:p>
        </w:tc>
      </w:tr>
      <w:tr>
        <w:tc>
          <w:tcPr>
            <w:tcW w:type="dxa" w:w="2880"/>
            <w:vAlign w:val="top"/>
          </w:tcPr>
          <w:p>
            <w:r/>
            <w:r>
              <w:rPr>
                <w:rFonts w:ascii="Aptos" w:hAnsi="Aptos"/>
                <w:b w:val="0"/>
                <w:sz w:val="11"/>
              </w:rPr>
              <w:t>CMEK support</w:t>
            </w:r>
          </w:p>
        </w:tc>
        <w:tc>
          <w:tcPr>
            <w:tcW w:type="dxa" w:w="7776"/>
            <w:vAlign w:val="top"/>
          </w:tcPr>
          <w:p>
            <w:r/>
            <w:r>
              <w:rPr>
                <w:rFonts w:ascii="Aptos" w:hAnsi="Aptos"/>
                <w:b w:val="0"/>
                <w:sz w:val="11"/>
              </w:rPr>
              <w:t>Validate product-level CMEK support, service-agent permissions, location compatibility and rotation behavior.</w:t>
            </w:r>
          </w:p>
        </w:tc>
      </w:tr>
      <w:tr>
        <w:tc>
          <w:tcPr>
            <w:tcW w:type="dxa" w:w="2880"/>
            <w:vAlign w:val="top"/>
          </w:tcPr>
          <w:p>
            <w:r/>
            <w:r>
              <w:rPr>
                <w:rFonts w:ascii="Aptos" w:hAnsi="Aptos"/>
                <w:b w:val="0"/>
                <w:sz w:val="11"/>
              </w:rPr>
              <w:t>Logging</w:t>
            </w:r>
          </w:p>
        </w:tc>
        <w:tc>
          <w:tcPr>
            <w:tcW w:type="dxa" w:w="7776"/>
            <w:vAlign w:val="top"/>
          </w:tcPr>
          <w:p>
            <w:r/>
            <w:r>
              <w:rPr>
                <w:rFonts w:ascii="Aptos" w:hAnsi="Aptos"/>
                <w:b w:val="0"/>
                <w:sz w:val="11"/>
              </w:rPr>
              <w:t>Route Admin Activity, Data Access where applicable, Policy Denied and product logs to protected central logging projects.</w:t>
            </w:r>
          </w:p>
        </w:tc>
      </w:tr>
      <w:tr>
        <w:tc>
          <w:tcPr>
            <w:tcW w:type="dxa" w:w="2880"/>
            <w:vAlign w:val="top"/>
          </w:tcPr>
          <w:p>
            <w:r/>
            <w:r>
              <w:rPr>
                <w:rFonts w:ascii="Aptos" w:hAnsi="Aptos"/>
                <w:b w:val="0"/>
                <w:sz w:val="11"/>
              </w:rPr>
              <w:t>Monitoring</w:t>
            </w:r>
          </w:p>
        </w:tc>
        <w:tc>
          <w:tcPr>
            <w:tcW w:type="dxa" w:w="7776"/>
            <w:vAlign w:val="top"/>
          </w:tcPr>
          <w:p>
            <w:r/>
            <w:r>
              <w:rPr>
                <w:rFonts w:ascii="Aptos" w:hAnsi="Aptos"/>
                <w:b w:val="0"/>
                <w:sz w:val="11"/>
              </w:rPr>
              <w:t>Expose control coverage, findings, denials, exceptions, latency and failure metrics to Cloud Monitoring and SIEM.</w:t>
            </w:r>
          </w:p>
        </w:tc>
      </w:tr>
      <w:tr>
        <w:tc>
          <w:tcPr>
            <w:tcW w:type="dxa" w:w="2880"/>
            <w:vAlign w:val="top"/>
          </w:tcPr>
          <w:p>
            <w:r/>
            <w:r>
              <w:rPr>
                <w:rFonts w:ascii="Aptos" w:hAnsi="Aptos"/>
                <w:b w:val="0"/>
                <w:sz w:val="11"/>
              </w:rPr>
              <w:t>Alerting</w:t>
            </w:r>
          </w:p>
        </w:tc>
        <w:tc>
          <w:tcPr>
            <w:tcW w:type="dxa" w:w="7776"/>
            <w:vAlign w:val="top"/>
          </w:tcPr>
          <w:p>
            <w:r/>
            <w:r>
              <w:rPr>
                <w:rFonts w:ascii="Aptos" w:hAnsi="Aptos"/>
                <w:b w:val="0"/>
                <w:sz w:val="11"/>
              </w:rPr>
              <w:t>Critical/high-risk control failures trigger on-call alert and incident workflow; low-risk drift is handled through backlog and review.</w:t>
            </w:r>
          </w:p>
        </w:tc>
      </w:tr>
      <w:tr>
        <w:tc>
          <w:tcPr>
            <w:tcW w:type="dxa" w:w="2880"/>
            <w:vAlign w:val="top"/>
          </w:tcPr>
          <w:p>
            <w:r/>
            <w:r>
              <w:rPr>
                <w:rFonts w:ascii="Aptos" w:hAnsi="Aptos"/>
                <w:b w:val="0"/>
                <w:sz w:val="11"/>
              </w:rPr>
              <w:t>Cost drivers</w:t>
            </w:r>
          </w:p>
        </w:tc>
        <w:tc>
          <w:tcPr>
            <w:tcW w:type="dxa" w:w="7776"/>
            <w:vAlign w:val="top"/>
          </w:tcPr>
          <w:p>
            <w:r/>
            <w:r>
              <w:rPr>
                <w:rFonts w:ascii="Aptos" w:hAnsi="Aptos"/>
                <w:b w:val="0"/>
                <w:sz w:val="11"/>
              </w:rPr>
              <w:t>Cost depends on service tier, log volume, scanning volume, key protection level, API calls, data processed and storage retention.</w:t>
            </w:r>
          </w:p>
        </w:tc>
      </w:tr>
      <w:tr>
        <w:tc>
          <w:tcPr>
            <w:tcW w:type="dxa" w:w="2880"/>
            <w:vAlign w:val="top"/>
          </w:tcPr>
          <w:p>
            <w:r/>
            <w:r>
              <w:rPr>
                <w:rFonts w:ascii="Aptos" w:hAnsi="Aptos"/>
                <w:b w:val="0"/>
                <w:sz w:val="11"/>
              </w:rPr>
              <w:t>Cost optimization</w:t>
            </w:r>
          </w:p>
        </w:tc>
        <w:tc>
          <w:tcPr>
            <w:tcW w:type="dxa" w:w="7776"/>
            <w:vAlign w:val="top"/>
          </w:tcPr>
          <w:p>
            <w:r/>
            <w:r>
              <w:rPr>
                <w:rFonts w:ascii="Aptos" w:hAnsi="Aptos"/>
                <w:b w:val="0"/>
                <w:sz w:val="11"/>
              </w:rPr>
              <w:t>Tune logging, retention, scan frequency, rule scope, subscription tiers and key count while preserving mandatory evidence.</w:t>
            </w:r>
          </w:p>
        </w:tc>
      </w:tr>
      <w:tr>
        <w:tc>
          <w:tcPr>
            <w:tcW w:type="dxa" w:w="2880"/>
            <w:vAlign w:val="top"/>
          </w:tcPr>
          <w:p>
            <w:r/>
            <w:r>
              <w:rPr>
                <w:rFonts w:ascii="Aptos" w:hAnsi="Aptos"/>
                <w:b w:val="0"/>
                <w:sz w:val="11"/>
              </w:rPr>
              <w:t>Operational responsibilities</w:t>
            </w:r>
          </w:p>
        </w:tc>
        <w:tc>
          <w:tcPr>
            <w:tcW w:type="dxa" w:w="7776"/>
            <w:vAlign w:val="top"/>
          </w:tcPr>
          <w:p>
            <w:r/>
            <w:r>
              <w:rPr>
                <w:rFonts w:ascii="Aptos" w:hAnsi="Aptos"/>
                <w:b w:val="0"/>
                <w:sz w:val="11"/>
              </w:rPr>
              <w:t>Platform security owns baseline; domain team owns workload use; SRE owns runbooks; audit/risk owns evidence review.</w:t>
            </w:r>
          </w:p>
        </w:tc>
      </w:tr>
      <w:tr>
        <w:tc>
          <w:tcPr>
            <w:tcW w:type="dxa" w:w="2880"/>
            <w:vAlign w:val="top"/>
          </w:tcPr>
          <w:p>
            <w:r/>
            <w:r>
              <w:rPr>
                <w:rFonts w:ascii="Aptos" w:hAnsi="Aptos"/>
                <w:b w:val="0"/>
                <w:sz w:val="11"/>
              </w:rPr>
              <w:t>Integration points</w:t>
            </w:r>
          </w:p>
        </w:tc>
        <w:tc>
          <w:tcPr>
            <w:tcW w:type="dxa" w:w="7776"/>
            <w:vAlign w:val="top"/>
          </w:tcPr>
          <w:p>
            <w:r/>
            <w:r>
              <w:rPr>
                <w:rFonts w:ascii="Aptos" w:hAnsi="Aptos"/>
                <w:b w:val="0"/>
                <w:sz w:val="11"/>
              </w:rPr>
              <w:t>Integrates with Terraform, Cloud Logging, SCC, IAM, CI/CD, GRC, SIEM/SOAR, data governance and incident management.</w:t>
            </w:r>
          </w:p>
        </w:tc>
      </w:tr>
      <w:tr>
        <w:tc>
          <w:tcPr>
            <w:tcW w:type="dxa" w:w="2880"/>
            <w:vAlign w:val="top"/>
          </w:tcPr>
          <w:p>
            <w:r/>
            <w:r>
              <w:rPr>
                <w:rFonts w:ascii="Aptos" w:hAnsi="Aptos"/>
                <w:b w:val="0"/>
                <w:sz w:val="11"/>
              </w:rPr>
              <w:t>Alternatives</w:t>
            </w:r>
          </w:p>
        </w:tc>
        <w:tc>
          <w:tcPr>
            <w:tcW w:type="dxa" w:w="7776"/>
            <w:vAlign w:val="top"/>
          </w:tcPr>
          <w:p>
            <w:r/>
            <w:r>
              <w:rPr>
                <w:rFonts w:ascii="Aptos" w:hAnsi="Aptos"/>
                <w:b w:val="0"/>
                <w:sz w:val="11"/>
              </w:rPr>
              <w:t>Alternatives include third-party tools or compensating controls, but they must not weaken mandatory Google Cloud-native controls without SARB approval.</w:t>
            </w:r>
          </w:p>
        </w:tc>
      </w:tr>
      <w:tr>
        <w:tc>
          <w:tcPr>
            <w:tcW w:type="dxa" w:w="2880"/>
            <w:vAlign w:val="top"/>
          </w:tcPr>
          <w:p>
            <w:r/>
            <w:r>
              <w:rPr>
                <w:rFonts w:ascii="Aptos" w:hAnsi="Aptos"/>
                <w:b w:val="0"/>
                <w:sz w:val="11"/>
              </w:rPr>
              <w:t>Selection criteria</w:t>
            </w:r>
          </w:p>
        </w:tc>
        <w:tc>
          <w:tcPr>
            <w:tcW w:type="dxa" w:w="7776"/>
            <w:vAlign w:val="top"/>
          </w:tcPr>
          <w:p>
            <w:r/>
            <w:r>
              <w:rPr>
                <w:rFonts w:ascii="Aptos" w:hAnsi="Aptos"/>
                <w:b w:val="0"/>
                <w:sz w:val="11"/>
              </w:rPr>
              <w:t>Select when it directly reduces identity, exfiltration, encryption, supply-chain, detection, privacy or compliance risk.</w:t>
            </w:r>
          </w:p>
        </w:tc>
      </w:tr>
      <w:tr>
        <w:tc>
          <w:tcPr>
            <w:tcW w:type="dxa" w:w="2880"/>
            <w:vAlign w:val="top"/>
          </w:tcPr>
          <w:p>
            <w:r/>
            <w:r>
              <w:rPr>
                <w:rFonts w:ascii="Aptos" w:hAnsi="Aptos"/>
                <w:b w:val="0"/>
                <w:sz w:val="11"/>
              </w:rPr>
              <w:t>Best practices</w:t>
            </w:r>
          </w:p>
        </w:tc>
        <w:tc>
          <w:tcPr>
            <w:tcW w:type="dxa" w:w="7776"/>
            <w:vAlign w:val="top"/>
          </w:tcPr>
          <w:p>
            <w:r/>
            <w:r>
              <w:rPr>
                <w:rFonts w:ascii="Aptos" w:hAnsi="Aptos"/>
                <w:b w:val="0"/>
                <w:sz w:val="11"/>
              </w:rPr>
              <w:t>Manage as code, test in non-production, use least privilege, maintain evidence, review exceptions, and automate validation.</w:t>
            </w:r>
          </w:p>
        </w:tc>
      </w:tr>
      <w:tr>
        <w:tc>
          <w:tcPr>
            <w:tcW w:type="dxa" w:w="2880"/>
            <w:vAlign w:val="top"/>
          </w:tcPr>
          <w:p>
            <w:r/>
            <w:r>
              <w:rPr>
                <w:rFonts w:ascii="Aptos" w:hAnsi="Aptos"/>
                <w:b w:val="0"/>
                <w:sz w:val="11"/>
              </w:rPr>
              <w:t>Reference architecture</w:t>
            </w:r>
          </w:p>
        </w:tc>
        <w:tc>
          <w:tcPr>
            <w:tcW w:type="dxa" w:w="7776"/>
            <w:vAlign w:val="top"/>
          </w:tcPr>
          <w:p>
            <w:r/>
            <w:r>
              <w:rPr>
                <w:rFonts w:ascii="Aptos" w:hAnsi="Aptos"/>
                <w:b w:val="0"/>
                <w:sz w:val="11"/>
              </w:rPr>
              <w:t>See the Volume 08 diagrams and Terraform/code examples included in this package.</w:t>
            </w:r>
          </w:p>
        </w:tc>
      </w:tr>
      <w:tr>
        <w:tc>
          <w:tcPr>
            <w:tcW w:type="dxa" w:w="2880"/>
            <w:vAlign w:val="top"/>
          </w:tcPr>
          <w:p>
            <w:r/>
            <w:r>
              <w:rPr>
                <w:rFonts w:ascii="Aptos" w:hAnsi="Aptos"/>
                <w:b w:val="0"/>
                <w:sz w:val="11"/>
              </w:rPr>
              <w:t>Sample configuration</w:t>
            </w:r>
          </w:p>
        </w:tc>
        <w:tc>
          <w:tcPr>
            <w:tcW w:type="dxa" w:w="7776"/>
            <w:vAlign w:val="top"/>
          </w:tcPr>
          <w:p>
            <w:r/>
            <w:r>
              <w:rPr>
                <w:rFonts w:ascii="Aptos" w:hAnsi="Aptos"/>
                <w:b w:val="0"/>
                <w:sz w:val="11"/>
              </w:rPr>
              <w:t>Representative examples are included in implementation/; adapt only after environment-specific validation.</w:t>
            </w:r>
          </w:p>
        </w:tc>
      </w:tr>
      <w:tr>
        <w:tc>
          <w:tcPr>
            <w:tcW w:type="dxa" w:w="2880"/>
            <w:vAlign w:val="top"/>
          </w:tcPr>
          <w:p>
            <w:r/>
            <w:r>
              <w:rPr>
                <w:rFonts w:ascii="Aptos" w:hAnsi="Aptos"/>
                <w:b w:val="0"/>
                <w:sz w:val="11"/>
              </w:rPr>
              <w:t>Common pitfalls</w:t>
            </w:r>
          </w:p>
        </w:tc>
        <w:tc>
          <w:tcPr>
            <w:tcW w:type="dxa" w:w="7776"/>
            <w:vAlign w:val="top"/>
          </w:tcPr>
          <w:p>
            <w:r/>
            <w:r>
              <w:rPr>
                <w:rFonts w:ascii="Aptos" w:hAnsi="Aptos"/>
                <w:b w:val="0"/>
                <w:sz w:val="11"/>
              </w:rPr>
              <w:t>Overbroad exceptions, untested enforcement, unsupported API paths, unmanaged keys, direct grants and missing monitoring.</w:t>
            </w:r>
          </w:p>
        </w:tc>
      </w:tr>
      <w:tr>
        <w:tc>
          <w:tcPr>
            <w:tcW w:type="dxa" w:w="2880"/>
            <w:vAlign w:val="top"/>
          </w:tcPr>
          <w:p>
            <w:r/>
            <w:r>
              <w:rPr>
                <w:rFonts w:ascii="Aptos" w:hAnsi="Aptos"/>
                <w:b w:val="0"/>
                <w:sz w:val="11"/>
              </w:rPr>
              <w:t>Anti-patterns</w:t>
            </w:r>
          </w:p>
        </w:tc>
        <w:tc>
          <w:tcPr>
            <w:tcW w:type="dxa" w:w="7776"/>
            <w:vAlign w:val="top"/>
          </w:tcPr>
          <w:p>
            <w:r/>
            <w:r>
              <w:rPr>
                <w:rFonts w:ascii="Aptos" w:hAnsi="Aptos"/>
                <w:b w:val="0"/>
                <w:sz w:val="11"/>
              </w:rPr>
              <w:t>Project-owner grants, long-lived keys, public endpoints by default, wildcard egress, permanent break-glass, and manual-only evidence.</w:t>
            </w:r>
          </w:p>
        </w:tc>
      </w:tr>
      <w:tr>
        <w:tc>
          <w:tcPr>
            <w:tcW w:type="dxa" w:w="2880"/>
            <w:vAlign w:val="top"/>
          </w:tcPr>
          <w:p>
            <w:r/>
            <w:r>
              <w:rPr>
                <w:rFonts w:ascii="Aptos" w:hAnsi="Aptos"/>
                <w:b w:val="0"/>
                <w:sz w:val="11"/>
              </w:rPr>
              <w:t>Production-readiness checklist</w:t>
            </w:r>
          </w:p>
        </w:tc>
        <w:tc>
          <w:tcPr>
            <w:tcW w:type="dxa" w:w="7776"/>
            <w:vAlign w:val="top"/>
          </w:tcPr>
          <w:p>
            <w:r/>
            <w:r>
              <w:rPr>
                <w:rFonts w:ascii="Aptos" w:hAnsi="Aptos"/>
                <w:b w:val="0"/>
                <w:sz w:val="11"/>
              </w:rPr>
              <w:t>Scan results, attestations, blocked deployments; positive and negative tests passed; runbook approved; owner and escalation path documented.</w:t>
            </w:r>
          </w:p>
        </w:tc>
      </w:tr>
    </w:tbl>
    <w:p>
      <w:pPr>
        <w:pStyle w:val="Small"/>
      </w:pPr>
    </w:p>
    <w:p>
      <w:r>
        <w:br w:type="page"/>
      </w:r>
    </w:p>
    <w:p>
      <w:pPr>
        <w:pStyle w:val="Heading1"/>
      </w:pPr>
      <w:r>
        <w:t>35. Architecture Decision Records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shd w:fill="D9EAF7"/>
          </w:tcPr>
          <w:p>
            <w:r/>
            <w:r>
              <w:rPr>
                <w:rFonts w:ascii="Aptos" w:hAnsi="Aptos"/>
                <w:b/>
                <w:sz w:val="13"/>
              </w:rPr>
              <w:t>ADR</w:t>
            </w:r>
          </w:p>
        </w:tc>
        <w:tc>
          <w:tcPr>
            <w:tcW w:type="dxa" w:w="3744"/>
            <w:vAlign w:val="top"/>
            <w:shd w:fill="D9EAF7"/>
          </w:tcPr>
          <w:p>
            <w:r/>
            <w:r>
              <w:rPr>
                <w:rFonts w:ascii="Aptos" w:hAnsi="Aptos"/>
                <w:b/>
                <w:sz w:val="13"/>
              </w:rPr>
              <w:t>Decision title</w:t>
            </w:r>
          </w:p>
        </w:tc>
        <w:tc>
          <w:tcPr>
            <w:tcW w:type="dxa" w:w="5472"/>
            <w:vAlign w:val="top"/>
            <w:shd w:fill="D9EAF7"/>
          </w:tcPr>
          <w:p>
            <w:r/>
            <w:r>
              <w:rPr>
                <w:rFonts w:ascii="Aptos" w:hAnsi="Aptos"/>
                <w:b/>
                <w:sz w:val="13"/>
              </w:rPr>
              <w:t>Decision</w:t>
            </w:r>
          </w:p>
        </w:tc>
      </w:tr>
      <w:tr>
        <w:tc>
          <w:tcPr>
            <w:tcW w:type="dxa" w:w="1440"/>
            <w:vAlign w:val="top"/>
          </w:tcPr>
          <w:p>
            <w:r/>
            <w:r>
              <w:rPr>
                <w:rFonts w:ascii="Aptos" w:hAnsi="Aptos"/>
                <w:b w:val="0"/>
                <w:sz w:val="13"/>
              </w:rPr>
              <w:t>ADR-0801</w:t>
            </w:r>
          </w:p>
        </w:tc>
        <w:tc>
          <w:tcPr>
            <w:tcW w:type="dxa" w:w="3744"/>
            <w:vAlign w:val="top"/>
          </w:tcPr>
          <w:p>
            <w:r/>
            <w:r>
              <w:rPr>
                <w:rFonts w:ascii="Aptos" w:hAnsi="Aptos"/>
                <w:b w:val="0"/>
                <w:sz w:val="13"/>
              </w:rPr>
              <w:t>Adopt Zero Trust security architecture for the data platform</w:t>
            </w:r>
          </w:p>
        </w:tc>
        <w:tc>
          <w:tcPr>
            <w:tcW w:type="dxa" w:w="5472"/>
            <w:vAlign w:val="top"/>
          </w:tcPr>
          <w:p>
            <w:r/>
            <w:r>
              <w:rPr>
                <w:rFonts w:ascii="Aptos" w:hAnsi="Aptos"/>
                <w:b w:val="0"/>
                <w:sz w:val="13"/>
              </w:rPr>
              <w:t>Use identity, device, network, data and workload context for every request; do not trust project or network location alone.</w:t>
            </w:r>
          </w:p>
        </w:tc>
      </w:tr>
      <w:tr>
        <w:tc>
          <w:tcPr>
            <w:tcW w:type="dxa" w:w="1440"/>
            <w:vAlign w:val="top"/>
          </w:tcPr>
          <w:p>
            <w:r/>
            <w:r>
              <w:rPr>
                <w:rFonts w:ascii="Aptos" w:hAnsi="Aptos"/>
                <w:b w:val="0"/>
                <w:sz w:val="13"/>
              </w:rPr>
              <w:t>ADR-0802</w:t>
            </w:r>
          </w:p>
        </w:tc>
        <w:tc>
          <w:tcPr>
            <w:tcW w:type="dxa" w:w="3744"/>
            <w:vAlign w:val="top"/>
          </w:tcPr>
          <w:p>
            <w:r/>
            <w:r>
              <w:rPr>
                <w:rFonts w:ascii="Aptos" w:hAnsi="Aptos"/>
                <w:b w:val="0"/>
                <w:sz w:val="13"/>
              </w:rPr>
              <w:t>Use Workforce and Workload Identity Federation as the default identity integration model</w:t>
            </w:r>
          </w:p>
        </w:tc>
        <w:tc>
          <w:tcPr>
            <w:tcW w:type="dxa" w:w="5472"/>
            <w:vAlign w:val="top"/>
          </w:tcPr>
          <w:p>
            <w:r/>
            <w:r>
              <w:rPr>
                <w:rFonts w:ascii="Aptos" w:hAnsi="Aptos"/>
                <w:b w:val="0"/>
                <w:sz w:val="13"/>
              </w:rPr>
              <w:t>Avoid unmanaged local identities and long-lived keys by federating enterprise users, external workforces and workloads.</w:t>
            </w:r>
          </w:p>
        </w:tc>
      </w:tr>
      <w:tr>
        <w:tc>
          <w:tcPr>
            <w:tcW w:type="dxa" w:w="1440"/>
            <w:vAlign w:val="top"/>
          </w:tcPr>
          <w:p>
            <w:r/>
            <w:r>
              <w:rPr>
                <w:rFonts w:ascii="Aptos" w:hAnsi="Aptos"/>
                <w:b w:val="0"/>
                <w:sz w:val="13"/>
              </w:rPr>
              <w:t>ADR-0803</w:t>
            </w:r>
          </w:p>
        </w:tc>
        <w:tc>
          <w:tcPr>
            <w:tcW w:type="dxa" w:w="3744"/>
            <w:vAlign w:val="top"/>
          </w:tcPr>
          <w:p>
            <w:r/>
            <w:r>
              <w:rPr>
                <w:rFonts w:ascii="Aptos" w:hAnsi="Aptos"/>
                <w:b w:val="0"/>
                <w:sz w:val="13"/>
              </w:rPr>
              <w:t>Use Privileged Access Manager for just-in-time elevated access</w:t>
            </w:r>
          </w:p>
        </w:tc>
        <w:tc>
          <w:tcPr>
            <w:tcW w:type="dxa" w:w="5472"/>
            <w:vAlign w:val="top"/>
          </w:tcPr>
          <w:p>
            <w:r/>
            <w:r>
              <w:rPr>
                <w:rFonts w:ascii="Aptos" w:hAnsi="Aptos"/>
                <w:b w:val="0"/>
                <w:sz w:val="13"/>
              </w:rPr>
              <w:t>Replace standing privileged access with approved, time-bound, audited entitlements.</w:t>
            </w:r>
          </w:p>
        </w:tc>
      </w:tr>
      <w:tr>
        <w:tc>
          <w:tcPr>
            <w:tcW w:type="dxa" w:w="1440"/>
            <w:vAlign w:val="top"/>
          </w:tcPr>
          <w:p>
            <w:r/>
            <w:r>
              <w:rPr>
                <w:rFonts w:ascii="Aptos" w:hAnsi="Aptos"/>
                <w:b w:val="0"/>
                <w:sz w:val="13"/>
              </w:rPr>
              <w:t>ADR-0804</w:t>
            </w:r>
          </w:p>
        </w:tc>
        <w:tc>
          <w:tcPr>
            <w:tcW w:type="dxa" w:w="3744"/>
            <w:vAlign w:val="top"/>
          </w:tcPr>
          <w:p>
            <w:r/>
            <w:r>
              <w:rPr>
                <w:rFonts w:ascii="Aptos" w:hAnsi="Aptos"/>
                <w:b w:val="0"/>
                <w:sz w:val="13"/>
              </w:rPr>
              <w:t>Use VPC Service Controls for restricted data perimeters</w:t>
            </w:r>
          </w:p>
        </w:tc>
        <w:tc>
          <w:tcPr>
            <w:tcW w:type="dxa" w:w="5472"/>
            <w:vAlign w:val="top"/>
          </w:tcPr>
          <w:p>
            <w:r/>
            <w:r>
              <w:rPr>
                <w:rFonts w:ascii="Aptos" w:hAnsi="Aptos"/>
                <w:b w:val="0"/>
                <w:sz w:val="13"/>
              </w:rPr>
              <w:t>Reduce API-based data exfiltration risk for restricted and regulated projects while explicitly modeling ingress and egress.</w:t>
            </w:r>
          </w:p>
        </w:tc>
      </w:tr>
      <w:tr>
        <w:tc>
          <w:tcPr>
            <w:tcW w:type="dxa" w:w="1440"/>
            <w:vAlign w:val="top"/>
          </w:tcPr>
          <w:p>
            <w:r/>
            <w:r>
              <w:rPr>
                <w:rFonts w:ascii="Aptos" w:hAnsi="Aptos"/>
                <w:b w:val="0"/>
                <w:sz w:val="13"/>
              </w:rPr>
              <w:t>ADR-0805</w:t>
            </w:r>
          </w:p>
        </w:tc>
        <w:tc>
          <w:tcPr>
            <w:tcW w:type="dxa" w:w="3744"/>
            <w:vAlign w:val="top"/>
          </w:tcPr>
          <w:p>
            <w:r/>
            <w:r>
              <w:rPr>
                <w:rFonts w:ascii="Aptos" w:hAnsi="Aptos"/>
                <w:b w:val="0"/>
                <w:sz w:val="13"/>
              </w:rPr>
              <w:t>Use Private Service Connect and private API paths for sensitive workloads</w:t>
            </w:r>
          </w:p>
        </w:tc>
        <w:tc>
          <w:tcPr>
            <w:tcW w:type="dxa" w:w="5472"/>
            <w:vAlign w:val="top"/>
          </w:tcPr>
          <w:p>
            <w:r/>
            <w:r>
              <w:rPr>
                <w:rFonts w:ascii="Aptos" w:hAnsi="Aptos"/>
                <w:b w:val="0"/>
                <w:sz w:val="13"/>
              </w:rPr>
              <w:t>Keep producer and consumer traffic private and reduce internet exposure.</w:t>
            </w:r>
          </w:p>
        </w:tc>
      </w:tr>
      <w:tr>
        <w:tc>
          <w:tcPr>
            <w:tcW w:type="dxa" w:w="1440"/>
            <w:vAlign w:val="top"/>
          </w:tcPr>
          <w:p>
            <w:r/>
            <w:r>
              <w:rPr>
                <w:rFonts w:ascii="Aptos" w:hAnsi="Aptos"/>
                <w:b w:val="0"/>
                <w:sz w:val="13"/>
              </w:rPr>
              <w:t>ADR-0806</w:t>
            </w:r>
          </w:p>
        </w:tc>
        <w:tc>
          <w:tcPr>
            <w:tcW w:type="dxa" w:w="3744"/>
            <w:vAlign w:val="top"/>
          </w:tcPr>
          <w:p>
            <w:r/>
            <w:r>
              <w:rPr>
                <w:rFonts w:ascii="Aptos" w:hAnsi="Aptos"/>
                <w:b w:val="0"/>
                <w:sz w:val="13"/>
              </w:rPr>
              <w:t>Use Cloud KMS with CMEK, Cloud HSM and conditional EKM for sensitive workloads</w:t>
            </w:r>
          </w:p>
        </w:tc>
        <w:tc>
          <w:tcPr>
            <w:tcW w:type="dxa" w:w="5472"/>
            <w:vAlign w:val="top"/>
          </w:tcPr>
          <w:p>
            <w:r/>
            <w:r>
              <w:rPr>
                <w:rFonts w:ascii="Aptos" w:hAnsi="Aptos"/>
                <w:b w:val="0"/>
                <w:sz w:val="13"/>
              </w:rPr>
              <w:t>Match key control to classification and regulatory constraints.</w:t>
            </w:r>
          </w:p>
        </w:tc>
      </w:tr>
      <w:tr>
        <w:tc>
          <w:tcPr>
            <w:tcW w:type="dxa" w:w="1440"/>
            <w:vAlign w:val="top"/>
          </w:tcPr>
          <w:p>
            <w:r/>
            <w:r>
              <w:rPr>
                <w:rFonts w:ascii="Aptos" w:hAnsi="Aptos"/>
                <w:b w:val="0"/>
                <w:sz w:val="13"/>
              </w:rPr>
              <w:t>ADR-0807</w:t>
            </w:r>
          </w:p>
        </w:tc>
        <w:tc>
          <w:tcPr>
            <w:tcW w:type="dxa" w:w="3744"/>
            <w:vAlign w:val="top"/>
          </w:tcPr>
          <w:p>
            <w:r/>
            <w:r>
              <w:rPr>
                <w:rFonts w:ascii="Aptos" w:hAnsi="Aptos"/>
                <w:b w:val="0"/>
                <w:sz w:val="13"/>
              </w:rPr>
              <w:t>Use Sensitive Data Protection for discovery, classification and de-identification</w:t>
            </w:r>
          </w:p>
        </w:tc>
        <w:tc>
          <w:tcPr>
            <w:tcW w:type="dxa" w:w="5472"/>
            <w:vAlign w:val="top"/>
          </w:tcPr>
          <w:p>
            <w:r/>
            <w:r>
              <w:rPr>
                <w:rFonts w:ascii="Aptos" w:hAnsi="Aptos"/>
                <w:b w:val="0"/>
                <w:sz w:val="13"/>
              </w:rPr>
              <w:t>Standardize data inspection, masking, tokenization and profiling across domains.</w:t>
            </w:r>
          </w:p>
        </w:tc>
      </w:tr>
      <w:tr>
        <w:tc>
          <w:tcPr>
            <w:tcW w:type="dxa" w:w="1440"/>
            <w:vAlign w:val="top"/>
          </w:tcPr>
          <w:p>
            <w:r/>
            <w:r>
              <w:rPr>
                <w:rFonts w:ascii="Aptos" w:hAnsi="Aptos"/>
                <w:b w:val="0"/>
                <w:sz w:val="13"/>
              </w:rPr>
              <w:t>ADR-0808</w:t>
            </w:r>
          </w:p>
        </w:tc>
        <w:tc>
          <w:tcPr>
            <w:tcW w:type="dxa" w:w="3744"/>
            <w:vAlign w:val="top"/>
          </w:tcPr>
          <w:p>
            <w:r/>
            <w:r>
              <w:rPr>
                <w:rFonts w:ascii="Aptos" w:hAnsi="Aptos"/>
                <w:b w:val="0"/>
                <w:sz w:val="13"/>
              </w:rPr>
              <w:t>Centralize detection in Security Command Center and route evidence to SIEM/SOAR</w:t>
            </w:r>
          </w:p>
        </w:tc>
        <w:tc>
          <w:tcPr>
            <w:tcW w:type="dxa" w:w="5472"/>
            <w:vAlign w:val="top"/>
          </w:tcPr>
          <w:p>
            <w:r/>
            <w:r>
              <w:rPr>
                <w:rFonts w:ascii="Aptos" w:hAnsi="Aptos"/>
                <w:b w:val="0"/>
                <w:sz w:val="13"/>
              </w:rPr>
              <w:t>Create a single prioritized security posture and threat signal path.</w:t>
            </w:r>
          </w:p>
        </w:tc>
      </w:tr>
      <w:tr>
        <w:tc>
          <w:tcPr>
            <w:tcW w:type="dxa" w:w="1440"/>
            <w:vAlign w:val="top"/>
          </w:tcPr>
          <w:p>
            <w:r/>
            <w:r>
              <w:rPr>
                <w:rFonts w:ascii="Aptos" w:hAnsi="Aptos"/>
                <w:b w:val="0"/>
                <w:sz w:val="13"/>
              </w:rPr>
              <w:t>ADR-0809</w:t>
            </w:r>
          </w:p>
        </w:tc>
        <w:tc>
          <w:tcPr>
            <w:tcW w:type="dxa" w:w="3744"/>
            <w:vAlign w:val="top"/>
          </w:tcPr>
          <w:p>
            <w:r/>
            <w:r>
              <w:rPr>
                <w:rFonts w:ascii="Aptos" w:hAnsi="Aptos"/>
                <w:b w:val="0"/>
                <w:sz w:val="13"/>
              </w:rPr>
              <w:t>Enforce supply-chain controls with Artifact Analysis and Binary Authorization</w:t>
            </w:r>
          </w:p>
        </w:tc>
        <w:tc>
          <w:tcPr>
            <w:tcW w:type="dxa" w:w="5472"/>
            <w:vAlign w:val="top"/>
          </w:tcPr>
          <w:p>
            <w:r/>
            <w:r>
              <w:rPr>
                <w:rFonts w:ascii="Aptos" w:hAnsi="Aptos"/>
                <w:b w:val="0"/>
                <w:sz w:val="13"/>
              </w:rPr>
              <w:t>Prevent untrusted artifacts from reaching production workloads.</w:t>
            </w:r>
          </w:p>
        </w:tc>
      </w:tr>
      <w:tr>
        <w:tc>
          <w:tcPr>
            <w:tcW w:type="dxa" w:w="1440"/>
            <w:vAlign w:val="top"/>
          </w:tcPr>
          <w:p>
            <w:r/>
            <w:r>
              <w:rPr>
                <w:rFonts w:ascii="Aptos" w:hAnsi="Aptos"/>
                <w:b w:val="0"/>
                <w:sz w:val="13"/>
              </w:rPr>
              <w:t>ADR-0810</w:t>
            </w:r>
          </w:p>
        </w:tc>
        <w:tc>
          <w:tcPr>
            <w:tcW w:type="dxa" w:w="3744"/>
            <w:vAlign w:val="top"/>
          </w:tcPr>
          <w:p>
            <w:r/>
            <w:r>
              <w:rPr>
                <w:rFonts w:ascii="Aptos" w:hAnsi="Aptos"/>
                <w:b w:val="0"/>
                <w:sz w:val="13"/>
              </w:rPr>
              <w:t>Use Cloud Armor and Cloud Firewall for edge and network controls</w:t>
            </w:r>
          </w:p>
        </w:tc>
        <w:tc>
          <w:tcPr>
            <w:tcW w:type="dxa" w:w="5472"/>
            <w:vAlign w:val="top"/>
          </w:tcPr>
          <w:p>
            <w:r/>
            <w:r>
              <w:rPr>
                <w:rFonts w:ascii="Aptos" w:hAnsi="Aptos"/>
                <w:b w:val="0"/>
                <w:sz w:val="13"/>
              </w:rPr>
              <w:t>Protect internet-facing services at the edge and enforce east-west/back-end allowlists.</w:t>
            </w:r>
          </w:p>
        </w:tc>
      </w:tr>
    </w:tbl>
    <w:p>
      <w:pPr>
        <w:pStyle w:val="Small"/>
      </w:pPr>
    </w:p>
    <w:p>
      <w:r>
        <w:t>Full ADR files are included in the /adrs folder of the implementation package. Each ADR includes problem, context, drivers, constraints, alternatives, rationale, tradeoffs, risks, mitigations, implementation implications, cost implications, security implications, operational implications, review triggers and review date.</w:t>
      </w:r>
    </w:p>
    <w:p>
      <w:r>
        <w:br w:type="page"/>
      </w:r>
    </w:p>
    <w:p>
      <w:pPr>
        <w:pStyle w:val="Heading1"/>
      </w:pPr>
      <w:r>
        <w:t>36. Risks and Mitigations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880"/>
            <w:vAlign w:val="top"/>
            <w:shd w:fill="D9EAF7"/>
          </w:tcPr>
          <w:p>
            <w:r/>
            <w:r>
              <w:rPr>
                <w:rFonts w:ascii="Aptos" w:hAnsi="Aptos"/>
                <w:b/>
                <w:sz w:val="14"/>
              </w:rPr>
              <w:t>Risk</w:t>
            </w:r>
          </w:p>
        </w:tc>
        <w:tc>
          <w:tcPr>
            <w:tcW w:type="dxa" w:w="1872"/>
            <w:vAlign w:val="top"/>
            <w:shd w:fill="D9EAF7"/>
          </w:tcPr>
          <w:p>
            <w:r/>
            <w:r>
              <w:rPr>
                <w:rFonts w:ascii="Aptos" w:hAnsi="Aptos"/>
                <w:b/>
                <w:sz w:val="14"/>
              </w:rPr>
              <w:t>Impact</w:t>
            </w:r>
          </w:p>
        </w:tc>
        <w:tc>
          <w:tcPr>
            <w:tcW w:type="dxa" w:w="3600"/>
            <w:vAlign w:val="top"/>
            <w:shd w:fill="D9EAF7"/>
          </w:tcPr>
          <w:p>
            <w:r/>
            <w:r>
              <w:rPr>
                <w:rFonts w:ascii="Aptos" w:hAnsi="Aptos"/>
                <w:b/>
                <w:sz w:val="14"/>
              </w:rPr>
              <w:t>Mitigation</w:t>
            </w:r>
          </w:p>
        </w:tc>
        <w:tc>
          <w:tcPr>
            <w:tcW w:type="dxa" w:w="2880"/>
            <w:vAlign w:val="top"/>
            <w:shd w:fill="D9EAF7"/>
          </w:tcPr>
          <w:p>
            <w:r/>
            <w:r>
              <w:rPr>
                <w:rFonts w:ascii="Aptos" w:hAnsi="Aptos"/>
                <w:b/>
                <w:sz w:val="14"/>
              </w:rPr>
              <w:t>Acceptance criteria</w:t>
            </w:r>
          </w:p>
        </w:tc>
      </w:tr>
      <w:tr>
        <w:tc>
          <w:tcPr>
            <w:tcW w:type="dxa" w:w="2880"/>
            <w:vAlign w:val="top"/>
          </w:tcPr>
          <w:p>
            <w:r/>
            <w:r>
              <w:rPr>
                <w:rFonts w:ascii="Aptos" w:hAnsi="Aptos"/>
                <w:b w:val="0"/>
                <w:sz w:val="14"/>
              </w:rPr>
              <w:t>Security controls block production workload</w:t>
            </w:r>
          </w:p>
        </w:tc>
        <w:tc>
          <w:tcPr>
            <w:tcW w:type="dxa" w:w="1872"/>
            <w:vAlign w:val="top"/>
          </w:tcPr>
          <w:p>
            <w:r/>
            <w:r>
              <w:rPr>
                <w:rFonts w:ascii="Aptos" w:hAnsi="Aptos"/>
                <w:b w:val="0"/>
                <w:sz w:val="14"/>
              </w:rPr>
              <w:t>Delivery delay</w:t>
            </w:r>
          </w:p>
        </w:tc>
        <w:tc>
          <w:tcPr>
            <w:tcW w:type="dxa" w:w="3600"/>
            <w:vAlign w:val="top"/>
          </w:tcPr>
          <w:p>
            <w:r/>
            <w:r>
              <w:rPr>
                <w:rFonts w:ascii="Aptos" w:hAnsi="Aptos"/>
                <w:b w:val="0"/>
                <w:sz w:val="14"/>
              </w:rPr>
              <w:t>Dry-run, staged rollout, negative and positive tests</w:t>
            </w:r>
          </w:p>
        </w:tc>
        <w:tc>
          <w:tcPr>
            <w:tcW w:type="dxa" w:w="2880"/>
            <w:vAlign w:val="top"/>
          </w:tcPr>
          <w:p>
            <w:r/>
            <w:r>
              <w:rPr>
                <w:rFonts w:ascii="Aptos" w:hAnsi="Aptos"/>
                <w:b w:val="0"/>
                <w:sz w:val="14"/>
              </w:rPr>
              <w:t>No enforcement until approved path tests pass</w:t>
            </w:r>
          </w:p>
        </w:tc>
      </w:tr>
      <w:tr>
        <w:tc>
          <w:tcPr>
            <w:tcW w:type="dxa" w:w="2880"/>
            <w:vAlign w:val="top"/>
          </w:tcPr>
          <w:p>
            <w:r/>
            <w:r>
              <w:rPr>
                <w:rFonts w:ascii="Aptos" w:hAnsi="Aptos"/>
                <w:b w:val="0"/>
                <w:sz w:val="14"/>
              </w:rPr>
              <w:t>Standing privilege remains after migration</w:t>
            </w:r>
          </w:p>
        </w:tc>
        <w:tc>
          <w:tcPr>
            <w:tcW w:type="dxa" w:w="1872"/>
            <w:vAlign w:val="top"/>
          </w:tcPr>
          <w:p>
            <w:r/>
            <w:r>
              <w:rPr>
                <w:rFonts w:ascii="Aptos" w:hAnsi="Aptos"/>
                <w:b w:val="0"/>
                <w:sz w:val="14"/>
              </w:rPr>
              <w:t>Unauthorized change risk</w:t>
            </w:r>
          </w:p>
        </w:tc>
        <w:tc>
          <w:tcPr>
            <w:tcW w:type="dxa" w:w="3600"/>
            <w:vAlign w:val="top"/>
          </w:tcPr>
          <w:p>
            <w:r/>
            <w:r>
              <w:rPr>
                <w:rFonts w:ascii="Aptos" w:hAnsi="Aptos"/>
                <w:b w:val="0"/>
                <w:sz w:val="14"/>
              </w:rPr>
              <w:t>PAM rollout and quarterly access review</w:t>
            </w:r>
          </w:p>
        </w:tc>
        <w:tc>
          <w:tcPr>
            <w:tcW w:type="dxa" w:w="2880"/>
            <w:vAlign w:val="top"/>
          </w:tcPr>
          <w:p>
            <w:r/>
            <w:r>
              <w:rPr>
                <w:rFonts w:ascii="Aptos" w:hAnsi="Aptos"/>
                <w:b w:val="0"/>
                <w:sz w:val="14"/>
              </w:rPr>
              <w:t>No permanent owner/editor in production</w:t>
            </w:r>
          </w:p>
        </w:tc>
      </w:tr>
      <w:tr>
        <w:tc>
          <w:tcPr>
            <w:tcW w:type="dxa" w:w="2880"/>
            <w:vAlign w:val="top"/>
          </w:tcPr>
          <w:p>
            <w:r/>
            <w:r>
              <w:rPr>
                <w:rFonts w:ascii="Aptos" w:hAnsi="Aptos"/>
                <w:b w:val="0"/>
                <w:sz w:val="14"/>
              </w:rPr>
              <w:t>Sensitive data missed by profiling</w:t>
            </w:r>
          </w:p>
        </w:tc>
        <w:tc>
          <w:tcPr>
            <w:tcW w:type="dxa" w:w="1872"/>
            <w:vAlign w:val="top"/>
          </w:tcPr>
          <w:p>
            <w:r/>
            <w:r>
              <w:rPr>
                <w:rFonts w:ascii="Aptos" w:hAnsi="Aptos"/>
                <w:b w:val="0"/>
                <w:sz w:val="14"/>
              </w:rPr>
              <w:t>Compliance exposure</w:t>
            </w:r>
          </w:p>
        </w:tc>
        <w:tc>
          <w:tcPr>
            <w:tcW w:type="dxa" w:w="3600"/>
            <w:vAlign w:val="top"/>
          </w:tcPr>
          <w:p>
            <w:r/>
            <w:r>
              <w:rPr>
                <w:rFonts w:ascii="Aptos" w:hAnsi="Aptos"/>
                <w:b w:val="0"/>
                <w:sz w:val="14"/>
              </w:rPr>
              <w:t>Custom infoTypes, sampling, steward validation</w:t>
            </w:r>
          </w:p>
        </w:tc>
        <w:tc>
          <w:tcPr>
            <w:tcW w:type="dxa" w:w="2880"/>
            <w:vAlign w:val="top"/>
          </w:tcPr>
          <w:p>
            <w:r/>
            <w:r>
              <w:rPr>
                <w:rFonts w:ascii="Aptos" w:hAnsi="Aptos"/>
                <w:b w:val="0"/>
                <w:sz w:val="14"/>
              </w:rPr>
              <w:t>Profiling precision/recall accepted by privacy team</w:t>
            </w:r>
          </w:p>
        </w:tc>
      </w:tr>
      <w:tr>
        <w:tc>
          <w:tcPr>
            <w:tcW w:type="dxa" w:w="2880"/>
            <w:vAlign w:val="top"/>
          </w:tcPr>
          <w:p>
            <w:r/>
            <w:r>
              <w:rPr>
                <w:rFonts w:ascii="Aptos" w:hAnsi="Aptos"/>
                <w:b w:val="0"/>
                <w:sz w:val="14"/>
              </w:rPr>
              <w:t>Key rotation disrupts service</w:t>
            </w:r>
          </w:p>
        </w:tc>
        <w:tc>
          <w:tcPr>
            <w:tcW w:type="dxa" w:w="1872"/>
            <w:vAlign w:val="top"/>
          </w:tcPr>
          <w:p>
            <w:r/>
            <w:r>
              <w:rPr>
                <w:rFonts w:ascii="Aptos" w:hAnsi="Aptos"/>
                <w:b w:val="0"/>
                <w:sz w:val="14"/>
              </w:rPr>
              <w:t>Availability impact</w:t>
            </w:r>
          </w:p>
        </w:tc>
        <w:tc>
          <w:tcPr>
            <w:tcW w:type="dxa" w:w="3600"/>
            <w:vAlign w:val="top"/>
          </w:tcPr>
          <w:p>
            <w:r/>
            <w:r>
              <w:rPr>
                <w:rFonts w:ascii="Aptos" w:hAnsi="Aptos"/>
                <w:b w:val="0"/>
                <w:sz w:val="14"/>
              </w:rPr>
              <w:t>Service-agent IAM tests and pre-rotation validation</w:t>
            </w:r>
          </w:p>
        </w:tc>
        <w:tc>
          <w:tcPr>
            <w:tcW w:type="dxa" w:w="2880"/>
            <w:vAlign w:val="top"/>
          </w:tcPr>
          <w:p>
            <w:r/>
            <w:r>
              <w:rPr>
                <w:rFonts w:ascii="Aptos" w:hAnsi="Aptos"/>
                <w:b w:val="0"/>
                <w:sz w:val="14"/>
              </w:rPr>
              <w:t>Successful non-prod rotation test</w:t>
            </w:r>
          </w:p>
        </w:tc>
      </w:tr>
      <w:tr>
        <w:tc>
          <w:tcPr>
            <w:tcW w:type="dxa" w:w="2880"/>
            <w:vAlign w:val="top"/>
          </w:tcPr>
          <w:p>
            <w:r/>
            <w:r>
              <w:rPr>
                <w:rFonts w:ascii="Aptos" w:hAnsi="Aptos"/>
                <w:b w:val="0"/>
                <w:sz w:val="14"/>
              </w:rPr>
              <w:t>SCC findings not operationalized</w:t>
            </w:r>
          </w:p>
        </w:tc>
        <w:tc>
          <w:tcPr>
            <w:tcW w:type="dxa" w:w="1872"/>
            <w:vAlign w:val="top"/>
          </w:tcPr>
          <w:p>
            <w:r/>
            <w:r>
              <w:rPr>
                <w:rFonts w:ascii="Aptos" w:hAnsi="Aptos"/>
                <w:b w:val="0"/>
                <w:sz w:val="14"/>
              </w:rPr>
              <w:t>Delayed response</w:t>
            </w:r>
          </w:p>
        </w:tc>
        <w:tc>
          <w:tcPr>
            <w:tcW w:type="dxa" w:w="3600"/>
            <w:vAlign w:val="top"/>
          </w:tcPr>
          <w:p>
            <w:r/>
            <w:r>
              <w:rPr>
                <w:rFonts w:ascii="Aptos" w:hAnsi="Aptos"/>
                <w:b w:val="0"/>
                <w:sz w:val="14"/>
              </w:rPr>
              <w:t>SIEM/SOAR routing, severity taxonomy, on-call integration</w:t>
            </w:r>
          </w:p>
        </w:tc>
        <w:tc>
          <w:tcPr>
            <w:tcW w:type="dxa" w:w="2880"/>
            <w:vAlign w:val="top"/>
          </w:tcPr>
          <w:p>
            <w:r/>
            <w:r>
              <w:rPr>
                <w:rFonts w:ascii="Aptos" w:hAnsi="Aptos"/>
                <w:b w:val="0"/>
                <w:sz w:val="14"/>
              </w:rPr>
              <w:t>Critical finding produces incident within SLO</w:t>
            </w:r>
          </w:p>
        </w:tc>
      </w:tr>
      <w:tr>
        <w:tc>
          <w:tcPr>
            <w:tcW w:type="dxa" w:w="2880"/>
            <w:vAlign w:val="top"/>
          </w:tcPr>
          <w:p>
            <w:r/>
            <w:r>
              <w:rPr>
                <w:rFonts w:ascii="Aptos" w:hAnsi="Aptos"/>
                <w:b w:val="0"/>
                <w:sz w:val="14"/>
              </w:rPr>
              <w:t>Excessive log volume increases cost</w:t>
            </w:r>
          </w:p>
        </w:tc>
        <w:tc>
          <w:tcPr>
            <w:tcW w:type="dxa" w:w="1872"/>
            <w:vAlign w:val="top"/>
          </w:tcPr>
          <w:p>
            <w:r/>
            <w:r>
              <w:rPr>
                <w:rFonts w:ascii="Aptos" w:hAnsi="Aptos"/>
                <w:b w:val="0"/>
                <w:sz w:val="14"/>
              </w:rPr>
              <w:t>FinOps impact</w:t>
            </w:r>
          </w:p>
        </w:tc>
        <w:tc>
          <w:tcPr>
            <w:tcW w:type="dxa" w:w="3600"/>
            <w:vAlign w:val="top"/>
          </w:tcPr>
          <w:p>
            <w:r/>
            <w:r>
              <w:rPr>
                <w:rFonts w:ascii="Aptos" w:hAnsi="Aptos"/>
                <w:b w:val="0"/>
                <w:sz w:val="14"/>
              </w:rPr>
              <w:t>Log sampling where appropriate, tiered retention</w:t>
            </w:r>
          </w:p>
        </w:tc>
        <w:tc>
          <w:tcPr>
            <w:tcW w:type="dxa" w:w="2880"/>
            <w:vAlign w:val="top"/>
          </w:tcPr>
          <w:p>
            <w:r/>
            <w:r>
              <w:rPr>
                <w:rFonts w:ascii="Aptos" w:hAnsi="Aptos"/>
                <w:b w:val="0"/>
                <w:sz w:val="14"/>
              </w:rPr>
              <w:t>Monthly logging cost review</w:t>
            </w:r>
          </w:p>
        </w:tc>
      </w:tr>
    </w:tbl>
    <w:p>
      <w:pPr>
        <w:pStyle w:val="Small"/>
      </w:pPr>
    </w:p>
    <w:p>
      <w:r>
        <w:br w:type="page"/>
      </w:r>
    </w:p>
    <w:p>
      <w:pPr>
        <w:pStyle w:val="Heading1"/>
      </w:pPr>
      <w:r>
        <w:t>37. Implementation Roadmap</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shd w:fill="D9EAF7"/>
          </w:tcPr>
          <w:p>
            <w:r/>
            <w:r>
              <w:rPr>
                <w:rFonts w:ascii="Aptos" w:hAnsi="Aptos"/>
                <w:b/>
                <w:sz w:val="13"/>
              </w:rPr>
              <w:t>Phase</w:t>
            </w:r>
          </w:p>
        </w:tc>
        <w:tc>
          <w:tcPr>
            <w:tcW w:type="dxa" w:w="1440"/>
            <w:vAlign w:val="top"/>
            <w:shd w:fill="D9EAF7"/>
          </w:tcPr>
          <w:p>
            <w:r/>
            <w:r>
              <w:rPr>
                <w:rFonts w:ascii="Aptos" w:hAnsi="Aptos"/>
                <w:b/>
                <w:sz w:val="13"/>
              </w:rPr>
              <w:t>Duration</w:t>
            </w:r>
          </w:p>
        </w:tc>
        <w:tc>
          <w:tcPr>
            <w:tcW w:type="dxa" w:w="4032"/>
            <w:vAlign w:val="top"/>
            <w:shd w:fill="D9EAF7"/>
          </w:tcPr>
          <w:p>
            <w:r/>
            <w:r>
              <w:rPr>
                <w:rFonts w:ascii="Aptos" w:hAnsi="Aptos"/>
                <w:b/>
                <w:sz w:val="13"/>
              </w:rPr>
              <w:t>Scope</w:t>
            </w:r>
          </w:p>
        </w:tc>
        <w:tc>
          <w:tcPr>
            <w:tcW w:type="dxa" w:w="3312"/>
            <w:vAlign w:val="top"/>
            <w:shd w:fill="D9EAF7"/>
          </w:tcPr>
          <w:p>
            <w:r/>
            <w:r>
              <w:rPr>
                <w:rFonts w:ascii="Aptos" w:hAnsi="Aptos"/>
                <w:b/>
                <w:sz w:val="13"/>
              </w:rPr>
              <w:t>Exit criteria</w:t>
            </w:r>
          </w:p>
        </w:tc>
      </w:tr>
      <w:tr>
        <w:tc>
          <w:tcPr>
            <w:tcW w:type="dxa" w:w="1872"/>
            <w:vAlign w:val="top"/>
          </w:tcPr>
          <w:p>
            <w:r/>
            <w:r>
              <w:rPr>
                <w:rFonts w:ascii="Aptos" w:hAnsi="Aptos"/>
                <w:b w:val="0"/>
                <w:sz w:val="13"/>
              </w:rPr>
              <w:t>0 - Mobilize</w:t>
            </w:r>
          </w:p>
        </w:tc>
        <w:tc>
          <w:tcPr>
            <w:tcW w:type="dxa" w:w="1440"/>
            <w:vAlign w:val="top"/>
          </w:tcPr>
          <w:p>
            <w:r/>
            <w:r>
              <w:rPr>
                <w:rFonts w:ascii="Aptos" w:hAnsi="Aptos"/>
                <w:b w:val="0"/>
                <w:sz w:val="13"/>
              </w:rPr>
              <w:t>2-3 weeks</w:t>
            </w:r>
          </w:p>
        </w:tc>
        <w:tc>
          <w:tcPr>
            <w:tcW w:type="dxa" w:w="4032"/>
            <w:vAlign w:val="top"/>
          </w:tcPr>
          <w:p>
            <w:r/>
            <w:r>
              <w:rPr>
                <w:rFonts w:ascii="Aptos" w:hAnsi="Aptos"/>
                <w:b w:val="0"/>
                <w:sz w:val="13"/>
              </w:rPr>
              <w:t>Confirm scope, owners, regulated workloads, existing controls and product support</w:t>
            </w:r>
          </w:p>
        </w:tc>
        <w:tc>
          <w:tcPr>
            <w:tcW w:type="dxa" w:w="3312"/>
            <w:vAlign w:val="top"/>
          </w:tcPr>
          <w:p>
            <w:r/>
            <w:r>
              <w:rPr>
                <w:rFonts w:ascii="Aptos" w:hAnsi="Aptos"/>
                <w:b w:val="0"/>
                <w:sz w:val="13"/>
              </w:rPr>
              <w:t>Approved security backlog and decision register</w:t>
            </w:r>
          </w:p>
        </w:tc>
      </w:tr>
      <w:tr>
        <w:tc>
          <w:tcPr>
            <w:tcW w:type="dxa" w:w="1872"/>
            <w:vAlign w:val="top"/>
          </w:tcPr>
          <w:p>
            <w:r/>
            <w:r>
              <w:rPr>
                <w:rFonts w:ascii="Aptos" w:hAnsi="Aptos"/>
                <w:b w:val="0"/>
                <w:sz w:val="13"/>
              </w:rPr>
              <w:t>1 - Identity foundation</w:t>
            </w:r>
          </w:p>
        </w:tc>
        <w:tc>
          <w:tcPr>
            <w:tcW w:type="dxa" w:w="1440"/>
            <w:vAlign w:val="top"/>
          </w:tcPr>
          <w:p>
            <w:r/>
            <w:r>
              <w:rPr>
                <w:rFonts w:ascii="Aptos" w:hAnsi="Aptos"/>
                <w:b w:val="0"/>
                <w:sz w:val="13"/>
              </w:rPr>
              <w:t>4-6 weeks</w:t>
            </w:r>
          </w:p>
        </w:tc>
        <w:tc>
          <w:tcPr>
            <w:tcW w:type="dxa" w:w="4032"/>
            <w:vAlign w:val="top"/>
          </w:tcPr>
          <w:p>
            <w:r/>
            <w:r>
              <w:rPr>
                <w:rFonts w:ascii="Aptos" w:hAnsi="Aptos"/>
                <w:b w:val="0"/>
                <w:sz w:val="13"/>
              </w:rPr>
              <w:t>Federation, groups, IAM standards, PAM pilot, service account key restrictions</w:t>
            </w:r>
          </w:p>
        </w:tc>
        <w:tc>
          <w:tcPr>
            <w:tcW w:type="dxa" w:w="3312"/>
            <w:vAlign w:val="top"/>
          </w:tcPr>
          <w:p>
            <w:r/>
            <w:r>
              <w:rPr>
                <w:rFonts w:ascii="Aptos" w:hAnsi="Aptos"/>
                <w:b w:val="0"/>
                <w:sz w:val="13"/>
              </w:rPr>
              <w:t>Pilot workloads run with keyless access and JIT admin</w:t>
            </w:r>
          </w:p>
        </w:tc>
      </w:tr>
      <w:tr>
        <w:tc>
          <w:tcPr>
            <w:tcW w:type="dxa" w:w="1872"/>
            <w:vAlign w:val="top"/>
          </w:tcPr>
          <w:p>
            <w:r/>
            <w:r>
              <w:rPr>
                <w:rFonts w:ascii="Aptos" w:hAnsi="Aptos"/>
                <w:b w:val="0"/>
                <w:sz w:val="13"/>
              </w:rPr>
              <w:t>2 - Perimeter foundation</w:t>
            </w:r>
          </w:p>
        </w:tc>
        <w:tc>
          <w:tcPr>
            <w:tcW w:type="dxa" w:w="1440"/>
            <w:vAlign w:val="top"/>
          </w:tcPr>
          <w:p>
            <w:r/>
            <w:r>
              <w:rPr>
                <w:rFonts w:ascii="Aptos" w:hAnsi="Aptos"/>
                <w:b w:val="0"/>
                <w:sz w:val="13"/>
              </w:rPr>
              <w:t>6-8 weeks</w:t>
            </w:r>
          </w:p>
        </w:tc>
        <w:tc>
          <w:tcPr>
            <w:tcW w:type="dxa" w:w="4032"/>
            <w:vAlign w:val="top"/>
          </w:tcPr>
          <w:p>
            <w:r/>
            <w:r>
              <w:rPr>
                <w:rFonts w:ascii="Aptos" w:hAnsi="Aptos"/>
                <w:b w:val="0"/>
                <w:sz w:val="13"/>
              </w:rPr>
              <w:t>VPC SC dry-run, ACM access levels, PSC, firewall baselines</w:t>
            </w:r>
          </w:p>
        </w:tc>
        <w:tc>
          <w:tcPr>
            <w:tcW w:type="dxa" w:w="3312"/>
            <w:vAlign w:val="top"/>
          </w:tcPr>
          <w:p>
            <w:r/>
            <w:r>
              <w:rPr>
                <w:rFonts w:ascii="Aptos" w:hAnsi="Aptos"/>
                <w:b w:val="0"/>
                <w:sz w:val="13"/>
              </w:rPr>
              <w:t>Negative exfiltration tests pass in non-production</w:t>
            </w:r>
          </w:p>
        </w:tc>
      </w:tr>
      <w:tr>
        <w:tc>
          <w:tcPr>
            <w:tcW w:type="dxa" w:w="1872"/>
            <w:vAlign w:val="top"/>
          </w:tcPr>
          <w:p>
            <w:r/>
            <w:r>
              <w:rPr>
                <w:rFonts w:ascii="Aptos" w:hAnsi="Aptos"/>
                <w:b w:val="0"/>
                <w:sz w:val="13"/>
              </w:rPr>
              <w:t>3 - Crypto and privacy</w:t>
            </w:r>
          </w:p>
        </w:tc>
        <w:tc>
          <w:tcPr>
            <w:tcW w:type="dxa" w:w="1440"/>
            <w:vAlign w:val="top"/>
          </w:tcPr>
          <w:p>
            <w:r/>
            <w:r>
              <w:rPr>
                <w:rFonts w:ascii="Aptos" w:hAnsi="Aptos"/>
                <w:b w:val="0"/>
                <w:sz w:val="13"/>
              </w:rPr>
              <w:t>6-8 weeks</w:t>
            </w:r>
          </w:p>
        </w:tc>
        <w:tc>
          <w:tcPr>
            <w:tcW w:type="dxa" w:w="4032"/>
            <w:vAlign w:val="top"/>
          </w:tcPr>
          <w:p>
            <w:r/>
            <w:r>
              <w:rPr>
                <w:rFonts w:ascii="Aptos" w:hAnsi="Aptos"/>
                <w:b w:val="0"/>
                <w:sz w:val="13"/>
              </w:rPr>
              <w:t>KMS hierarchy, CMEK modules, SDP templates, data profiles</w:t>
            </w:r>
          </w:p>
        </w:tc>
        <w:tc>
          <w:tcPr>
            <w:tcW w:type="dxa" w:w="3312"/>
            <w:vAlign w:val="top"/>
          </w:tcPr>
          <w:p>
            <w:r/>
            <w:r>
              <w:rPr>
                <w:rFonts w:ascii="Aptos" w:hAnsi="Aptos"/>
                <w:b w:val="0"/>
                <w:sz w:val="13"/>
              </w:rPr>
              <w:t>Restricted dataset protected by CMEK and profiled</w:t>
            </w:r>
          </w:p>
        </w:tc>
      </w:tr>
      <w:tr>
        <w:tc>
          <w:tcPr>
            <w:tcW w:type="dxa" w:w="1872"/>
            <w:vAlign w:val="top"/>
          </w:tcPr>
          <w:p>
            <w:r/>
            <w:r>
              <w:rPr>
                <w:rFonts w:ascii="Aptos" w:hAnsi="Aptos"/>
                <w:b w:val="0"/>
                <w:sz w:val="13"/>
              </w:rPr>
              <w:t>4 - Detection and response</w:t>
            </w:r>
          </w:p>
        </w:tc>
        <w:tc>
          <w:tcPr>
            <w:tcW w:type="dxa" w:w="1440"/>
            <w:vAlign w:val="top"/>
          </w:tcPr>
          <w:p>
            <w:r/>
            <w:r>
              <w:rPr>
                <w:rFonts w:ascii="Aptos" w:hAnsi="Aptos"/>
                <w:b w:val="0"/>
                <w:sz w:val="13"/>
              </w:rPr>
              <w:t>4-6 weeks</w:t>
            </w:r>
          </w:p>
        </w:tc>
        <w:tc>
          <w:tcPr>
            <w:tcW w:type="dxa" w:w="4032"/>
            <w:vAlign w:val="top"/>
          </w:tcPr>
          <w:p>
            <w:r/>
            <w:r>
              <w:rPr>
                <w:rFonts w:ascii="Aptos" w:hAnsi="Aptos"/>
                <w:b w:val="0"/>
                <w:sz w:val="13"/>
              </w:rPr>
              <w:t>SCC, audit sinks, SIEM/SOAR, incident playbooks</w:t>
            </w:r>
          </w:p>
        </w:tc>
        <w:tc>
          <w:tcPr>
            <w:tcW w:type="dxa" w:w="3312"/>
            <w:vAlign w:val="top"/>
          </w:tcPr>
          <w:p>
            <w:r/>
            <w:r>
              <w:rPr>
                <w:rFonts w:ascii="Aptos" w:hAnsi="Aptos"/>
                <w:b w:val="0"/>
                <w:sz w:val="13"/>
              </w:rPr>
              <w:t>Critical finding creates actionable incident</w:t>
            </w:r>
          </w:p>
        </w:tc>
      </w:tr>
      <w:tr>
        <w:tc>
          <w:tcPr>
            <w:tcW w:type="dxa" w:w="1872"/>
            <w:vAlign w:val="top"/>
          </w:tcPr>
          <w:p>
            <w:r/>
            <w:r>
              <w:rPr>
                <w:rFonts w:ascii="Aptos" w:hAnsi="Aptos"/>
                <w:b w:val="0"/>
                <w:sz w:val="13"/>
              </w:rPr>
              <w:t>5 - Supply-chain enforcement</w:t>
            </w:r>
          </w:p>
        </w:tc>
        <w:tc>
          <w:tcPr>
            <w:tcW w:type="dxa" w:w="1440"/>
            <w:vAlign w:val="top"/>
          </w:tcPr>
          <w:p>
            <w:r/>
            <w:r>
              <w:rPr>
                <w:rFonts w:ascii="Aptos" w:hAnsi="Aptos"/>
                <w:b w:val="0"/>
                <w:sz w:val="13"/>
              </w:rPr>
              <w:t>4-6 weeks</w:t>
            </w:r>
          </w:p>
        </w:tc>
        <w:tc>
          <w:tcPr>
            <w:tcW w:type="dxa" w:w="4032"/>
            <w:vAlign w:val="top"/>
          </w:tcPr>
          <w:p>
            <w:r/>
            <w:r>
              <w:rPr>
                <w:rFonts w:ascii="Aptos" w:hAnsi="Aptos"/>
                <w:b w:val="0"/>
                <w:sz w:val="13"/>
              </w:rPr>
              <w:t>Artifact Analysis, Binary Authorization, signed provenance</w:t>
            </w:r>
          </w:p>
        </w:tc>
        <w:tc>
          <w:tcPr>
            <w:tcW w:type="dxa" w:w="3312"/>
            <w:vAlign w:val="top"/>
          </w:tcPr>
          <w:p>
            <w:r/>
            <w:r>
              <w:rPr>
                <w:rFonts w:ascii="Aptos" w:hAnsi="Aptos"/>
                <w:b w:val="0"/>
                <w:sz w:val="13"/>
              </w:rPr>
              <w:t>Unsigned vulnerable artifact blocked from production</w:t>
            </w:r>
          </w:p>
        </w:tc>
      </w:tr>
      <w:tr>
        <w:tc>
          <w:tcPr>
            <w:tcW w:type="dxa" w:w="1872"/>
            <w:vAlign w:val="top"/>
          </w:tcPr>
          <w:p>
            <w:r/>
            <w:r>
              <w:rPr>
                <w:rFonts w:ascii="Aptos" w:hAnsi="Aptos"/>
                <w:b w:val="0"/>
                <w:sz w:val="13"/>
              </w:rPr>
              <w:t>6 - Scale and optimize</w:t>
            </w:r>
          </w:p>
        </w:tc>
        <w:tc>
          <w:tcPr>
            <w:tcW w:type="dxa" w:w="1440"/>
            <w:vAlign w:val="top"/>
          </w:tcPr>
          <w:p>
            <w:r/>
            <w:r>
              <w:rPr>
                <w:rFonts w:ascii="Aptos" w:hAnsi="Aptos"/>
                <w:b w:val="0"/>
                <w:sz w:val="13"/>
              </w:rPr>
              <w:t>ongoing</w:t>
            </w:r>
          </w:p>
        </w:tc>
        <w:tc>
          <w:tcPr>
            <w:tcW w:type="dxa" w:w="4032"/>
            <w:vAlign w:val="top"/>
          </w:tcPr>
          <w:p>
            <w:r/>
            <w:r>
              <w:rPr>
                <w:rFonts w:ascii="Aptos" w:hAnsi="Aptos"/>
                <w:b w:val="0"/>
                <w:sz w:val="13"/>
              </w:rPr>
              <w:t>Control tuning, compliance evidence, quarterly reviews</w:t>
            </w:r>
          </w:p>
        </w:tc>
        <w:tc>
          <w:tcPr>
            <w:tcW w:type="dxa" w:w="3312"/>
            <w:vAlign w:val="top"/>
          </w:tcPr>
          <w:p>
            <w:r/>
            <w:r>
              <w:rPr>
                <w:rFonts w:ascii="Aptos" w:hAnsi="Aptos"/>
                <w:b w:val="0"/>
                <w:sz w:val="13"/>
              </w:rPr>
              <w:t>Metrics show improved control coverage and reduced exceptions</w:t>
            </w:r>
          </w:p>
        </w:tc>
      </w:tr>
    </w:tbl>
    <w:p>
      <w:pPr>
        <w:pStyle w:val="Small"/>
      </w:pPr>
    </w:p>
    <w:p>
      <w:r>
        <w:br w:type="page"/>
      </w:r>
    </w:p>
    <w:p>
      <w:pPr>
        <w:pStyle w:val="Heading1"/>
      </w:pPr>
      <w:r>
        <w:t>38. Validation Criteria</w:t>
      </w:r>
    </w:p>
    <w:p>
      <w:pPr>
        <w:pStyle w:val="ListBullet"/>
      </w:pPr>
      <w:r>
        <w:t>No production service account has user-managed keys unless exception-approved with expiry.</w:t>
      </w:r>
    </w:p>
    <w:p>
      <w:pPr>
        <w:pStyle w:val="ListBullet"/>
      </w:pPr>
      <w:r>
        <w:t>Every Restricted or Regulated project has approved perimeter decision: enforced, dry-run with date, or documented exception.</w:t>
      </w:r>
    </w:p>
    <w:p>
      <w:pPr>
        <w:pStyle w:val="ListBullet"/>
      </w:pPr>
      <w:r>
        <w:t>All production data products have owner, steward, classification, access model and key policy recorded.</w:t>
      </w:r>
    </w:p>
    <w:p>
      <w:pPr>
        <w:pStyle w:val="ListBullet"/>
      </w:pPr>
      <w:r>
        <w:t>Critical SCC finding triggers SIEM/SOAR workflow and incident response within the approved SLO.</w:t>
      </w:r>
    </w:p>
    <w:p>
      <w:pPr>
        <w:pStyle w:val="ListBullet"/>
      </w:pPr>
      <w:r>
        <w:t>PAM grants require justification, approval, expiry and post-use review.</w:t>
      </w:r>
    </w:p>
    <w:p>
      <w:pPr>
        <w:pStyle w:val="ListBullet"/>
      </w:pPr>
      <w:r>
        <w:t>Cloud Armor and firewall controls are tested for externally exposed services.</w:t>
      </w:r>
    </w:p>
    <w:p>
      <w:pPr>
        <w:pStyle w:val="ListBullet"/>
      </w:pPr>
      <w:r>
        <w:t>CMEK service-agent access is validated before production cutover.</w:t>
      </w:r>
    </w:p>
    <w:p>
      <w:pPr>
        <w:pStyle w:val="ListBullet"/>
      </w:pPr>
      <w:r>
        <w:t>Supply-chain gate blocks unsigned or vulnerable production artifacts according to policy.</w:t>
      </w:r>
    </w:p>
    <w:p>
      <w:r>
        <w:br w:type="page"/>
      </w:r>
    </w:p>
    <w:p>
      <w:pPr>
        <w:pStyle w:val="Heading1"/>
      </w:pPr>
      <w:r>
        <w:t>39. Production Readiness Checklist</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shd w:fill="D9EAF7"/>
          </w:tcPr>
          <w:p>
            <w:r/>
            <w:r>
              <w:rPr>
                <w:rFonts w:ascii="Aptos" w:hAnsi="Aptos"/>
                <w:b/>
                <w:sz w:val="13"/>
              </w:rPr>
              <w:t>Area</w:t>
            </w:r>
          </w:p>
        </w:tc>
        <w:tc>
          <w:tcPr>
            <w:tcW w:type="dxa" w:w="4896"/>
            <w:vAlign w:val="top"/>
            <w:shd w:fill="D9EAF7"/>
          </w:tcPr>
          <w:p>
            <w:r/>
            <w:r>
              <w:rPr>
                <w:rFonts w:ascii="Aptos" w:hAnsi="Aptos"/>
                <w:b/>
                <w:sz w:val="13"/>
              </w:rPr>
              <w:t>Check</w:t>
            </w:r>
          </w:p>
        </w:tc>
        <w:tc>
          <w:tcPr>
            <w:tcW w:type="dxa" w:w="3456"/>
            <w:vAlign w:val="top"/>
            <w:shd w:fill="D9EAF7"/>
          </w:tcPr>
          <w:p>
            <w:r/>
            <w:r>
              <w:rPr>
                <w:rFonts w:ascii="Aptos" w:hAnsi="Aptos"/>
                <w:b/>
                <w:sz w:val="13"/>
              </w:rPr>
              <w:t>Status evidence</w:t>
            </w:r>
          </w:p>
        </w:tc>
      </w:tr>
      <w:tr>
        <w:tc>
          <w:tcPr>
            <w:tcW w:type="dxa" w:w="2016"/>
            <w:vAlign w:val="top"/>
          </w:tcPr>
          <w:p>
            <w:r/>
            <w:r>
              <w:rPr>
                <w:rFonts w:ascii="Aptos" w:hAnsi="Aptos"/>
                <w:b w:val="0"/>
                <w:sz w:val="13"/>
              </w:rPr>
              <w:t>Identity</w:t>
            </w:r>
          </w:p>
        </w:tc>
        <w:tc>
          <w:tcPr>
            <w:tcW w:type="dxa" w:w="4896"/>
            <w:vAlign w:val="top"/>
          </w:tcPr>
          <w:p>
            <w:r/>
            <w:r>
              <w:rPr>
                <w:rFonts w:ascii="Aptos" w:hAnsi="Aptos"/>
                <w:b w:val="0"/>
                <w:sz w:val="13"/>
              </w:rPr>
              <w:t>Federation, groups, MFA, PAM and access reviews operational</w:t>
            </w:r>
          </w:p>
        </w:tc>
        <w:tc>
          <w:tcPr>
            <w:tcW w:type="dxa" w:w="3456"/>
            <w:vAlign w:val="top"/>
          </w:tcPr>
          <w:p>
            <w:r/>
            <w:r>
              <w:rPr>
                <w:rFonts w:ascii="Aptos" w:hAnsi="Aptos"/>
                <w:b w:val="0"/>
                <w:sz w:val="13"/>
              </w:rPr>
              <w:t>IAM export, group review, PAM report</w:t>
            </w:r>
          </w:p>
        </w:tc>
      </w:tr>
      <w:tr>
        <w:tc>
          <w:tcPr>
            <w:tcW w:type="dxa" w:w="2016"/>
            <w:vAlign w:val="top"/>
          </w:tcPr>
          <w:p>
            <w:r/>
            <w:r>
              <w:rPr>
                <w:rFonts w:ascii="Aptos" w:hAnsi="Aptos"/>
                <w:b w:val="0"/>
                <w:sz w:val="13"/>
              </w:rPr>
              <w:t>Network</w:t>
            </w:r>
          </w:p>
        </w:tc>
        <w:tc>
          <w:tcPr>
            <w:tcW w:type="dxa" w:w="4896"/>
            <w:vAlign w:val="top"/>
          </w:tcPr>
          <w:p>
            <w:r/>
            <w:r>
              <w:rPr>
                <w:rFonts w:ascii="Aptos" w:hAnsi="Aptos"/>
                <w:b w:val="0"/>
                <w:sz w:val="13"/>
              </w:rPr>
              <w:t>PSC/private API paths, firewall logging and Cloud Armor policies validated</w:t>
            </w:r>
          </w:p>
        </w:tc>
        <w:tc>
          <w:tcPr>
            <w:tcW w:type="dxa" w:w="3456"/>
            <w:vAlign w:val="top"/>
          </w:tcPr>
          <w:p>
            <w:r/>
            <w:r>
              <w:rPr>
                <w:rFonts w:ascii="Aptos" w:hAnsi="Aptos"/>
                <w:b w:val="0"/>
                <w:sz w:val="13"/>
              </w:rPr>
              <w:t>Network test report</w:t>
            </w:r>
          </w:p>
        </w:tc>
      </w:tr>
      <w:tr>
        <w:tc>
          <w:tcPr>
            <w:tcW w:type="dxa" w:w="2016"/>
            <w:vAlign w:val="top"/>
          </w:tcPr>
          <w:p>
            <w:r/>
            <w:r>
              <w:rPr>
                <w:rFonts w:ascii="Aptos" w:hAnsi="Aptos"/>
                <w:b w:val="0"/>
                <w:sz w:val="13"/>
              </w:rPr>
              <w:t>Data perimeter</w:t>
            </w:r>
          </w:p>
        </w:tc>
        <w:tc>
          <w:tcPr>
            <w:tcW w:type="dxa" w:w="4896"/>
            <w:vAlign w:val="top"/>
          </w:tcPr>
          <w:p>
            <w:r/>
            <w:r>
              <w:rPr>
                <w:rFonts w:ascii="Aptos" w:hAnsi="Aptos"/>
                <w:b w:val="0"/>
                <w:sz w:val="13"/>
              </w:rPr>
              <w:t>VPC SC dry-run/enforcement and ingress/egress policies validated</w:t>
            </w:r>
          </w:p>
        </w:tc>
        <w:tc>
          <w:tcPr>
            <w:tcW w:type="dxa" w:w="3456"/>
            <w:vAlign w:val="top"/>
          </w:tcPr>
          <w:p>
            <w:r/>
            <w:r>
              <w:rPr>
                <w:rFonts w:ascii="Aptos" w:hAnsi="Aptos"/>
                <w:b w:val="0"/>
                <w:sz w:val="13"/>
              </w:rPr>
              <w:t>Perimeter test evidence</w:t>
            </w:r>
          </w:p>
        </w:tc>
      </w:tr>
      <w:tr>
        <w:tc>
          <w:tcPr>
            <w:tcW w:type="dxa" w:w="2016"/>
            <w:vAlign w:val="top"/>
          </w:tcPr>
          <w:p>
            <w:r/>
            <w:r>
              <w:rPr>
                <w:rFonts w:ascii="Aptos" w:hAnsi="Aptos"/>
                <w:b w:val="0"/>
                <w:sz w:val="13"/>
              </w:rPr>
              <w:t>Crypto</w:t>
            </w:r>
          </w:p>
        </w:tc>
        <w:tc>
          <w:tcPr>
            <w:tcW w:type="dxa" w:w="4896"/>
            <w:vAlign w:val="top"/>
          </w:tcPr>
          <w:p>
            <w:r/>
            <w:r>
              <w:rPr>
                <w:rFonts w:ascii="Aptos" w:hAnsi="Aptos"/>
                <w:b w:val="0"/>
                <w:sz w:val="13"/>
              </w:rPr>
              <w:t>KMS key rings, CMEK bindings, rotation and custodianship approved</w:t>
            </w:r>
          </w:p>
        </w:tc>
        <w:tc>
          <w:tcPr>
            <w:tcW w:type="dxa" w:w="3456"/>
            <w:vAlign w:val="top"/>
          </w:tcPr>
          <w:p>
            <w:r/>
            <w:r>
              <w:rPr>
                <w:rFonts w:ascii="Aptos" w:hAnsi="Aptos"/>
                <w:b w:val="0"/>
                <w:sz w:val="13"/>
              </w:rPr>
              <w:t>KMS inventory and test results</w:t>
            </w:r>
          </w:p>
        </w:tc>
      </w:tr>
      <w:tr>
        <w:tc>
          <w:tcPr>
            <w:tcW w:type="dxa" w:w="2016"/>
            <w:vAlign w:val="top"/>
          </w:tcPr>
          <w:p>
            <w:r/>
            <w:r>
              <w:rPr>
                <w:rFonts w:ascii="Aptos" w:hAnsi="Aptos"/>
                <w:b w:val="0"/>
                <w:sz w:val="13"/>
              </w:rPr>
              <w:t>Privacy</w:t>
            </w:r>
          </w:p>
        </w:tc>
        <w:tc>
          <w:tcPr>
            <w:tcW w:type="dxa" w:w="4896"/>
            <w:vAlign w:val="top"/>
          </w:tcPr>
          <w:p>
            <w:r/>
            <w:r>
              <w:rPr>
                <w:rFonts w:ascii="Aptos" w:hAnsi="Aptos"/>
                <w:b w:val="0"/>
                <w:sz w:val="13"/>
              </w:rPr>
              <w:t>SDP profiles and de-identification templates approved</w:t>
            </w:r>
          </w:p>
        </w:tc>
        <w:tc>
          <w:tcPr>
            <w:tcW w:type="dxa" w:w="3456"/>
            <w:vAlign w:val="top"/>
          </w:tcPr>
          <w:p>
            <w:r/>
            <w:r>
              <w:rPr>
                <w:rFonts w:ascii="Aptos" w:hAnsi="Aptos"/>
                <w:b w:val="0"/>
                <w:sz w:val="13"/>
              </w:rPr>
              <w:t>Privacy evidence pack</w:t>
            </w:r>
          </w:p>
        </w:tc>
      </w:tr>
      <w:tr>
        <w:tc>
          <w:tcPr>
            <w:tcW w:type="dxa" w:w="2016"/>
            <w:vAlign w:val="top"/>
          </w:tcPr>
          <w:p>
            <w:r/>
            <w:r>
              <w:rPr>
                <w:rFonts w:ascii="Aptos" w:hAnsi="Aptos"/>
                <w:b w:val="0"/>
                <w:sz w:val="13"/>
              </w:rPr>
              <w:t>Monitoring</w:t>
            </w:r>
          </w:p>
        </w:tc>
        <w:tc>
          <w:tcPr>
            <w:tcW w:type="dxa" w:w="4896"/>
            <w:vAlign w:val="top"/>
          </w:tcPr>
          <w:p>
            <w:r/>
            <w:r>
              <w:rPr>
                <w:rFonts w:ascii="Aptos" w:hAnsi="Aptos"/>
                <w:b w:val="0"/>
                <w:sz w:val="13"/>
              </w:rPr>
              <w:t>SCC, logs, SIEM/SOAR routing and alert severity tested</w:t>
            </w:r>
          </w:p>
        </w:tc>
        <w:tc>
          <w:tcPr>
            <w:tcW w:type="dxa" w:w="3456"/>
            <w:vAlign w:val="top"/>
          </w:tcPr>
          <w:p>
            <w:r/>
            <w:r>
              <w:rPr>
                <w:rFonts w:ascii="Aptos" w:hAnsi="Aptos"/>
                <w:b w:val="0"/>
                <w:sz w:val="13"/>
              </w:rPr>
              <w:t>Alert test ticket</w:t>
            </w:r>
          </w:p>
        </w:tc>
      </w:tr>
      <w:tr>
        <w:tc>
          <w:tcPr>
            <w:tcW w:type="dxa" w:w="2016"/>
            <w:vAlign w:val="top"/>
          </w:tcPr>
          <w:p>
            <w:r/>
            <w:r>
              <w:rPr>
                <w:rFonts w:ascii="Aptos" w:hAnsi="Aptos"/>
                <w:b w:val="0"/>
                <w:sz w:val="13"/>
              </w:rPr>
              <w:t>Supply chain</w:t>
            </w:r>
          </w:p>
        </w:tc>
        <w:tc>
          <w:tcPr>
            <w:tcW w:type="dxa" w:w="4896"/>
            <w:vAlign w:val="top"/>
          </w:tcPr>
          <w:p>
            <w:r/>
            <w:r>
              <w:rPr>
                <w:rFonts w:ascii="Aptos" w:hAnsi="Aptos"/>
                <w:b w:val="0"/>
                <w:sz w:val="13"/>
              </w:rPr>
              <w:t>Artifact scanning, attestation and Binary Authorization gates active</w:t>
            </w:r>
          </w:p>
        </w:tc>
        <w:tc>
          <w:tcPr>
            <w:tcW w:type="dxa" w:w="3456"/>
            <w:vAlign w:val="top"/>
          </w:tcPr>
          <w:p>
            <w:r/>
            <w:r>
              <w:rPr>
                <w:rFonts w:ascii="Aptos" w:hAnsi="Aptos"/>
                <w:b w:val="0"/>
                <w:sz w:val="13"/>
              </w:rPr>
              <w:t>Blocked-deployment test</w:t>
            </w:r>
          </w:p>
        </w:tc>
      </w:tr>
      <w:tr>
        <w:tc>
          <w:tcPr>
            <w:tcW w:type="dxa" w:w="2016"/>
            <w:vAlign w:val="top"/>
          </w:tcPr>
          <w:p>
            <w:r/>
            <w:r>
              <w:rPr>
                <w:rFonts w:ascii="Aptos" w:hAnsi="Aptos"/>
                <w:b w:val="0"/>
                <w:sz w:val="13"/>
              </w:rPr>
              <w:t>Operations</w:t>
            </w:r>
          </w:p>
        </w:tc>
        <w:tc>
          <w:tcPr>
            <w:tcW w:type="dxa" w:w="4896"/>
            <w:vAlign w:val="top"/>
          </w:tcPr>
          <w:p>
            <w:r/>
            <w:r>
              <w:rPr>
                <w:rFonts w:ascii="Aptos" w:hAnsi="Aptos"/>
                <w:b w:val="0"/>
                <w:sz w:val="13"/>
              </w:rPr>
              <w:t>Incident runbooks, escalation paths and tabletop completed</w:t>
            </w:r>
          </w:p>
        </w:tc>
        <w:tc>
          <w:tcPr>
            <w:tcW w:type="dxa" w:w="3456"/>
            <w:vAlign w:val="top"/>
          </w:tcPr>
          <w:p>
            <w:r/>
            <w:r>
              <w:rPr>
                <w:rFonts w:ascii="Aptos" w:hAnsi="Aptos"/>
                <w:b w:val="0"/>
                <w:sz w:val="13"/>
              </w:rPr>
              <w:t>Runbook approval and exercise record</w:t>
            </w:r>
          </w:p>
        </w:tc>
      </w:tr>
      <w:tr>
        <w:tc>
          <w:tcPr>
            <w:tcW w:type="dxa" w:w="2016"/>
            <w:vAlign w:val="top"/>
          </w:tcPr>
          <w:p>
            <w:r/>
            <w:r>
              <w:rPr>
                <w:rFonts w:ascii="Aptos" w:hAnsi="Aptos"/>
                <w:b w:val="0"/>
                <w:sz w:val="13"/>
              </w:rPr>
              <w:t>Compliance</w:t>
            </w:r>
          </w:p>
        </w:tc>
        <w:tc>
          <w:tcPr>
            <w:tcW w:type="dxa" w:w="4896"/>
            <w:vAlign w:val="top"/>
          </w:tcPr>
          <w:p>
            <w:r/>
            <w:r>
              <w:rPr>
                <w:rFonts w:ascii="Aptos" w:hAnsi="Aptos"/>
                <w:b w:val="0"/>
                <w:sz w:val="13"/>
              </w:rPr>
              <w:t>Control mapping, exceptions and evidence repository ready</w:t>
            </w:r>
          </w:p>
        </w:tc>
        <w:tc>
          <w:tcPr>
            <w:tcW w:type="dxa" w:w="3456"/>
            <w:vAlign w:val="top"/>
          </w:tcPr>
          <w:p>
            <w:r/>
            <w:r>
              <w:rPr>
                <w:rFonts w:ascii="Aptos" w:hAnsi="Aptos"/>
                <w:b w:val="0"/>
                <w:sz w:val="13"/>
              </w:rPr>
              <w:t>GRC evidence package</w:t>
            </w:r>
          </w:p>
        </w:tc>
      </w:tr>
    </w:tbl>
    <w:p>
      <w:pPr>
        <w:pStyle w:val="Small"/>
      </w:pPr>
    </w:p>
    <w:p>
      <w:r>
        <w:br w:type="page"/>
      </w:r>
    </w:p>
    <w:p>
      <w:pPr>
        <w:pStyle w:val="Heading1"/>
      </w:pPr>
      <w:r>
        <w:t>40. Decisions and Next Actions</w:t>
      </w:r>
    </w:p>
    <w:p>
      <w:r>
        <w:t>Volume 08 approves the Zero Trust security baseline as the mandatory control foundation for subsequent volumes and production implementation. Volume 09 must reuse these controls in CI/CD and DevSecOps pipelines. Volume 10 must include security control cost drivers for logging, SCC tiers, Cloud Armor, KMS/HSM/EKM and scanning. Volume 11 must operationalize security SLIs, SLOs, dashboards and runbooks. Volume 12 must include security control recovery, key recovery and cyber-recovery dependencies. Volume 13 must convert the policy patterns into hardened Terraform modules.</w:t>
      </w:r>
    </w:p>
    <w:p>
      <w:pPr>
        <w:pStyle w:val="ListBullet"/>
      </w:pPr>
      <w:r>
        <w:t>Approve baseline security control catalogue.</w:t>
      </w:r>
    </w:p>
    <w:p>
      <w:pPr>
        <w:pStyle w:val="ListBullet"/>
      </w:pPr>
      <w:r>
        <w:t>Finalize regulated workload enrollment in Access Approval and Assured Workloads where applicable.</w:t>
      </w:r>
    </w:p>
    <w:p>
      <w:pPr>
        <w:pStyle w:val="ListBullet"/>
      </w:pPr>
      <w:r>
        <w:t>Prioritize VPC Service Controls dry-run deployment for Restricted data projects.</w:t>
      </w:r>
    </w:p>
    <w:p>
      <w:pPr>
        <w:pStyle w:val="ListBullet"/>
      </w:pPr>
      <w:r>
        <w:t>Create golden Terraform modules for IAM, VPC SC, KMS, firewall, SCC and logging.</w:t>
      </w:r>
    </w:p>
    <w:p>
      <w:pPr>
        <w:pStyle w:val="ListBullet"/>
      </w:pPr>
      <w:r>
        <w:t>Schedule first security tabletop exercise and negative access test campaign.</w:t>
      </w:r>
    </w:p>
    <w:p>
      <w:r>
        <w:br w:type="page"/>
      </w:r>
    </w:p>
    <w:p>
      <w:pPr>
        <w:pStyle w:val="Heading1"/>
      </w:pPr>
      <w:r>
        <w:t>41. References</w:t>
      </w:r>
    </w:p>
    <w:p>
      <w:pPr>
        <w:pStyle w:val="ListBullet"/>
      </w:pPr>
      <w:r>
        <w:t>Google Cloud: Infrastructure security design overview - https://docs.cloud.google.com/docs/security/infrastructure/design</w:t>
      </w:r>
    </w:p>
    <w:p>
      <w:pPr>
        <w:pStyle w:val="ListBullet"/>
      </w:pPr>
      <w:r>
        <w:t>Google Cloud IAM: Workforce Identity Federation - https://docs.cloud.google.com/iam/docs/workforce-identity-federation</w:t>
      </w:r>
    </w:p>
    <w:p>
      <w:pPr>
        <w:pStyle w:val="ListBullet"/>
      </w:pPr>
      <w:r>
        <w:t>Google Cloud IAM: Workload Identity Federation - https://docs.cloud.google.com/iam/docs/workload-identity-federation</w:t>
      </w:r>
    </w:p>
    <w:p>
      <w:pPr>
        <w:pStyle w:val="ListBullet"/>
      </w:pPr>
      <w:r>
        <w:t>Google Cloud IAM: Privileged Access Manager overview - https://docs.cloud.google.com/iam/docs/pam-overview</w:t>
      </w:r>
    </w:p>
    <w:p>
      <w:pPr>
        <w:pStyle w:val="ListBullet"/>
      </w:pPr>
      <w:r>
        <w:t>Google Cloud: VPC Service Controls overview and ingress/egress rules - https://docs.cloud.google.com/vpc-service-controls/docs/overview</w:t>
      </w:r>
    </w:p>
    <w:p>
      <w:pPr>
        <w:pStyle w:val="ListBullet"/>
      </w:pPr>
      <w:r>
        <w:t>Google Cloud: Access Context Manager overview - https://docs.cloud.google.com/access-context-manager/docs/overview</w:t>
      </w:r>
    </w:p>
    <w:p>
      <w:pPr>
        <w:pStyle w:val="ListBullet"/>
      </w:pPr>
      <w:r>
        <w:t>Google Cloud: Security Command Center overview - https://docs.cloud.google.com/security-command-center/docs/security-command-center-overview</w:t>
      </w:r>
    </w:p>
    <w:p>
      <w:pPr>
        <w:pStyle w:val="ListBullet"/>
      </w:pPr>
      <w:r>
        <w:t>Google Cloud: Event Threat Detection overview - https://docs.cloud.google.com/security-command-center/docs/concepts-event-threat-detection-overview</w:t>
      </w:r>
    </w:p>
    <w:p>
      <w:pPr>
        <w:pStyle w:val="ListBullet"/>
      </w:pPr>
      <w:r>
        <w:t>Google Cloud: Container Threat Detection overview - https://docs.cloud.google.com/security-command-center/docs/concepts-container-threat-detection-overview</w:t>
      </w:r>
    </w:p>
    <w:p>
      <w:pPr>
        <w:pStyle w:val="ListBullet"/>
      </w:pPr>
      <w:r>
        <w:t>Google Cloud: Sensitive Data Protection overview and pseudonymization - https://docs.cloud.google.com/sensitive-data-protection/docs/sensitive-data-protection-overview</w:t>
      </w:r>
    </w:p>
    <w:p>
      <w:pPr>
        <w:pStyle w:val="ListBullet"/>
      </w:pPr>
      <w:r>
        <w:t>Google Cloud: Cloud KMS, CMEK, Cloud HSM and Cloud EKM documentation - https://docs.cloud.google.com/kms/docs</w:t>
      </w:r>
    </w:p>
    <w:p>
      <w:pPr>
        <w:pStyle w:val="ListBullet"/>
      </w:pPr>
      <w:r>
        <w:t>Google Cloud: Cloud Armor overview - https://docs.cloud.google.com/armor/docs/cloud-armor-overview</w:t>
      </w:r>
    </w:p>
    <w:p>
      <w:pPr>
        <w:pStyle w:val="ListBullet"/>
      </w:pPr>
      <w:r>
        <w:t>Google Cloud: Cloud Firewall documentation - https://docs.cloud.google.com/firewall/docs</w:t>
      </w:r>
    </w:p>
    <w:p>
      <w:pPr>
        <w:pStyle w:val="ListBullet"/>
      </w:pPr>
      <w:r>
        <w:t>Google Cloud: Access Transparency and Access Approval documentation - https://docs.cloud.google.com/assured-workloads/access-approval/docs</w:t>
      </w:r>
    </w:p>
    <w:p>
      <w:pPr>
        <w:pStyle w:val="ListBullet"/>
      </w:pPr>
      <w:r>
        <w:t>Google Cloud: Binary Authorization and Artifact Analysis documentation - https://docs.cloud.google.com/binary-authorization/docs and https://docs.cloud.google.com/artifact-analysis/docs</w:t>
      </w:r>
    </w:p>
    <w:sectPr w:rsidR="00FC693F" w:rsidRPr="0006063C" w:rsidSect="00034616">
      <w:headerReference w:type="default" r:id="rId9"/>
      <w:footerReference w:type="default" r:id="rId10"/>
      <w:pgSz w:w="12240" w:h="15840"/>
      <w:pgMar w:top="792" w:right="864" w:bottom="792" w:left="86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Confidential - Reference Architecture Volume 08 Security and Zero Trust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Enterprise Google Cloud Data Platform Blueprint | Volume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5"/>
    </w:rPr>
  </w:style>
  <w:style w:type="paragraph" w:customStyle="1" w:styleId="CodeBlock">
    <w:name w:val="CodeBlock"/>
    <w:rPr>
      <w:rFonts w:ascii="Courier New" w:hAnsi="Courier New"/>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