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74EA6"/>
          <w:sz w:val="32"/>
        </w:rPr>
        <w:t>Enterprise Google Cloud Data Platform Blueprint</w:t>
      </w:r>
    </w:p>
    <w:p>
      <w:pPr>
        <w:jc w:val="center"/>
      </w:pPr>
      <w:r>
        <w:rPr>
          <w:b/>
          <w:color w:val="5F6368"/>
          <w:sz w:val="40"/>
        </w:rPr>
        <w:t>VOLUME 09</w:t>
      </w:r>
    </w:p>
    <w:p>
      <w:pPr>
        <w:jc w:val="center"/>
      </w:pPr>
      <w:r>
        <w:rPr>
          <w:b/>
          <w:color w:val="17365D"/>
          <w:sz w:val="58"/>
        </w:rPr>
        <w:t>DevSecOps and CI/CD</w:t>
      </w:r>
    </w:p>
    <w:p>
      <w:pPr>
        <w:jc w:val="center"/>
      </w:pPr>
      <w:r>
        <w:rPr>
          <w:sz w:val="26"/>
        </w:rPr>
        <w:t>Enterprise Source, Build, Supply-chain and Continuous Delivery Blueprint</w:t>
      </w:r>
    </w:p>
    <w:p>
      <w:pPr>
        <w:jc w:val="center"/>
      </w:pPr>
      <w:r>
        <w:rPr>
          <w:sz w:val="20"/>
        </w:rPr>
        <w:t>Architecture Baseline 1.0 | 12 July 2026</w:t>
      </w:r>
    </w:p>
    <w:p>
      <w:pPr>
        <w:jc w:val="center"/>
      </w:pPr>
      <w:r>
        <w:drawing>
          <wp:inline xmlns:a="http://schemas.openxmlformats.org/drawingml/2006/main" xmlns:pic="http://schemas.openxmlformats.org/drawingml/2006/picture">
            <wp:extent cx="6156000" cy="284774"/>
            <wp:docPr id="1" name="Picture 1" descr="Image: image1.png"/>
            <wp:cNvGraphicFramePr>
              <a:graphicFrameLocks noChangeAspect="1"/>
            </wp:cNvGraphicFramePr>
            <a:graphic>
              <a:graphicData uri="http://schemas.openxmlformats.org/drawingml/2006/picture">
                <pic:pic>
                  <pic:nvPicPr>
                    <pic:cNvPr id="0" name="01_devsecops_reference.png"/>
                    <pic:cNvPicPr/>
                  </pic:nvPicPr>
                  <pic:blipFill>
                    <a:blip r:embed="rId11"/>
                    <a:stretch>
                      <a:fillRect/>
                    </a:stretch>
                  </pic:blipFill>
                  <pic:spPr>
                    <a:xfrm>
                      <a:off x="0" y="0"/>
                      <a:ext cx="6156000" cy="284774"/>
                    </a:xfrm>
                    <a:prstGeom prst="rect"/>
                  </pic:spPr>
                </pic:pic>
              </a:graphicData>
            </a:graphic>
          </wp:inline>
        </w:drawing>
      </w:r>
    </w:p>
    <w:p>
      <w:pPr>
        <w:jc w:val="center"/>
      </w:pPr>
      <w:r>
        <w:rPr>
          <w:b/>
          <w:sz w:val="16"/>
        </w:rPr>
        <w:t>Figure 0-1. Secure source-to-production flow across source, trusted build, immutable artifacts, policy gates, target-specific deployment and operational feedback.</w:t>
      </w:r>
    </w:p>
    <w:tbl>
      <w:tblPr>
        <w:tblStyle w:val="TableGrid"/>
        <w:tblW w:type="auto" w:w="0"/>
        <w:tblLook w:firstColumn="1" w:firstRow="1" w:lastColumn="0" w:lastRow="0" w:noHBand="0" w:noVBand="1" w:val="04A0"/>
      </w:tblPr>
      <w:tblGrid>
        <w:gridCol w:w="10148"/>
      </w:tblGrid>
      <w:tr>
        <w:tc>
          <w:tcPr>
            <w:tcW w:type="dxa" w:w="10148"/>
            <w:shd w:fill="E6F4EA"/>
          </w:tcPr>
          <w:p>
            <w:r>
              <w:rPr>
                <w:b/>
                <w:color w:val="17365D"/>
              </w:rPr>
              <w:t xml:space="preserve">Fresh generation - </w:t>
            </w:r>
            <w:r>
              <w:t>This package is generated from scratch. No artifact or state from the stalled Volume 9 execution is reused.</w:t>
            </w:r>
          </w:p>
        </w:tc>
        <w:trPr>
          <w:tblHeader/>
        </w:trPr>
      </w:tr>
    </w:tbl>
    <w:p>
      <w:pPr>
        <w:spacing w:after="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268"/>
            <w:shd w:fill="174EA6"/>
          </w:tcPr>
          <w:p>
            <w:pPr>
              <w:spacing w:after="0"/>
            </w:pPr>
            <w:r>
              <w:rPr>
                <w:b/>
                <w:color w:val="FFFFFF"/>
                <w:sz w:val="15"/>
              </w:rPr>
              <w:t>Field</w:t>
            </w:r>
          </w:p>
        </w:tc>
        <w:tc>
          <w:tcPr>
            <w:tcW w:type="dxa" w:w="7370"/>
            <w:shd w:fill="174EA6"/>
          </w:tcPr>
          <w:p>
            <w:pPr>
              <w:spacing w:after="0"/>
            </w:pPr>
            <w:r>
              <w:rPr>
                <w:b/>
                <w:color w:val="FFFFFF"/>
                <w:sz w:val="15"/>
              </w:rPr>
              <w:t>Value</w:t>
            </w:r>
          </w:p>
        </w:tc>
      </w:tr>
      <w:tr>
        <w:tc>
          <w:tcPr>
            <w:tcW w:type="dxa" w:w="2268"/>
            <w:vAlign w:val="top"/>
          </w:tcPr>
          <w:p>
            <w:pPr>
              <w:spacing w:after="0"/>
            </w:pPr>
            <w:r>
              <w:rPr>
                <w:sz w:val="15"/>
              </w:rPr>
              <w:t>Document</w:t>
            </w:r>
          </w:p>
        </w:tc>
        <w:tc>
          <w:tcPr>
            <w:tcW w:type="dxa" w:w="7370"/>
            <w:vAlign w:val="top"/>
          </w:tcPr>
          <w:p>
            <w:pPr>
              <w:spacing w:after="0"/>
            </w:pPr>
            <w:r>
              <w:rPr>
                <w:sz w:val="15"/>
              </w:rPr>
              <w:t>Volume 09 - DevSecOps and CI/CD</w:t>
            </w:r>
          </w:p>
        </w:tc>
      </w:tr>
      <w:tr>
        <w:tc>
          <w:tcPr>
            <w:tcW w:type="dxa" w:w="2268"/>
            <w:shd w:fill="F7F8F9"/>
            <w:vAlign w:val="top"/>
          </w:tcPr>
          <w:p>
            <w:pPr>
              <w:spacing w:after="0"/>
            </w:pPr>
            <w:r>
              <w:rPr>
                <w:sz w:val="15"/>
              </w:rPr>
              <w:t>Series</w:t>
            </w:r>
          </w:p>
        </w:tc>
        <w:tc>
          <w:tcPr>
            <w:tcW w:type="dxa" w:w="7370"/>
            <w:shd w:fill="F7F8F9"/>
            <w:vAlign w:val="top"/>
          </w:tcPr>
          <w:p>
            <w:pPr>
              <w:spacing w:after="0"/>
            </w:pPr>
            <w:r>
              <w:rPr>
                <w:sz w:val="15"/>
              </w:rPr>
              <w:t>Enterprise Google Cloud Data Platform Blueprint</w:t>
            </w:r>
          </w:p>
        </w:tc>
      </w:tr>
      <w:tr>
        <w:tc>
          <w:tcPr>
            <w:tcW w:type="dxa" w:w="2268"/>
            <w:vAlign w:val="top"/>
          </w:tcPr>
          <w:p>
            <w:pPr>
              <w:spacing w:after="0"/>
            </w:pPr>
            <w:r>
              <w:rPr>
                <w:sz w:val="15"/>
              </w:rPr>
              <w:t>Version</w:t>
            </w:r>
          </w:p>
        </w:tc>
        <w:tc>
          <w:tcPr>
            <w:tcW w:type="dxa" w:w="7370"/>
            <w:vAlign w:val="top"/>
          </w:tcPr>
          <w:p>
            <w:pPr>
              <w:spacing w:after="0"/>
            </w:pPr>
            <w:r>
              <w:rPr>
                <w:sz w:val="15"/>
              </w:rPr>
              <w:t>1.0</w:t>
            </w:r>
          </w:p>
        </w:tc>
      </w:tr>
      <w:tr>
        <w:tc>
          <w:tcPr>
            <w:tcW w:type="dxa" w:w="2268"/>
            <w:shd w:fill="F7F8F9"/>
            <w:vAlign w:val="top"/>
          </w:tcPr>
          <w:p>
            <w:pPr>
              <w:spacing w:after="0"/>
            </w:pPr>
            <w:r>
              <w:rPr>
                <w:sz w:val="15"/>
              </w:rPr>
              <w:t>Status</w:t>
            </w:r>
          </w:p>
        </w:tc>
        <w:tc>
          <w:tcPr>
            <w:tcW w:type="dxa" w:w="7370"/>
            <w:shd w:fill="F7F8F9"/>
            <w:vAlign w:val="top"/>
          </w:tcPr>
          <w:p>
            <w:pPr>
              <w:spacing w:after="0"/>
            </w:pPr>
            <w:r>
              <w:rPr>
                <w:sz w:val="15"/>
              </w:rPr>
              <w:t>Detailed reference architecture for adaptation and implementation</w:t>
            </w:r>
          </w:p>
        </w:tc>
      </w:tr>
      <w:tr>
        <w:tc>
          <w:tcPr>
            <w:tcW w:type="dxa" w:w="2268"/>
            <w:vAlign w:val="top"/>
          </w:tcPr>
          <w:p>
            <w:pPr>
              <w:spacing w:after="0"/>
            </w:pPr>
            <w:r>
              <w:rPr>
                <w:sz w:val="15"/>
              </w:rPr>
              <w:t>Date</w:t>
            </w:r>
          </w:p>
        </w:tc>
        <w:tc>
          <w:tcPr>
            <w:tcW w:type="dxa" w:w="7370"/>
            <w:vAlign w:val="top"/>
          </w:tcPr>
          <w:p>
            <w:pPr>
              <w:spacing w:after="0"/>
            </w:pPr>
            <w:r>
              <w:rPr>
                <w:sz w:val="15"/>
              </w:rPr>
              <w:t>12 July 2026</w:t>
            </w:r>
          </w:p>
        </w:tc>
      </w:tr>
      <w:tr>
        <w:tc>
          <w:tcPr>
            <w:tcW w:type="dxa" w:w="2268"/>
            <w:shd w:fill="F7F8F9"/>
            <w:vAlign w:val="top"/>
          </w:tcPr>
          <w:p>
            <w:pPr>
              <w:spacing w:after="0"/>
            </w:pPr>
            <w:r>
              <w:rPr>
                <w:sz w:val="15"/>
              </w:rPr>
              <w:t>Owner</w:t>
            </w:r>
          </w:p>
        </w:tc>
        <w:tc>
          <w:tcPr>
            <w:tcW w:type="dxa" w:w="7370"/>
            <w:shd w:fill="F7F8F9"/>
            <w:vAlign w:val="top"/>
          </w:tcPr>
          <w:p>
            <w:pPr>
              <w:spacing w:after="0"/>
            </w:pPr>
            <w:r>
              <w:rPr>
                <w:sz w:val="15"/>
              </w:rPr>
              <w:t>Enterprise DevSecOps Architecture</w:t>
            </w:r>
          </w:p>
        </w:tc>
      </w:tr>
      <w:tr>
        <w:tc>
          <w:tcPr>
            <w:tcW w:type="dxa" w:w="2268"/>
            <w:vAlign w:val="top"/>
          </w:tcPr>
          <w:p>
            <w:pPr>
              <w:spacing w:after="0"/>
            </w:pPr>
            <w:r>
              <w:rPr>
                <w:sz w:val="15"/>
              </w:rPr>
              <w:t>Approvers</w:t>
            </w:r>
          </w:p>
        </w:tc>
        <w:tc>
          <w:tcPr>
            <w:tcW w:type="dxa" w:w="7370"/>
            <w:vAlign w:val="top"/>
          </w:tcPr>
          <w:p>
            <w:pPr>
              <w:spacing w:after="0"/>
            </w:pPr>
            <w:r>
              <w:rPr>
                <w:sz w:val="15"/>
              </w:rPr>
              <w:t>CIO, CISO, CDO, Enterprise Architecture, Platform Engineering, Data Engineering, AI Platform, SRE, Change Management and Risk</w:t>
            </w:r>
          </w:p>
        </w:tc>
      </w:tr>
      <w:tr>
        <w:tc>
          <w:tcPr>
            <w:tcW w:type="dxa" w:w="2268"/>
            <w:shd w:fill="F7F8F9"/>
            <w:vAlign w:val="top"/>
          </w:tcPr>
          <w:p>
            <w:pPr>
              <w:spacing w:after="0"/>
            </w:pPr>
            <w:r>
              <w:rPr>
                <w:sz w:val="15"/>
              </w:rPr>
              <w:t>Audience</w:t>
            </w:r>
          </w:p>
        </w:tc>
        <w:tc>
          <w:tcPr>
            <w:tcW w:type="dxa" w:w="7370"/>
            <w:shd w:fill="F7F8F9"/>
            <w:vAlign w:val="top"/>
          </w:tcPr>
          <w:p>
            <w:pPr>
              <w:spacing w:after="0"/>
            </w:pPr>
            <w:r>
              <w:rPr>
                <w:sz w:val="15"/>
              </w:rPr>
              <w:t>Executives, architects, developers, data/ML engineers, platform engineers, security, SRE, audit and delivery teams</w:t>
            </w:r>
          </w:p>
        </w:tc>
      </w:tr>
      <w:tr>
        <w:tc>
          <w:tcPr>
            <w:tcW w:type="dxa" w:w="2268"/>
            <w:vAlign w:val="top"/>
          </w:tcPr>
          <w:p>
            <w:pPr>
              <w:spacing w:after="0"/>
            </w:pPr>
            <w:r>
              <w:rPr>
                <w:sz w:val="15"/>
              </w:rPr>
              <w:t>Review cycle</w:t>
            </w:r>
          </w:p>
        </w:tc>
        <w:tc>
          <w:tcPr>
            <w:tcW w:type="dxa" w:w="7370"/>
            <w:vAlign w:val="top"/>
          </w:tcPr>
          <w:p>
            <w:pPr>
              <w:spacing w:after="0"/>
            </w:pPr>
            <w:r>
              <w:rPr>
                <w:sz w:val="15"/>
              </w:rPr>
              <w:t>Quarterly and after material provider, supply-chain, regulation or incident change</w:t>
            </w:r>
          </w:p>
        </w:tc>
      </w:tr>
      <w:tr>
        <w:tc>
          <w:tcPr>
            <w:tcW w:type="dxa" w:w="2268"/>
            <w:shd w:fill="F7F8F9"/>
            <w:vAlign w:val="top"/>
          </w:tcPr>
          <w:p>
            <w:pPr>
              <w:spacing w:after="0"/>
            </w:pPr>
            <w:r>
              <w:rPr>
                <w:sz w:val="15"/>
              </w:rPr>
              <w:t>Dependencies</w:t>
            </w:r>
          </w:p>
        </w:tc>
        <w:tc>
          <w:tcPr>
            <w:tcW w:type="dxa" w:w="7370"/>
            <w:shd w:fill="F7F8F9"/>
            <w:vAlign w:val="top"/>
          </w:tcPr>
          <w:p>
            <w:pPr>
              <w:spacing w:after="0"/>
            </w:pPr>
            <w:r>
              <w:rPr>
                <w:sz w:val="15"/>
              </w:rPr>
              <w:t>Volumes 01-08, 10-12 and future Volume 13 Terraform implementation</w:t>
            </w:r>
          </w:p>
        </w:tc>
      </w:tr>
      <w:tr>
        <w:tc>
          <w:tcPr>
            <w:tcW w:type="dxa" w:w="2268"/>
            <w:vAlign w:val="top"/>
          </w:tcPr>
          <w:p>
            <w:pPr>
              <w:spacing w:after="0"/>
            </w:pPr>
            <w:r>
              <w:rPr>
                <w:sz w:val="15"/>
              </w:rPr>
              <w:t>Scope</w:t>
            </w:r>
          </w:p>
        </w:tc>
        <w:tc>
          <w:tcPr>
            <w:tcW w:type="dxa" w:w="7370"/>
            <w:vAlign w:val="top"/>
          </w:tcPr>
          <w:p>
            <w:pPr>
              <w:spacing w:after="0"/>
            </w:pPr>
            <w:r>
              <w:rPr>
                <w:sz w:val="15"/>
              </w:rPr>
              <w:t>Source control, builds, artifacts, IaC/data/application delivery, testing, policy, supply-chain, promotion, rollback, audit and release metrics</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Guidance classes - </w:t>
            </w:r>
            <w:r>
              <w:t>Mandatory baseline controls require a time-bound approved exception. Recommended controls are enterprise defaults. Conditional controls apply when target, risk or regulation justifies them.</w:t>
            </w:r>
          </w:p>
        </w:tc>
        <w:trPr>
          <w:tblHeader/>
        </w:trPr>
      </w:tr>
    </w:tbl>
    <w:p>
      <w:pPr>
        <w:spacing w:after="0"/>
      </w:pPr>
    </w:p>
    <w:p>
      <w:r>
        <w:br w:type="page"/>
      </w:r>
    </w:p>
    <w:p>
      <w:pPr>
        <w:pStyle w:val="Heading1"/>
      </w:pPr>
      <w:r>
        <w:t>Table of Contents</w:t>
      </w:r>
    </w:p>
    <w:p>
      <w:r>
        <w:t>1. Executive Summary</w:t>
      </w:r>
    </w:p>
    <w:p>
      <w:r>
        <w:t>2. Inherited Context and Assumptions</w:t>
      </w:r>
    </w:p>
    <w:p>
      <w:r>
        <w:t>3. DevSecOps Strategy</w:t>
      </w:r>
    </w:p>
    <w:p>
      <w:r>
        <w:t>4. Operating Model and Responsibilities</w:t>
      </w:r>
    </w:p>
    <w:p>
      <w:r>
        <w:t>5. Source-control Strategy</w:t>
      </w:r>
    </w:p>
    <w:p>
      <w:r>
        <w:t>6. GitHub Architecture</w:t>
      </w:r>
    </w:p>
    <w:p>
      <w:r>
        <w:t>7. Repository Structure and Monorepo versus Multi-repo</w:t>
      </w:r>
    </w:p>
    <w:p>
      <w:r>
        <w:t>8. Branching, Versioning and Release Strategy</w:t>
      </w:r>
    </w:p>
    <w:p>
      <w:r>
        <w:t>9. Target CI/CD Architecture</w:t>
      </w:r>
    </w:p>
    <w:p>
      <w:r>
        <w:t>10. Cloud Build</w:t>
      </w:r>
    </w:p>
    <w:p>
      <w:r>
        <w:t>11. GitHub Actions</w:t>
      </w:r>
    </w:p>
    <w:p>
      <w:r>
        <w:t>12. Artifact Registry</w:t>
      </w:r>
    </w:p>
    <w:p>
      <w:r>
        <w:t>13. Cloud Deploy</w:t>
      </w:r>
    </w:p>
    <w:p>
      <w:r>
        <w:t>14. Terraform Pipelines</w:t>
      </w:r>
    </w:p>
    <w:p>
      <w:r>
        <w:t>15. Application Pipelines</w:t>
      </w:r>
    </w:p>
    <w:p>
      <w:r>
        <w:t>16. Dataform Pipelines</w:t>
      </w:r>
    </w:p>
    <w:p>
      <w:r>
        <w:t>17. Dataflow Pipelines</w:t>
      </w:r>
    </w:p>
    <w:p>
      <w:r>
        <w:t>18. Airflow Deployment</w:t>
      </w:r>
    </w:p>
    <w:p>
      <w:r>
        <w:t>19. BigQuery and Schema Deployment</w:t>
      </w:r>
    </w:p>
    <w:p>
      <w:r>
        <w:t>20. Policy-as-Code</w:t>
      </w:r>
    </w:p>
    <w:p>
      <w:r>
        <w:t>21. Security and Supply-chain Scanning</w:t>
      </w:r>
    </w:p>
    <w:p>
      <w:r>
        <w:t>22. Testing Strategy</w:t>
      </w:r>
    </w:p>
    <w:p>
      <w:r>
        <w:t>23. Environment Promotion</w:t>
      </w:r>
    </w:p>
    <w:p>
      <w:r>
        <w:t>24. Approval and Change Management</w:t>
      </w:r>
    </w:p>
    <w:p>
      <w:r>
        <w:t>25. Rollback, Blue-green and Canary</w:t>
      </w:r>
    </w:p>
    <w:p>
      <w:r>
        <w:t>26. Immutable Artifacts and SLSA Alignment</w:t>
      </w:r>
    </w:p>
    <w:p>
      <w:r>
        <w:t>27. Auditability, Monitoring and Release Metrics</w:t>
      </w:r>
    </w:p>
    <w:p>
      <w:r>
        <w:t>28. Service Assessments</w:t>
      </w:r>
    </w:p>
    <w:p>
      <w:r>
        <w:t>29. Architecture Decision Records</w:t>
      </w:r>
    </w:p>
    <w:p>
      <w:r>
        <w:t>30. Risks and Mitigations</w:t>
      </w:r>
    </w:p>
    <w:p>
      <w:r>
        <w:t>31. Implementation Roadmap</w:t>
      </w:r>
    </w:p>
    <w:p>
      <w:r>
        <w:t>32. Validation and Production Readiness</w:t>
      </w:r>
    </w:p>
    <w:p>
      <w:r>
        <w:t>33. Dependencies, Decisions and Next Actions</w:t>
      </w:r>
    </w:p>
    <w:p>
      <w:r>
        <w:t>34. References</w:t>
      </w:r>
    </w:p>
    <w:p>
      <w:r>
        <w:br w:type="page"/>
      </w:r>
    </w:p>
    <w:p>
      <w:pPr>
        <w:pStyle w:val="Heading1"/>
      </w:pPr>
      <w:r>
        <w:t>1. Executive Summary</w:t>
      </w:r>
    </w:p>
    <w:p>
      <w:r>
        <w:t>Volume 09 establishes a secure and auditable enterprise delivery system for infrastructure, applications, data pipelines, analytical models, schemas and policy. It preserves the inherited Zero Trust model by eliminating long-lived pipeline credentials, separating source, build, deploy and runtime identities, and requiring immutable artifacts and release evidence. It also preserves the SRE and DR model by treating verification and rollback as release gates rather than documentation tasks.</w:t>
      </w:r>
    </w:p>
    <w:p>
      <w:pPr>
        <w:pStyle w:val="ListBullet"/>
      </w:pPr>
      <w:r>
        <w:t>GitHub Enterprise is the source-control and collaboration platform; protected repositories, rulesets, CODEOWNERS and environments implement governance.</w:t>
      </w:r>
    </w:p>
    <w:p>
      <w:pPr>
        <w:pStyle w:val="ListBullet"/>
      </w:pPr>
      <w:r>
        <w:t>GitHub Actions provides repository-native orchestration. Workload Identity Federation exchanges GitHub OIDC identity for short-lived Google Cloud credentials.</w:t>
      </w:r>
    </w:p>
    <w:p>
      <w:pPr>
        <w:pStyle w:val="ListBullet"/>
      </w:pPr>
      <w:r>
        <w:t>Cloud Build provides trusted Google Cloud builds, private network access, provenance and artifact publication.</w:t>
      </w:r>
    </w:p>
    <w:p>
      <w:pPr>
        <w:pStyle w:val="ListBullet"/>
      </w:pPr>
      <w:r>
        <w:t>Artifact Registry is the artifact system of record with immutable digests/tags, vulnerability analysis and controlled cleanup.</w:t>
      </w:r>
    </w:p>
    <w:p>
      <w:pPr>
        <w:pStyle w:val="ListBullet"/>
      </w:pPr>
      <w:r>
        <w:t>Cloud Deploy is used for supported application targets. Terraform, Dataform, Dataflow, Airflow and BigQuery use dedicated release lanes because their rollback and state semantics differ.</w:t>
      </w:r>
    </w:p>
    <w:p>
      <w:pPr>
        <w:pStyle w:val="ListBullet"/>
      </w:pPr>
      <w:r>
        <w:t>Binary Authorization, Artifact Analysis and policy-as-code enforce supply-chain controls before and after deployment.</w:t>
      </w:r>
    </w:p>
    <w:p>
      <w:pPr>
        <w:jc w:val="center"/>
      </w:pPr>
      <w:r>
        <w:drawing>
          <wp:inline xmlns:a="http://schemas.openxmlformats.org/drawingml/2006/main" xmlns:pic="http://schemas.openxmlformats.org/drawingml/2006/picture">
            <wp:extent cx="6156000" cy="284774"/>
            <wp:docPr id="2" name="Picture 2" descr="Image: image1.png"/>
            <wp:cNvGraphicFramePr>
              <a:graphicFrameLocks noChangeAspect="1"/>
            </wp:cNvGraphicFramePr>
            <a:graphic>
              <a:graphicData uri="http://schemas.openxmlformats.org/drawingml/2006/picture">
                <pic:pic>
                  <pic:nvPicPr>
                    <pic:cNvPr id="0" name="01_devsecops_reference.png"/>
                    <pic:cNvPicPr/>
                  </pic:nvPicPr>
                  <pic:blipFill>
                    <a:blip r:embed="rId11"/>
                    <a:stretch>
                      <a:fillRect/>
                    </a:stretch>
                  </pic:blipFill>
                  <pic:spPr>
                    <a:xfrm>
                      <a:off x="0" y="0"/>
                      <a:ext cx="6156000" cy="284774"/>
                    </a:xfrm>
                    <a:prstGeom prst="rect"/>
                  </pic:spPr>
                </pic:pic>
              </a:graphicData>
            </a:graphic>
          </wp:inline>
        </w:drawing>
      </w:r>
    </w:p>
    <w:p>
      <w:pPr>
        <w:jc w:val="center"/>
      </w:pPr>
      <w:r>
        <w:rPr>
          <w:b/>
          <w:sz w:val="16"/>
        </w:rPr>
        <w:t>Figure 1-1. Enterprise DevSecOps architecture and control flow.</w:t>
      </w:r>
    </w:p>
    <w:p>
      <w:r>
        <w:br w:type="page"/>
      </w:r>
    </w:p>
    <w:p>
      <w:pPr>
        <w:pStyle w:val="Heading1"/>
      </w:pPr>
      <w:r>
        <w:t>2. Inherited Context and Assumptions</w:t>
      </w:r>
    </w:p>
    <w:p>
      <w:r>
        <w:t>The volume does not reopen platform, security, data, AI, FinOps, SRE or DR decisions. It applies them to software and data delivery.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5"/>
              </w:rPr>
              <w:t>Inherited dimension</w:t>
            </w:r>
          </w:p>
        </w:tc>
        <w:tc>
          <w:tcPr>
            <w:tcW w:type="dxa" w:w="5074"/>
            <w:shd w:fill="174EA6"/>
          </w:tcPr>
          <w:p>
            <w:pPr>
              <w:spacing w:after="0"/>
            </w:pPr>
            <w:r>
              <w:rPr>
                <w:b/>
                <w:color w:val="FFFFFF"/>
                <w:sz w:val="15"/>
              </w:rPr>
              <w:t>Volume 09 application</w:t>
            </w:r>
          </w:p>
        </w:tc>
      </w:tr>
      <w:tr>
        <w:tc>
          <w:tcPr>
            <w:tcW w:type="dxa" w:w="5074"/>
            <w:vAlign w:val="top"/>
          </w:tcPr>
          <w:p>
            <w:pPr>
              <w:spacing w:after="0"/>
            </w:pPr>
            <w:r>
              <w:rPr>
                <w:sz w:val="15"/>
              </w:rPr>
              <w:t>Fortune 100 scale</w:t>
            </w:r>
          </w:p>
        </w:tc>
        <w:tc>
          <w:tcPr>
            <w:tcW w:type="dxa" w:w="5074"/>
            <w:vAlign w:val="top"/>
          </w:tcPr>
          <w:p>
            <w:pPr>
              <w:spacing w:after="0"/>
            </w:pPr>
            <w:r>
              <w:rPr>
                <w:sz w:val="15"/>
              </w:rPr>
              <w:t>Golden workflows and federated repositories must support thousands of pipelines and products without one shared bottleneck.</w:t>
            </w:r>
          </w:p>
        </w:tc>
      </w:tr>
      <w:tr>
        <w:tc>
          <w:tcPr>
            <w:tcW w:type="dxa" w:w="5074"/>
            <w:shd w:fill="F7F8F9"/>
            <w:vAlign w:val="top"/>
          </w:tcPr>
          <w:p>
            <w:pPr>
              <w:spacing w:after="0"/>
            </w:pPr>
            <w:r>
              <w:rPr>
                <w:sz w:val="15"/>
              </w:rPr>
              <w:t>Regions</w:t>
            </w:r>
          </w:p>
        </w:tc>
        <w:tc>
          <w:tcPr>
            <w:tcW w:type="dxa" w:w="5074"/>
            <w:shd w:fill="F7F8F9"/>
            <w:vAlign w:val="top"/>
          </w:tcPr>
          <w:p>
            <w:pPr>
              <w:spacing w:after="0"/>
            </w:pPr>
            <w:r>
              <w:rPr>
                <w:sz w:val="15"/>
              </w:rPr>
              <w:t>Build, artifact and target resources align to AMER, EMEA and APAC data/residency boundaries.</w:t>
            </w:r>
          </w:p>
        </w:tc>
      </w:tr>
      <w:tr>
        <w:tc>
          <w:tcPr>
            <w:tcW w:type="dxa" w:w="5074"/>
            <w:vAlign w:val="top"/>
          </w:tcPr>
          <w:p>
            <w:pPr>
              <w:spacing w:after="0"/>
            </w:pPr>
            <w:r>
              <w:rPr>
                <w:sz w:val="15"/>
              </w:rPr>
              <w:t>Environments</w:t>
            </w:r>
          </w:p>
        </w:tc>
        <w:tc>
          <w:tcPr>
            <w:tcW w:type="dxa" w:w="5074"/>
            <w:vAlign w:val="top"/>
          </w:tcPr>
          <w:p>
            <w:pPr>
              <w:spacing w:after="0"/>
            </w:pPr>
            <w:r>
              <w:rPr>
                <w:sz w:val="15"/>
              </w:rPr>
              <w:t>Development, integration, test, staging and production use separate projects, identities, data and approvals.</w:t>
            </w:r>
          </w:p>
        </w:tc>
      </w:tr>
      <w:tr>
        <w:tc>
          <w:tcPr>
            <w:tcW w:type="dxa" w:w="5074"/>
            <w:shd w:fill="F7F8F9"/>
            <w:vAlign w:val="top"/>
          </w:tcPr>
          <w:p>
            <w:pPr>
              <w:spacing w:after="0"/>
            </w:pPr>
            <w:r>
              <w:rPr>
                <w:sz w:val="15"/>
              </w:rPr>
              <w:t>Security</w:t>
            </w:r>
          </w:p>
        </w:tc>
        <w:tc>
          <w:tcPr>
            <w:tcW w:type="dxa" w:w="5074"/>
            <w:shd w:fill="F7F8F9"/>
            <w:vAlign w:val="top"/>
          </w:tcPr>
          <w:p>
            <w:pPr>
              <w:spacing w:after="0"/>
            </w:pPr>
            <w:r>
              <w:rPr>
                <w:sz w:val="15"/>
              </w:rPr>
              <w:t>Group-based access, WIF, VPC Service Controls, private networking, selective CMEK, no service-account keys.</w:t>
            </w:r>
          </w:p>
        </w:tc>
      </w:tr>
      <w:tr>
        <w:tc>
          <w:tcPr>
            <w:tcW w:type="dxa" w:w="5074"/>
            <w:vAlign w:val="top"/>
          </w:tcPr>
          <w:p>
            <w:pPr>
              <w:spacing w:after="0"/>
            </w:pPr>
            <w:r>
              <w:rPr>
                <w:sz w:val="15"/>
              </w:rPr>
              <w:t>Data products</w:t>
            </w:r>
          </w:p>
        </w:tc>
        <w:tc>
          <w:tcPr>
            <w:tcW w:type="dxa" w:w="5074"/>
            <w:vAlign w:val="top"/>
          </w:tcPr>
          <w:p>
            <w:pPr>
              <w:spacing w:after="0"/>
            </w:pPr>
            <w:r>
              <w:rPr>
                <w:sz w:val="15"/>
              </w:rPr>
              <w:t>Domain teams own logic, tests and outcomes; platform teams own paved roads and mandatory controls.</w:t>
            </w:r>
          </w:p>
        </w:tc>
      </w:tr>
      <w:tr>
        <w:tc>
          <w:tcPr>
            <w:tcW w:type="dxa" w:w="5074"/>
            <w:shd w:fill="F7F8F9"/>
            <w:vAlign w:val="top"/>
          </w:tcPr>
          <w:p>
            <w:pPr>
              <w:spacing w:after="0"/>
            </w:pPr>
            <w:r>
              <w:rPr>
                <w:sz w:val="15"/>
              </w:rPr>
              <w:t>SRE</w:t>
            </w:r>
          </w:p>
        </w:tc>
        <w:tc>
          <w:tcPr>
            <w:tcW w:type="dxa" w:w="5074"/>
            <w:shd w:fill="F7F8F9"/>
            <w:vAlign w:val="top"/>
          </w:tcPr>
          <w:p>
            <w:pPr>
              <w:spacing w:after="0"/>
            </w:pPr>
            <w:r>
              <w:rPr>
                <w:sz w:val="15"/>
              </w:rPr>
              <w:t>Production release verification uses SLOs, business/data metrics, runbooks and tested rollback.</w:t>
            </w:r>
          </w:p>
        </w:tc>
      </w:tr>
      <w:tr>
        <w:tc>
          <w:tcPr>
            <w:tcW w:type="dxa" w:w="5074"/>
            <w:vAlign w:val="top"/>
          </w:tcPr>
          <w:p>
            <w:pPr>
              <w:spacing w:after="0"/>
            </w:pPr>
            <w:r>
              <w:rPr>
                <w:sz w:val="15"/>
              </w:rPr>
              <w:t>FinOps</w:t>
            </w:r>
          </w:p>
        </w:tc>
        <w:tc>
          <w:tcPr>
            <w:tcW w:type="dxa" w:w="5074"/>
            <w:vAlign w:val="top"/>
          </w:tcPr>
          <w:p>
            <w:pPr>
              <w:spacing w:after="0"/>
            </w:pPr>
            <w:r>
              <w:rPr>
                <w:sz w:val="15"/>
              </w:rPr>
              <w:t>Build, artifact, scanning and verification costs are labeled and attributed to product/domain.</w:t>
            </w:r>
          </w:p>
        </w:tc>
      </w:tr>
      <w:tr>
        <w:tc>
          <w:tcPr>
            <w:tcW w:type="dxa" w:w="5074"/>
            <w:shd w:fill="F7F8F9"/>
            <w:vAlign w:val="top"/>
          </w:tcPr>
          <w:p>
            <w:pPr>
              <w:spacing w:after="0"/>
            </w:pPr>
            <w:r>
              <w:rPr>
                <w:sz w:val="15"/>
              </w:rPr>
              <w:t>DR</w:t>
            </w:r>
          </w:p>
        </w:tc>
        <w:tc>
          <w:tcPr>
            <w:tcW w:type="dxa" w:w="5074"/>
            <w:shd w:fill="F7F8F9"/>
            <w:vAlign w:val="top"/>
          </w:tcPr>
          <w:p>
            <w:pPr>
              <w:spacing w:after="0"/>
            </w:pPr>
            <w:r>
              <w:rPr>
                <w:sz w:val="15"/>
              </w:rPr>
              <w:t>Source, release manifests, artifacts and configurations are recoverable and alternative build/deploy paths are tested.</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E6F4EA"/>
          </w:tcPr>
          <w:p>
            <w:r>
              <w:rPr>
                <w:b/>
                <w:color w:val="17365D"/>
              </w:rPr>
              <w:t xml:space="preserve">Confirmed requirement - </w:t>
            </w:r>
            <w:r>
              <w:t>Generate Volume 9 from scratch and do not resume or depend on the stalled execution.</w:t>
            </w:r>
          </w:p>
        </w:tc>
        <w:trPr>
          <w:tblHeader/>
        </w:trPr>
      </w:tr>
    </w:tbl>
    <w:p>
      <w:pPr>
        <w:spacing w:after="0"/>
      </w:pPr>
    </w:p>
    <w:p>
      <w:r>
        <w:br w:type="page"/>
      </w:r>
    </w:p>
    <w:p>
      <w:pPr>
        <w:pStyle w:val="Heading1"/>
      </w:pPr>
      <w:r>
        <w:t>3. DevSecOps Strategy</w:t>
      </w:r>
    </w:p>
    <w:p>
      <w:r>
        <w:t>The strategy makes secure delivery the default path. Control depth is proportional to workload risk, but the same identity, artifact and evidence model applies across every release lane.</w:t>
      </w:r>
    </w:p>
    <w:p>
      <w:pPr>
        <w:pStyle w:val="ListBullet"/>
      </w:pPr>
      <w:r>
        <w:t>Shift deterministic checks to developer and pull-request feedback; reserve independent approvals for changes with material risk.</w:t>
      </w:r>
    </w:p>
    <w:p>
      <w:pPr>
        <w:pStyle w:val="ListBullet"/>
      </w:pPr>
      <w:r>
        <w:t>Build once and promote the same digest or commit-derived release through every environment.</w:t>
      </w:r>
    </w:p>
    <w:p>
      <w:pPr>
        <w:pStyle w:val="ListBullet"/>
      </w:pPr>
      <w:r>
        <w:t>Use policy-as-code and standardized release manifests so evidence is machine-verifiable.</w:t>
      </w:r>
    </w:p>
    <w:p>
      <w:pPr>
        <w:pStyle w:val="ListBullet"/>
      </w:pPr>
      <w:r>
        <w:t>Treat pipeline code, schemas, prompts, dashboards and monitoring configuration as governed production assets.</w:t>
      </w:r>
    </w:p>
    <w:p>
      <w:pPr>
        <w:pStyle w:val="ListBullet"/>
      </w:pPr>
      <w:r>
        <w:t>Measure flow and stability together; do not optimize deployment frequency by weakening review, rollback or SLO gates.</w:t>
      </w:r>
    </w:p>
    <w:p>
      <w:pPr>
        <w:pStyle w:val="ListBullet"/>
      </w:pPr>
      <w:r>
        <w:t>Continuously validate runtime conformance and dependency/artifact lifecycle after deployment.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5"/>
              </w:rPr>
              <w:t>Strategic outcome</w:t>
            </w:r>
          </w:p>
        </w:tc>
        <w:tc>
          <w:tcPr>
            <w:tcW w:type="dxa" w:w="5074"/>
            <w:shd w:fill="174EA6"/>
          </w:tcPr>
          <w:p>
            <w:pPr>
              <w:spacing w:after="0"/>
            </w:pPr>
            <w:r>
              <w:rPr>
                <w:b/>
                <w:color w:val="FFFFFF"/>
                <w:sz w:val="15"/>
              </w:rPr>
              <w:t>Target evidence</w:t>
            </w:r>
          </w:p>
        </w:tc>
      </w:tr>
      <w:tr>
        <w:tc>
          <w:tcPr>
            <w:tcW w:type="dxa" w:w="5074"/>
            <w:vAlign w:val="top"/>
          </w:tcPr>
          <w:p>
            <w:pPr>
              <w:spacing w:after="0"/>
            </w:pPr>
            <w:r>
              <w:rPr>
                <w:sz w:val="15"/>
              </w:rPr>
              <w:t>Keyless delivery</w:t>
            </w:r>
          </w:p>
        </w:tc>
        <w:tc>
          <w:tcPr>
            <w:tcW w:type="dxa" w:w="5074"/>
            <w:vAlign w:val="top"/>
          </w:tcPr>
          <w:p>
            <w:pPr>
              <w:spacing w:after="0"/>
            </w:pPr>
            <w:r>
              <w:rPr>
                <w:sz w:val="15"/>
              </w:rPr>
              <w:t>100% external CI/CD access uses WIF/short-lived credentials</w:t>
            </w:r>
          </w:p>
        </w:tc>
      </w:tr>
      <w:tr>
        <w:tc>
          <w:tcPr>
            <w:tcW w:type="dxa" w:w="5074"/>
            <w:shd w:fill="F7F8F9"/>
            <w:vAlign w:val="top"/>
          </w:tcPr>
          <w:p>
            <w:pPr>
              <w:spacing w:after="0"/>
            </w:pPr>
            <w:r>
              <w:rPr>
                <w:sz w:val="15"/>
              </w:rPr>
              <w:t>Artifact integrity</w:t>
            </w:r>
          </w:p>
        </w:tc>
        <w:tc>
          <w:tcPr>
            <w:tcW w:type="dxa" w:w="5074"/>
            <w:shd w:fill="F7F8F9"/>
            <w:vAlign w:val="top"/>
          </w:tcPr>
          <w:p>
            <w:pPr>
              <w:spacing w:after="0"/>
            </w:pPr>
            <w:r>
              <w:rPr>
                <w:sz w:val="15"/>
              </w:rPr>
              <w:t>100% production artifacts are digest-addressed and linked to provenance</w:t>
            </w:r>
          </w:p>
        </w:tc>
      </w:tr>
      <w:tr>
        <w:tc>
          <w:tcPr>
            <w:tcW w:type="dxa" w:w="5074"/>
            <w:vAlign w:val="top"/>
          </w:tcPr>
          <w:p>
            <w:pPr>
              <w:spacing w:after="0"/>
            </w:pPr>
            <w:r>
              <w:rPr>
                <w:sz w:val="15"/>
              </w:rPr>
              <w:t>Automated assurance</w:t>
            </w:r>
          </w:p>
        </w:tc>
        <w:tc>
          <w:tcPr>
            <w:tcW w:type="dxa" w:w="5074"/>
            <w:vAlign w:val="top"/>
          </w:tcPr>
          <w:p>
            <w:pPr>
              <w:spacing w:after="0"/>
            </w:pPr>
            <w:r>
              <w:rPr>
                <w:sz w:val="15"/>
              </w:rPr>
              <w:t>Mandatory scans/policies run before merge/build/deploy</w:t>
            </w:r>
          </w:p>
        </w:tc>
      </w:tr>
      <w:tr>
        <w:tc>
          <w:tcPr>
            <w:tcW w:type="dxa" w:w="5074"/>
            <w:shd w:fill="F7F8F9"/>
            <w:vAlign w:val="top"/>
          </w:tcPr>
          <w:p>
            <w:pPr>
              <w:spacing w:after="0"/>
            </w:pPr>
            <w:r>
              <w:rPr>
                <w:sz w:val="15"/>
              </w:rPr>
              <w:t>Safe promotion</w:t>
            </w:r>
          </w:p>
        </w:tc>
        <w:tc>
          <w:tcPr>
            <w:tcW w:type="dxa" w:w="5074"/>
            <w:shd w:fill="F7F8F9"/>
            <w:vAlign w:val="top"/>
          </w:tcPr>
          <w:p>
            <w:pPr>
              <w:spacing w:after="0"/>
            </w:pPr>
            <w:r>
              <w:rPr>
                <w:sz w:val="15"/>
              </w:rPr>
              <w:t>Same artifact verified in lower environments and independently approved</w:t>
            </w:r>
          </w:p>
        </w:tc>
      </w:tr>
      <w:tr>
        <w:tc>
          <w:tcPr>
            <w:tcW w:type="dxa" w:w="5074"/>
            <w:vAlign w:val="top"/>
          </w:tcPr>
          <w:p>
            <w:pPr>
              <w:spacing w:after="0"/>
            </w:pPr>
            <w:r>
              <w:rPr>
                <w:sz w:val="15"/>
              </w:rPr>
              <w:t>Recoverability</w:t>
            </w:r>
          </w:p>
        </w:tc>
        <w:tc>
          <w:tcPr>
            <w:tcW w:type="dxa" w:w="5074"/>
            <w:vAlign w:val="top"/>
          </w:tcPr>
          <w:p>
            <w:pPr>
              <w:spacing w:after="0"/>
            </w:pPr>
            <w:r>
              <w:rPr>
                <w:sz w:val="15"/>
              </w:rPr>
              <w:t>Every production release records known-good rollback and service-specific procedure</w:t>
            </w:r>
          </w:p>
        </w:tc>
      </w:tr>
      <w:tr>
        <w:tc>
          <w:tcPr>
            <w:tcW w:type="dxa" w:w="5074"/>
            <w:shd w:fill="F7F8F9"/>
            <w:vAlign w:val="top"/>
          </w:tcPr>
          <w:p>
            <w:pPr>
              <w:spacing w:after="0"/>
            </w:pPr>
            <w:r>
              <w:rPr>
                <w:sz w:val="15"/>
              </w:rPr>
              <w:t>Auditability</w:t>
            </w:r>
          </w:p>
        </w:tc>
        <w:tc>
          <w:tcPr>
            <w:tcW w:type="dxa" w:w="5074"/>
            <w:shd w:fill="F7F8F9"/>
            <w:vAlign w:val="top"/>
          </w:tcPr>
          <w:p>
            <w:pPr>
              <w:spacing w:after="0"/>
            </w:pPr>
            <w:r>
              <w:rPr>
                <w:sz w:val="15"/>
              </w:rPr>
              <w:t>Commit, workflow, build, artifact, approval, deployment and telemetry are linked</w:t>
            </w:r>
          </w:p>
        </w:tc>
      </w:tr>
    </w:tbl>
    <w:p>
      <w:pPr>
        <w:spacing w:after="0"/>
      </w:pPr>
    </w:p>
    <w:p>
      <w:r>
        <w:br w:type="page"/>
      </w:r>
    </w:p>
    <w:p>
      <w:pPr>
        <w:pStyle w:val="Heading1"/>
      </w:pPr>
      <w:r>
        <w:t>4. Operating Model and Responsibilities</w:t>
      </w:r>
    </w:p>
    <w:p>
      <w:r>
        <w:t>The operating model separates platform engineering, product delivery, security policy, SRE and change approval. Central teams provide paved roads; product teams retain accountability for functionality, data quality and business outcomes.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5"/>
              </w:rPr>
              <w:t>Role</w:t>
            </w:r>
          </w:p>
        </w:tc>
        <w:tc>
          <w:tcPr>
            <w:tcW w:type="dxa" w:w="5074"/>
            <w:shd w:fill="174EA6"/>
          </w:tcPr>
          <w:p>
            <w:pPr>
              <w:spacing w:after="0"/>
            </w:pPr>
            <w:r>
              <w:rPr>
                <w:b/>
                <w:color w:val="FFFFFF"/>
                <w:sz w:val="15"/>
              </w:rPr>
              <w:t>Accountability</w:t>
            </w:r>
          </w:p>
        </w:tc>
      </w:tr>
      <w:tr>
        <w:tc>
          <w:tcPr>
            <w:tcW w:type="dxa" w:w="5074"/>
            <w:vAlign w:val="top"/>
          </w:tcPr>
          <w:p>
            <w:pPr>
              <w:spacing w:after="0"/>
            </w:pPr>
            <w:r>
              <w:rPr>
                <w:sz w:val="15"/>
              </w:rPr>
              <w:t>Enterprise DevSecOps platform</w:t>
            </w:r>
          </w:p>
        </w:tc>
        <w:tc>
          <w:tcPr>
            <w:tcW w:type="dxa" w:w="5074"/>
            <w:vAlign w:val="top"/>
          </w:tcPr>
          <w:p>
            <w:pPr>
              <w:spacing w:after="0"/>
            </w:pPr>
            <w:r>
              <w:rPr>
                <w:sz w:val="15"/>
              </w:rPr>
              <w:t>GitHub organization standards, golden workflows, build pools, artifact repositories, release manifest and support</w:t>
            </w:r>
          </w:p>
        </w:tc>
      </w:tr>
      <w:tr>
        <w:tc>
          <w:tcPr>
            <w:tcW w:type="dxa" w:w="5074"/>
            <w:shd w:fill="F7F8F9"/>
            <w:vAlign w:val="top"/>
          </w:tcPr>
          <w:p>
            <w:pPr>
              <w:spacing w:after="0"/>
            </w:pPr>
            <w:r>
              <w:rPr>
                <w:sz w:val="15"/>
              </w:rPr>
              <w:t>Product/domain team</w:t>
            </w:r>
          </w:p>
        </w:tc>
        <w:tc>
          <w:tcPr>
            <w:tcW w:type="dxa" w:w="5074"/>
            <w:shd w:fill="F7F8F9"/>
            <w:vAlign w:val="top"/>
          </w:tcPr>
          <w:p>
            <w:pPr>
              <w:spacing w:after="0"/>
            </w:pPr>
            <w:r>
              <w:rPr>
                <w:sz w:val="15"/>
              </w:rPr>
              <w:t>Source code, tests, contracts, release notes, service ownership and business acceptance</w:t>
            </w:r>
          </w:p>
        </w:tc>
      </w:tr>
      <w:tr>
        <w:tc>
          <w:tcPr>
            <w:tcW w:type="dxa" w:w="5074"/>
            <w:vAlign w:val="top"/>
          </w:tcPr>
          <w:p>
            <w:pPr>
              <w:spacing w:after="0"/>
            </w:pPr>
            <w:r>
              <w:rPr>
                <w:sz w:val="15"/>
              </w:rPr>
              <w:t>Security engineering</w:t>
            </w:r>
          </w:p>
        </w:tc>
        <w:tc>
          <w:tcPr>
            <w:tcW w:type="dxa" w:w="5074"/>
            <w:vAlign w:val="top"/>
          </w:tcPr>
          <w:p>
            <w:pPr>
              <w:spacing w:after="0"/>
            </w:pPr>
            <w:r>
              <w:rPr>
                <w:sz w:val="15"/>
              </w:rPr>
              <w:t>Policy library, vulnerability/secrets thresholds, Binary Authorization and exceptions</w:t>
            </w:r>
          </w:p>
        </w:tc>
      </w:tr>
      <w:tr>
        <w:tc>
          <w:tcPr>
            <w:tcW w:type="dxa" w:w="5074"/>
            <w:shd w:fill="F7F8F9"/>
            <w:vAlign w:val="top"/>
          </w:tcPr>
          <w:p>
            <w:pPr>
              <w:spacing w:after="0"/>
            </w:pPr>
            <w:r>
              <w:rPr>
                <w:sz w:val="15"/>
              </w:rPr>
              <w:t>SRE</w:t>
            </w:r>
          </w:p>
        </w:tc>
        <w:tc>
          <w:tcPr>
            <w:tcW w:type="dxa" w:w="5074"/>
            <w:shd w:fill="F7F8F9"/>
            <w:vAlign w:val="top"/>
          </w:tcPr>
          <w:p>
            <w:pPr>
              <w:spacing w:after="0"/>
            </w:pPr>
            <w:r>
              <w:rPr>
                <w:sz w:val="15"/>
              </w:rPr>
              <w:t>Operational readiness, deployment monitoring, canary criteria, incident and rollback practice</w:t>
            </w:r>
          </w:p>
        </w:tc>
      </w:tr>
      <w:tr>
        <w:tc>
          <w:tcPr>
            <w:tcW w:type="dxa" w:w="5074"/>
            <w:vAlign w:val="top"/>
          </w:tcPr>
          <w:p>
            <w:pPr>
              <w:spacing w:after="0"/>
            </w:pPr>
            <w:r>
              <w:rPr>
                <w:sz w:val="15"/>
              </w:rPr>
              <w:t>Change approver</w:t>
            </w:r>
          </w:p>
        </w:tc>
        <w:tc>
          <w:tcPr>
            <w:tcW w:type="dxa" w:w="5074"/>
            <w:vAlign w:val="top"/>
          </w:tcPr>
          <w:p>
            <w:pPr>
              <w:spacing w:after="0"/>
            </w:pPr>
            <w:r>
              <w:rPr>
                <w:sz w:val="15"/>
              </w:rPr>
              <w:t>Independent production decision according to risk class</w:t>
            </w:r>
          </w:p>
        </w:tc>
      </w:tr>
      <w:tr>
        <w:tc>
          <w:tcPr>
            <w:tcW w:type="dxa" w:w="5074"/>
            <w:shd w:fill="F7F8F9"/>
            <w:vAlign w:val="top"/>
          </w:tcPr>
          <w:p>
            <w:pPr>
              <w:spacing w:after="0"/>
            </w:pPr>
            <w:r>
              <w:rPr>
                <w:sz w:val="15"/>
              </w:rPr>
              <w:t>Audit/risk</w:t>
            </w:r>
          </w:p>
        </w:tc>
        <w:tc>
          <w:tcPr>
            <w:tcW w:type="dxa" w:w="5074"/>
            <w:shd w:fill="F7F8F9"/>
            <w:vAlign w:val="top"/>
          </w:tcPr>
          <w:p>
            <w:pPr>
              <w:spacing w:after="0"/>
            </w:pPr>
            <w:r>
              <w:rPr>
                <w:sz w:val="15"/>
              </w:rPr>
              <w:t>Control evidence, exception review and periodic assurance</w:t>
            </w:r>
          </w:p>
        </w:tc>
      </w:tr>
      <w:tr>
        <w:tc>
          <w:tcPr>
            <w:tcW w:type="dxa" w:w="5074"/>
            <w:vAlign w:val="top"/>
          </w:tcPr>
          <w:p>
            <w:pPr>
              <w:spacing w:after="0"/>
            </w:pPr>
            <w:r>
              <w:rPr>
                <w:sz w:val="15"/>
              </w:rPr>
              <w:t>FinOps</w:t>
            </w:r>
          </w:p>
        </w:tc>
        <w:tc>
          <w:tcPr>
            <w:tcW w:type="dxa" w:w="5074"/>
            <w:vAlign w:val="top"/>
          </w:tcPr>
          <w:p>
            <w:pPr>
              <w:spacing w:after="0"/>
            </w:pPr>
            <w:r>
              <w:rPr>
                <w:sz w:val="15"/>
              </w:rPr>
              <w:t>Build/artifact/scanning cost allocation and optimization</w:t>
            </w:r>
          </w:p>
        </w:tc>
      </w:tr>
    </w:tbl>
    <w:p>
      <w:pPr>
        <w:spacing w:after="0"/>
      </w:pPr>
    </w:p>
    <w:p>
      <w:r>
        <w:br w:type="page"/>
      </w:r>
    </w:p>
    <w:p>
      <w:pPr>
        <w:pStyle w:val="Heading1"/>
      </w:pPr>
      <w:r>
        <w:t>5. Source-control Strategy</w:t>
      </w:r>
    </w:p>
    <w:p>
      <w:r>
        <w:t>Source control is the authoritative record for human-readable code, configuration, schemas, policies and deployment declarations. Generated artifacts and secrets are stored elsewhere.</w:t>
      </w:r>
    </w:p>
    <w:p>
      <w:pPr>
        <w:pStyle w:val="ListBullet"/>
      </w:pPr>
      <w:r>
        <w:t>Enterprise SSO, MFA, least privilege and lifecycle automation govern organization membership.</w:t>
      </w:r>
    </w:p>
    <w:p>
      <w:pPr>
        <w:pStyle w:val="ListBullet"/>
      </w:pPr>
      <w:r>
        <w:t>Repositories use visibility, fork and external-collaborator policies aligned to classification.</w:t>
      </w:r>
    </w:p>
    <w:p>
      <w:pPr>
        <w:pStyle w:val="ListBullet"/>
      </w:pPr>
      <w:r>
        <w:t>Rulesets protect default and release branches; required checks cannot be bypassed by normal developers.</w:t>
      </w:r>
    </w:p>
    <w:p>
      <w:pPr>
        <w:pStyle w:val="ListBullet"/>
      </w:pPr>
      <w:r>
        <w:t>CODEOWNERS assigns platform, security, data-steward and domain review by path.</w:t>
      </w:r>
    </w:p>
    <w:p>
      <w:pPr>
        <w:pStyle w:val="ListBullet"/>
      </w:pPr>
      <w:r>
        <w:t>Repository templates establish issue, pull request, security, dependency and release conventions.</w:t>
      </w:r>
    </w:p>
    <w:p>
      <w:pPr>
        <w:pStyle w:val="ListBullet"/>
      </w:pPr>
      <w:r>
        <w:t>GitHub audit events are exported to the enterprise SIEM and correlated with Google Cloud audit logs.</w:t>
      </w:r>
    </w:p>
    <w:p>
      <w:r>
        <w:br w:type="page"/>
      </w:r>
    </w:p>
    <w:p>
      <w:pPr>
        <w:pStyle w:val="Heading1"/>
      </w:pPr>
      <w:r>
        <w:t>6. GitHub Architecture</w:t>
      </w:r>
    </w:p>
    <w:p>
      <w:r>
        <w:t>GitHub Enterprise organizations are segmented by enterprise platform, shared capabilities and regulated business domains. GitHub is outside Google Cloud service perimeters, so access into Google Cloud is limited to OIDC federation and explicit APIs.</w:t>
      </w:r>
    </w:p>
    <w:p>
      <w:pPr>
        <w:jc w:val="center"/>
      </w:pPr>
      <w:r>
        <w:drawing>
          <wp:inline xmlns:a="http://schemas.openxmlformats.org/drawingml/2006/main" xmlns:pic="http://schemas.openxmlformats.org/drawingml/2006/picture">
            <wp:extent cx="6156000" cy="776262"/>
            <wp:docPr id="3" name="Picture 3" descr="Image: image2.png"/>
            <wp:cNvGraphicFramePr>
              <a:graphicFrameLocks noChangeAspect="1"/>
            </wp:cNvGraphicFramePr>
            <a:graphic>
              <a:graphicData uri="http://schemas.openxmlformats.org/drawingml/2006/picture">
                <pic:pic>
                  <pic:nvPicPr>
                    <pic:cNvPr id="0" name="02_github_cloudbuild_federation.png"/>
                    <pic:cNvPicPr/>
                  </pic:nvPicPr>
                  <pic:blipFill>
                    <a:blip r:embed="rId12"/>
                    <a:stretch>
                      <a:fillRect/>
                    </a:stretch>
                  </pic:blipFill>
                  <pic:spPr>
                    <a:xfrm>
                      <a:off x="0" y="0"/>
                      <a:ext cx="6156000" cy="776262"/>
                    </a:xfrm>
                    <a:prstGeom prst="rect"/>
                  </pic:spPr>
                </pic:pic>
              </a:graphicData>
            </a:graphic>
          </wp:inline>
        </w:drawing>
      </w:r>
    </w:p>
    <w:p>
      <w:pPr>
        <w:jc w:val="center"/>
      </w:pPr>
      <w:r>
        <w:rPr>
          <w:b/>
          <w:sz w:val="16"/>
        </w:rPr>
        <w:t>Figure 6-1. Keyless GitHub-to-Google Cloud build path using OIDC and Workload Identity Federation.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5"/>
              </w:rPr>
              <w:t>Control</w:t>
            </w:r>
          </w:p>
        </w:tc>
        <w:tc>
          <w:tcPr>
            <w:tcW w:type="dxa" w:w="5074"/>
            <w:shd w:fill="174EA6"/>
          </w:tcPr>
          <w:p>
            <w:pPr>
              <w:spacing w:after="0"/>
            </w:pPr>
            <w:r>
              <w:rPr>
                <w:b/>
                <w:color w:val="FFFFFF"/>
                <w:sz w:val="15"/>
              </w:rPr>
              <w:t>Standard</w:t>
            </w:r>
          </w:p>
        </w:tc>
      </w:tr>
      <w:tr>
        <w:tc>
          <w:tcPr>
            <w:tcW w:type="dxa" w:w="5074"/>
            <w:vAlign w:val="top"/>
          </w:tcPr>
          <w:p>
            <w:pPr>
              <w:spacing w:after="0"/>
            </w:pPr>
            <w:r>
              <w:rPr>
                <w:sz w:val="15"/>
              </w:rPr>
              <w:t>Organization ownership</w:t>
            </w:r>
          </w:p>
        </w:tc>
        <w:tc>
          <w:tcPr>
            <w:tcW w:type="dxa" w:w="5074"/>
            <w:vAlign w:val="top"/>
          </w:tcPr>
          <w:p>
            <w:pPr>
              <w:spacing w:after="0"/>
            </w:pPr>
            <w:r>
              <w:rPr>
                <w:sz w:val="15"/>
              </w:rPr>
              <w:t>Enterprise-managed owners; no personal production ownership</w:t>
            </w:r>
          </w:p>
        </w:tc>
      </w:tr>
      <w:tr>
        <w:tc>
          <w:tcPr>
            <w:tcW w:type="dxa" w:w="5074"/>
            <w:shd w:fill="F7F8F9"/>
            <w:vAlign w:val="top"/>
          </w:tcPr>
          <w:p>
            <w:pPr>
              <w:spacing w:after="0"/>
            </w:pPr>
            <w:r>
              <w:rPr>
                <w:sz w:val="15"/>
              </w:rPr>
              <w:t>Repository administration</w:t>
            </w:r>
          </w:p>
        </w:tc>
        <w:tc>
          <w:tcPr>
            <w:tcW w:type="dxa" w:w="5074"/>
            <w:shd w:fill="F7F8F9"/>
            <w:vAlign w:val="top"/>
          </w:tcPr>
          <w:p>
            <w:pPr>
              <w:spacing w:after="0"/>
            </w:pPr>
            <w:r>
              <w:rPr>
                <w:sz w:val="15"/>
              </w:rPr>
              <w:t>Platform/product admin groups separate from code approvers</w:t>
            </w:r>
          </w:p>
        </w:tc>
      </w:tr>
      <w:tr>
        <w:tc>
          <w:tcPr>
            <w:tcW w:type="dxa" w:w="5074"/>
            <w:vAlign w:val="top"/>
          </w:tcPr>
          <w:p>
            <w:pPr>
              <w:spacing w:after="0"/>
            </w:pPr>
            <w:r>
              <w:rPr>
                <w:sz w:val="15"/>
              </w:rPr>
              <w:t>Actions</w:t>
            </w:r>
          </w:p>
        </w:tc>
        <w:tc>
          <w:tcPr>
            <w:tcW w:type="dxa" w:w="5074"/>
            <w:vAlign w:val="top"/>
          </w:tcPr>
          <w:p>
            <w:pPr>
              <w:spacing w:after="0"/>
            </w:pPr>
            <w:r>
              <w:rPr>
                <w:sz w:val="15"/>
              </w:rPr>
              <w:t>Allowlisted actions; pin third-party actions by full commit SHA in production</w:t>
            </w:r>
          </w:p>
        </w:tc>
      </w:tr>
      <w:tr>
        <w:tc>
          <w:tcPr>
            <w:tcW w:type="dxa" w:w="5074"/>
            <w:shd w:fill="F7F8F9"/>
            <w:vAlign w:val="top"/>
          </w:tcPr>
          <w:p>
            <w:pPr>
              <w:spacing w:after="0"/>
            </w:pPr>
            <w:r>
              <w:rPr>
                <w:sz w:val="15"/>
              </w:rPr>
              <w:t>OIDC claims</w:t>
            </w:r>
          </w:p>
        </w:tc>
        <w:tc>
          <w:tcPr>
            <w:tcW w:type="dxa" w:w="5074"/>
            <w:shd w:fill="F7F8F9"/>
            <w:vAlign w:val="top"/>
          </w:tcPr>
          <w:p>
            <w:pPr>
              <w:spacing w:after="0"/>
            </w:pPr>
            <w:r>
              <w:rPr>
                <w:sz w:val="15"/>
              </w:rPr>
              <w:t>Restrict organization, repository, ref, reusable workflow and environment</w:t>
            </w:r>
          </w:p>
        </w:tc>
      </w:tr>
      <w:tr>
        <w:tc>
          <w:tcPr>
            <w:tcW w:type="dxa" w:w="5074"/>
            <w:vAlign w:val="top"/>
          </w:tcPr>
          <w:p>
            <w:pPr>
              <w:spacing w:after="0"/>
            </w:pPr>
            <w:r>
              <w:rPr>
                <w:sz w:val="15"/>
              </w:rPr>
              <w:t>Environments</w:t>
            </w:r>
          </w:p>
        </w:tc>
        <w:tc>
          <w:tcPr>
            <w:tcW w:type="dxa" w:w="5074"/>
            <w:vAlign w:val="top"/>
          </w:tcPr>
          <w:p>
            <w:pPr>
              <w:spacing w:after="0"/>
            </w:pPr>
            <w:r>
              <w:rPr>
                <w:sz w:val="15"/>
              </w:rPr>
              <w:t>Protection rules for staging and production with named approvers</w:t>
            </w:r>
          </w:p>
        </w:tc>
      </w:tr>
      <w:tr>
        <w:tc>
          <w:tcPr>
            <w:tcW w:type="dxa" w:w="5074"/>
            <w:shd w:fill="F7F8F9"/>
            <w:vAlign w:val="top"/>
          </w:tcPr>
          <w:p>
            <w:pPr>
              <w:spacing w:after="0"/>
            </w:pPr>
            <w:r>
              <w:rPr>
                <w:sz w:val="15"/>
              </w:rPr>
              <w:t>Secrets</w:t>
            </w:r>
          </w:p>
        </w:tc>
        <w:tc>
          <w:tcPr>
            <w:tcW w:type="dxa" w:w="5074"/>
            <w:shd w:fill="F7F8F9"/>
            <w:vAlign w:val="top"/>
          </w:tcPr>
          <w:p>
            <w:pPr>
              <w:spacing w:after="0"/>
            </w:pPr>
            <w:r>
              <w:rPr>
                <w:sz w:val="15"/>
              </w:rPr>
              <w:t>Prefer OIDC/WIF; use GitHub secrets only for non-Google unavoidable credentials with rotation</w:t>
            </w:r>
          </w:p>
        </w:tc>
      </w:tr>
      <w:tr>
        <w:tc>
          <w:tcPr>
            <w:tcW w:type="dxa" w:w="5074"/>
            <w:vAlign w:val="top"/>
          </w:tcPr>
          <w:p>
            <w:pPr>
              <w:spacing w:after="0"/>
            </w:pPr>
            <w:r>
              <w:rPr>
                <w:sz w:val="15"/>
              </w:rPr>
              <w:t>Audit</w:t>
            </w:r>
          </w:p>
        </w:tc>
        <w:tc>
          <w:tcPr>
            <w:tcW w:type="dxa" w:w="5074"/>
            <w:vAlign w:val="top"/>
          </w:tcPr>
          <w:p>
            <w:pPr>
              <w:spacing w:after="0"/>
            </w:pPr>
            <w:r>
              <w:rPr>
                <w:sz w:val="15"/>
              </w:rPr>
              <w:t>Enterprise audit streaming, webhook integrity and retention</w:t>
            </w:r>
          </w:p>
        </w:tc>
      </w:tr>
    </w:tbl>
    <w:p>
      <w:pPr>
        <w:spacing w:after="0"/>
      </w:pPr>
    </w:p>
    <w:p>
      <w:r>
        <w:br w:type="page"/>
      </w:r>
    </w:p>
    <w:p>
      <w:pPr>
        <w:pStyle w:val="Heading1"/>
      </w:pPr>
      <w:r>
        <w:t>7. Repository Structure and Monorepo versus Multi-repo</w:t>
      </w:r>
    </w:p>
    <w:p>
      <w:r>
        <w:t>The default is a federated multi-repository model aligned to product ownership and release boundaries. A monorepo is approved when teams share one ownership, dependency graph and release model and can control blast radius with path-based policies.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5"/>
              </w:rPr>
              <w:t>Repository type</w:t>
            </w:r>
          </w:p>
        </w:tc>
        <w:tc>
          <w:tcPr>
            <w:tcW w:type="dxa" w:w="2537"/>
            <w:shd w:fill="174EA6"/>
          </w:tcPr>
          <w:p>
            <w:pPr>
              <w:spacing w:after="0"/>
            </w:pPr>
            <w:r>
              <w:rPr>
                <w:b/>
                <w:color w:val="FFFFFF"/>
                <w:sz w:val="15"/>
              </w:rPr>
              <w:t>Contents</w:t>
            </w:r>
          </w:p>
        </w:tc>
        <w:tc>
          <w:tcPr>
            <w:tcW w:type="dxa" w:w="2537"/>
            <w:shd w:fill="174EA6"/>
          </w:tcPr>
          <w:p>
            <w:pPr>
              <w:spacing w:after="0"/>
            </w:pPr>
            <w:r>
              <w:rPr>
                <w:b/>
                <w:color w:val="FFFFFF"/>
                <w:sz w:val="15"/>
              </w:rPr>
              <w:t>Owner</w:t>
            </w:r>
          </w:p>
        </w:tc>
        <w:tc>
          <w:tcPr>
            <w:tcW w:type="dxa" w:w="2537"/>
            <w:shd w:fill="174EA6"/>
          </w:tcPr>
          <w:p>
            <w:pPr>
              <w:spacing w:after="0"/>
            </w:pPr>
            <w:r>
              <w:rPr>
                <w:b/>
                <w:color w:val="FFFFFF"/>
                <w:sz w:val="15"/>
              </w:rPr>
              <w:t>Release boundary</w:t>
            </w:r>
          </w:p>
        </w:tc>
      </w:tr>
      <w:tr>
        <w:tc>
          <w:tcPr>
            <w:tcW w:type="dxa" w:w="2537"/>
            <w:vAlign w:val="top"/>
          </w:tcPr>
          <w:p>
            <w:pPr>
              <w:spacing w:after="0"/>
            </w:pPr>
            <w:r>
              <w:rPr>
                <w:sz w:val="15"/>
              </w:rPr>
              <w:t>platform-foundation</w:t>
            </w:r>
          </w:p>
        </w:tc>
        <w:tc>
          <w:tcPr>
            <w:tcW w:type="dxa" w:w="2537"/>
            <w:vAlign w:val="top"/>
          </w:tcPr>
          <w:p>
            <w:pPr>
              <w:spacing w:after="0"/>
            </w:pPr>
            <w:r>
              <w:rPr>
                <w:sz w:val="15"/>
              </w:rPr>
              <w:t>Root Terraform and organization policy</w:t>
            </w:r>
          </w:p>
        </w:tc>
        <w:tc>
          <w:tcPr>
            <w:tcW w:type="dxa" w:w="2537"/>
            <w:vAlign w:val="top"/>
          </w:tcPr>
          <w:p>
            <w:pPr>
              <w:spacing w:after="0"/>
            </w:pPr>
            <w:r>
              <w:rPr>
                <w:sz w:val="15"/>
              </w:rPr>
              <w:t>Central platform</w:t>
            </w:r>
          </w:p>
        </w:tc>
        <w:tc>
          <w:tcPr>
            <w:tcW w:type="dxa" w:w="2537"/>
            <w:vAlign w:val="top"/>
          </w:tcPr>
          <w:p>
            <w:pPr>
              <w:spacing w:after="0"/>
            </w:pPr>
            <w:r>
              <w:rPr>
                <w:sz w:val="15"/>
              </w:rPr>
              <w:t>foundation wave</w:t>
            </w:r>
          </w:p>
        </w:tc>
      </w:tr>
      <w:tr>
        <w:tc>
          <w:tcPr>
            <w:tcW w:type="dxa" w:w="2537"/>
            <w:shd w:fill="F7F8F9"/>
            <w:vAlign w:val="top"/>
          </w:tcPr>
          <w:p>
            <w:pPr>
              <w:spacing w:after="0"/>
            </w:pPr>
            <w:r>
              <w:rPr>
                <w:sz w:val="15"/>
              </w:rPr>
              <w:t>golden-modules</w:t>
            </w:r>
          </w:p>
        </w:tc>
        <w:tc>
          <w:tcPr>
            <w:tcW w:type="dxa" w:w="2537"/>
            <w:shd w:fill="F7F8F9"/>
            <w:vAlign w:val="top"/>
          </w:tcPr>
          <w:p>
            <w:pPr>
              <w:spacing w:after="0"/>
            </w:pPr>
            <w:r>
              <w:rPr>
                <w:sz w:val="15"/>
              </w:rPr>
              <w:t>Reusable IaC/build/deploy modules</w:t>
            </w:r>
          </w:p>
        </w:tc>
        <w:tc>
          <w:tcPr>
            <w:tcW w:type="dxa" w:w="2537"/>
            <w:shd w:fill="F7F8F9"/>
            <w:vAlign w:val="top"/>
          </w:tcPr>
          <w:p>
            <w:pPr>
              <w:spacing w:after="0"/>
            </w:pPr>
            <w:r>
              <w:rPr>
                <w:sz w:val="15"/>
              </w:rPr>
              <w:t>Platform engineering</w:t>
            </w:r>
          </w:p>
        </w:tc>
        <w:tc>
          <w:tcPr>
            <w:tcW w:type="dxa" w:w="2537"/>
            <w:shd w:fill="F7F8F9"/>
            <w:vAlign w:val="top"/>
          </w:tcPr>
          <w:p>
            <w:pPr>
              <w:spacing w:after="0"/>
            </w:pPr>
            <w:r>
              <w:rPr>
                <w:sz w:val="15"/>
              </w:rPr>
              <w:t>semantic module version</w:t>
            </w:r>
          </w:p>
        </w:tc>
      </w:tr>
      <w:tr>
        <w:tc>
          <w:tcPr>
            <w:tcW w:type="dxa" w:w="2537"/>
            <w:vAlign w:val="top"/>
          </w:tcPr>
          <w:p>
            <w:pPr>
              <w:spacing w:after="0"/>
            </w:pPr>
            <w:r>
              <w:rPr>
                <w:sz w:val="15"/>
              </w:rPr>
              <w:t>policy-library</w:t>
            </w:r>
          </w:p>
        </w:tc>
        <w:tc>
          <w:tcPr>
            <w:tcW w:type="dxa" w:w="2537"/>
            <w:vAlign w:val="top"/>
          </w:tcPr>
          <w:p>
            <w:pPr>
              <w:spacing w:after="0"/>
            </w:pPr>
            <w:r>
              <w:rPr>
                <w:sz w:val="15"/>
              </w:rPr>
              <w:t>OPA and security policy</w:t>
            </w:r>
          </w:p>
        </w:tc>
        <w:tc>
          <w:tcPr>
            <w:tcW w:type="dxa" w:w="2537"/>
            <w:vAlign w:val="top"/>
          </w:tcPr>
          <w:p>
            <w:pPr>
              <w:spacing w:after="0"/>
            </w:pPr>
            <w:r>
              <w:rPr>
                <w:sz w:val="15"/>
              </w:rPr>
              <w:t>Security architecture</w:t>
            </w:r>
          </w:p>
        </w:tc>
        <w:tc>
          <w:tcPr>
            <w:tcW w:type="dxa" w:w="2537"/>
            <w:vAlign w:val="top"/>
          </w:tcPr>
          <w:p>
            <w:pPr>
              <w:spacing w:after="0"/>
            </w:pPr>
            <w:r>
              <w:rPr>
                <w:sz w:val="15"/>
              </w:rPr>
              <w:t>policy version</w:t>
            </w:r>
          </w:p>
        </w:tc>
      </w:tr>
      <w:tr>
        <w:tc>
          <w:tcPr>
            <w:tcW w:type="dxa" w:w="2537"/>
            <w:shd w:fill="F7F8F9"/>
            <w:vAlign w:val="top"/>
          </w:tcPr>
          <w:p>
            <w:pPr>
              <w:spacing w:after="0"/>
            </w:pPr>
            <w:r>
              <w:rPr>
                <w:sz w:val="15"/>
              </w:rPr>
              <w:t>domain-data-product</w:t>
            </w:r>
          </w:p>
        </w:tc>
        <w:tc>
          <w:tcPr>
            <w:tcW w:type="dxa" w:w="2537"/>
            <w:shd w:fill="F7F8F9"/>
            <w:vAlign w:val="top"/>
          </w:tcPr>
          <w:p>
            <w:pPr>
              <w:spacing w:after="0"/>
            </w:pPr>
            <w:r>
              <w:rPr>
                <w:sz w:val="15"/>
              </w:rPr>
              <w:t>Dataform, pipelines, schemas, contracts</w:t>
            </w:r>
          </w:p>
        </w:tc>
        <w:tc>
          <w:tcPr>
            <w:tcW w:type="dxa" w:w="2537"/>
            <w:shd w:fill="F7F8F9"/>
            <w:vAlign w:val="top"/>
          </w:tcPr>
          <w:p>
            <w:pPr>
              <w:spacing w:after="0"/>
            </w:pPr>
            <w:r>
              <w:rPr>
                <w:sz w:val="15"/>
              </w:rPr>
              <w:t>Domain product</w:t>
            </w:r>
          </w:p>
        </w:tc>
        <w:tc>
          <w:tcPr>
            <w:tcW w:type="dxa" w:w="2537"/>
            <w:shd w:fill="F7F8F9"/>
            <w:vAlign w:val="top"/>
          </w:tcPr>
          <w:p>
            <w:pPr>
              <w:spacing w:after="0"/>
            </w:pPr>
            <w:r>
              <w:rPr>
                <w:sz w:val="15"/>
              </w:rPr>
              <w:t>data-product release</w:t>
            </w:r>
          </w:p>
        </w:tc>
      </w:tr>
      <w:tr>
        <w:tc>
          <w:tcPr>
            <w:tcW w:type="dxa" w:w="2537"/>
            <w:vAlign w:val="top"/>
          </w:tcPr>
          <w:p>
            <w:pPr>
              <w:spacing w:after="0"/>
            </w:pPr>
            <w:r>
              <w:rPr>
                <w:sz w:val="15"/>
              </w:rPr>
              <w:t>application-service</w:t>
            </w:r>
          </w:p>
        </w:tc>
        <w:tc>
          <w:tcPr>
            <w:tcW w:type="dxa" w:w="2537"/>
            <w:vAlign w:val="top"/>
          </w:tcPr>
          <w:p>
            <w:pPr>
              <w:spacing w:after="0"/>
            </w:pPr>
            <w:r>
              <w:rPr>
                <w:sz w:val="15"/>
              </w:rPr>
              <w:t>application and manifests</w:t>
            </w:r>
          </w:p>
        </w:tc>
        <w:tc>
          <w:tcPr>
            <w:tcW w:type="dxa" w:w="2537"/>
            <w:vAlign w:val="top"/>
          </w:tcPr>
          <w:p>
            <w:pPr>
              <w:spacing w:after="0"/>
            </w:pPr>
            <w:r>
              <w:rPr>
                <w:sz w:val="15"/>
              </w:rPr>
              <w:t>Product team</w:t>
            </w:r>
          </w:p>
        </w:tc>
        <w:tc>
          <w:tcPr>
            <w:tcW w:type="dxa" w:w="2537"/>
            <w:vAlign w:val="top"/>
          </w:tcPr>
          <w:p>
            <w:pPr>
              <w:spacing w:after="0"/>
            </w:pPr>
            <w:r>
              <w:rPr>
                <w:sz w:val="15"/>
              </w:rPr>
              <w:t>service release</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CE8E6"/>
          </w:tcPr>
          <w:p>
            <w:r>
              <w:rPr>
                <w:b/>
                <w:color w:val="17365D"/>
              </w:rPr>
              <w:t xml:space="preserve">Anti-pattern - </w:t>
            </w:r>
            <w:r>
              <w:t>One enterprise monorepo that creates shared admin rights, coupled release timing and an unbounded blast radius.</w:t>
            </w:r>
          </w:p>
        </w:tc>
        <w:trPr>
          <w:tblHeader/>
        </w:trPr>
      </w:tr>
    </w:tbl>
    <w:p>
      <w:pPr>
        <w:spacing w:after="0"/>
      </w:pPr>
    </w:p>
    <w:p>
      <w:r>
        <w:br w:type="page"/>
      </w:r>
    </w:p>
    <w:p>
      <w:pPr>
        <w:pStyle w:val="Heading1"/>
      </w:pPr>
      <w:r>
        <w:t>8. Branching, Versioning and Release Strategy</w:t>
      </w:r>
    </w:p>
    <w:p>
      <w:r>
        <w:t>Trunk-based development with short-lived branches is the default. Pull requests are small, independently reviewable and protected by required checks. Release branches are reserved for supported maintenance or regulated release trains, not routine integration.</w:t>
      </w:r>
    </w:p>
    <w:p>
      <w:pPr>
        <w:pStyle w:val="ListBullet"/>
      </w:pPr>
      <w:r>
        <w:t>Use semantic versioning for reusable modules, libraries and externally consumed contracts.</w:t>
      </w:r>
    </w:p>
    <w:p>
      <w:pPr>
        <w:pStyle w:val="ListBullet"/>
      </w:pPr>
      <w:r>
        <w:t>Use commit SHA and artifact digest as the immutable technical identity of every build.</w:t>
      </w:r>
    </w:p>
    <w:p>
      <w:pPr>
        <w:pStyle w:val="ListBullet"/>
      </w:pPr>
      <w:r>
        <w:t>Use calendar or domain release identifiers only as human-readable aliases, never as the sole artifact identity.</w:t>
      </w:r>
    </w:p>
    <w:p>
      <w:pPr>
        <w:pStyle w:val="ListBullet"/>
      </w:pPr>
      <w:r>
        <w:t>Tag releases after successful build and evidence creation; protected tags cannot be moved.</w:t>
      </w:r>
    </w:p>
    <w:p>
      <w:pPr>
        <w:pStyle w:val="ListBullet"/>
      </w:pPr>
      <w:r>
        <w:t>Release notes include change, risk, compatibility, migration, rollback, owner and known limitations.</w:t>
      </w:r>
    </w:p>
    <w:p>
      <w:pPr>
        <w:pStyle w:val="ListBullet"/>
      </w:pPr>
      <w:r>
        <w:t>Deprecation policies define support windows and migration deadlines for modules, schemas and APIs.</w:t>
      </w:r>
    </w:p>
    <w:p>
      <w:r>
        <w:br w:type="page"/>
      </w:r>
    </w:p>
    <w:p>
      <w:pPr>
        <w:pStyle w:val="Heading1"/>
      </w:pPr>
      <w:r>
        <w:t>9. Target CI/CD Architecture</w:t>
      </w:r>
    </w:p>
    <w:p>
      <w:r>
        <w:t>The architecture separates repository checks, trusted builds, artifact custody, policy enforcement and target-specific deployment. This avoids granting one tool broad rights across source, production and runtime.</w:t>
      </w:r>
    </w:p>
    <w:p>
      <w:pPr>
        <w:jc w:val="center"/>
      </w:pPr>
      <w:r>
        <w:drawing>
          <wp:inline xmlns:a="http://schemas.openxmlformats.org/drawingml/2006/main" xmlns:pic="http://schemas.openxmlformats.org/drawingml/2006/picture">
            <wp:extent cx="6156000" cy="491839"/>
            <wp:docPr id="4" name="Picture 4" descr="Image: image3.png"/>
            <wp:cNvGraphicFramePr>
              <a:graphicFrameLocks noChangeAspect="1"/>
            </wp:cNvGraphicFramePr>
            <a:graphic>
              <a:graphicData uri="http://schemas.openxmlformats.org/drawingml/2006/picture">
                <pic:pic>
                  <pic:nvPicPr>
                    <pic:cNvPr id="0" name="03_supply_chain.png"/>
                    <pic:cNvPicPr/>
                  </pic:nvPicPr>
                  <pic:blipFill>
                    <a:blip r:embed="rId13"/>
                    <a:stretch>
                      <a:fillRect/>
                    </a:stretch>
                  </pic:blipFill>
                  <pic:spPr>
                    <a:xfrm>
                      <a:off x="0" y="0"/>
                      <a:ext cx="6156000" cy="491839"/>
                    </a:xfrm>
                    <a:prstGeom prst="rect"/>
                  </pic:spPr>
                </pic:pic>
              </a:graphicData>
            </a:graphic>
          </wp:inline>
        </w:drawing>
      </w:r>
    </w:p>
    <w:p>
      <w:pPr>
        <w:jc w:val="center"/>
      </w:pPr>
      <w:r>
        <w:rPr>
          <w:b/>
          <w:sz w:val="16"/>
        </w:rPr>
        <w:t>Figure 9-1. Supply-chain controls from source verification to continuous validation.</w:t>
      </w:r>
    </w:p>
    <w:p>
      <w:pPr>
        <w:jc w:val="center"/>
      </w:pPr>
      <w:r>
        <w:drawing>
          <wp:inline xmlns:a="http://schemas.openxmlformats.org/drawingml/2006/main" xmlns:pic="http://schemas.openxmlformats.org/drawingml/2006/picture">
            <wp:extent cx="6156000" cy="1356631"/>
            <wp:docPr id="5" name="Picture 5" descr="Image: image4.png"/>
            <wp:cNvGraphicFramePr>
              <a:graphicFrameLocks noChangeAspect="1"/>
            </wp:cNvGraphicFramePr>
            <a:graphic>
              <a:graphicData uri="http://schemas.openxmlformats.org/drawingml/2006/picture">
                <pic:pic>
                  <pic:nvPicPr>
                    <pic:cNvPr id="0" name="05_data_asset_release_lanes.png"/>
                    <pic:cNvPicPr/>
                  </pic:nvPicPr>
                  <pic:blipFill>
                    <a:blip r:embed="rId14"/>
                    <a:stretch>
                      <a:fillRect/>
                    </a:stretch>
                  </pic:blipFill>
                  <pic:spPr>
                    <a:xfrm>
                      <a:off x="0" y="0"/>
                      <a:ext cx="6156000" cy="1356631"/>
                    </a:xfrm>
                    <a:prstGeom prst="rect"/>
                  </pic:spPr>
                </pic:pic>
              </a:graphicData>
            </a:graphic>
          </wp:inline>
        </w:drawing>
      </w:r>
    </w:p>
    <w:p>
      <w:pPr>
        <w:jc w:val="center"/>
      </w:pPr>
      <w:r>
        <w:rPr>
          <w:b/>
          <w:sz w:val="16"/>
        </w:rPr>
        <w:t>Figure 9-2. Dedicated deployment lanes for Terraform, Dataform, Dataflow, Airflow and BigQuery/schema assets.</w:t>
      </w:r>
    </w:p>
    <w:p>
      <w:r>
        <w:br w:type="page"/>
      </w:r>
    </w:p>
    <w:p>
      <w:pPr>
        <w:pStyle w:val="Heading1"/>
      </w:pPr>
      <w:r>
        <w:t>10. Cloud Build</w:t>
      </w:r>
    </w:p>
    <w:p>
      <w:r>
        <w:t>Cloud Build is the trusted build plane for containers, Dataflow templates and other Google Cloud artifacts. Private pools are used when builds require private resources, custom networking or controlled egress.</w:t>
      </w:r>
    </w:p>
    <w:p>
      <w:pPr>
        <w:pStyle w:val="ListBullet"/>
      </w:pPr>
      <w:r>
        <w:t>Use dedicated build projects and service accounts by trust/region rather than default broad project identities.</w:t>
      </w:r>
    </w:p>
    <w:p>
      <w:pPr>
        <w:pStyle w:val="ListBullet"/>
      </w:pPr>
      <w:r>
        <w:t>Pin builder images by digest where practical and maintain an approved builder catalog.</w:t>
      </w:r>
    </w:p>
    <w:p>
      <w:pPr>
        <w:pStyle w:val="ListBullet"/>
      </w:pPr>
      <w:r>
        <w:t>Generate build provenance and link it to artifact digest and release manifest.</w:t>
      </w:r>
    </w:p>
    <w:p>
      <w:pPr>
        <w:pStyle w:val="ListBullet"/>
      </w:pPr>
      <w:r>
        <w:t>Use Secret Manager only for unavoidable third-party credentials; prefer WIF and service identity.</w:t>
      </w:r>
    </w:p>
    <w:p>
      <w:pPr>
        <w:pStyle w:val="ListBullet"/>
      </w:pPr>
      <w:r>
        <w:t>Store test results, SBOM and scan evidence in a protected evidence store.</w:t>
      </w:r>
    </w:p>
    <w:p>
      <w:pPr>
        <w:pStyle w:val="ListBullet"/>
      </w:pPr>
      <w:r>
        <w:t>Apply timeouts, machine sizing, disk and concurrency limits; alert on queued or repeatedly failed builds.</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 Purpose: trusted application build with tests, vulnerability evidence and immutable image publication.</w:t>
            </w:r>
          </w:p>
          <w:p>
            <w:pPr>
              <w:pStyle w:val="CodeBlock"/>
            </w:pPr>
            <w:r>
              <w:t>substitutions:</w:t>
            </w:r>
          </w:p>
          <w:p>
            <w:pPr>
              <w:pStyle w:val="CodeBlock"/>
            </w:pPr>
            <w:r>
              <w:t xml:space="preserve">  _REGION: us-central1</w:t>
            </w:r>
          </w:p>
          <w:p>
            <w:pPr>
              <w:pStyle w:val="CodeBlock"/>
            </w:pPr>
            <w:r>
              <w:t xml:space="preserve">  _REPOSITORY: app-images</w:t>
            </w:r>
          </w:p>
          <w:p>
            <w:pPr>
              <w:pStyle w:val="CodeBlock"/>
            </w:pPr>
            <w:r>
              <w:t xml:space="preserve">  _IMAGE: customer-api</w:t>
            </w:r>
          </w:p>
          <w:p>
            <w:pPr>
              <w:pStyle w:val="CodeBlock"/>
            </w:pPr>
            <w:r>
              <w:t>steps:</w:t>
            </w:r>
          </w:p>
          <w:p>
            <w:pPr>
              <w:pStyle w:val="CodeBlock"/>
            </w:pPr>
            <w:r>
              <w:t>- id: unit-and-static-tests</w:t>
            </w:r>
          </w:p>
          <w:p>
            <w:pPr>
              <w:pStyle w:val="CodeBlock"/>
            </w:pPr>
            <w:r>
              <w:t xml:space="preserve">  name: python:3.12-slim</w:t>
            </w:r>
          </w:p>
          <w:p>
            <w:pPr>
              <w:pStyle w:val="CodeBlock"/>
            </w:pPr>
            <w:r>
              <w:t xml:space="preserve">  entrypoint: bash</w:t>
            </w:r>
          </w:p>
          <w:p>
            <w:pPr>
              <w:pStyle w:val="CodeBlock"/>
            </w:pPr>
            <w:r>
              <w:t xml:space="preserve">  args: ['-ceu', 'pip install -r requirements-dev.txt &amp;&amp; ruff check . &amp;&amp; pytest -q --junitxml=/workspace/test-results.xml']</w:t>
            </w:r>
          </w:p>
          <w:p>
            <w:pPr>
              <w:pStyle w:val="CodeBlock"/>
            </w:pPr>
            <w:r>
              <w:t>- id: build-image</w:t>
            </w:r>
          </w:p>
          <w:p>
            <w:pPr>
              <w:pStyle w:val="CodeBlock"/>
            </w:pPr>
            <w:r>
              <w:t xml:space="preserve">  name: gcr.io/cloud-builders/docker</w:t>
            </w:r>
          </w:p>
          <w:p>
            <w:pPr>
              <w:pStyle w:val="CodeBlock"/>
            </w:pPr>
            <w:r>
              <w:t xml:space="preserve">  args: ['build','--pull','-t','${_REGION}-docker.pkg.dev/$PROJECT_ID/${_REPOSITORY}/${_IMAGE}:$COMMIT_SHA','.']</w:t>
            </w:r>
          </w:p>
          <w:p>
            <w:pPr>
              <w:pStyle w:val="CodeBlock"/>
            </w:pPr>
            <w:r>
              <w:t>- id: push-image</w:t>
            </w:r>
          </w:p>
          <w:p>
            <w:pPr>
              <w:pStyle w:val="CodeBlock"/>
            </w:pPr>
            <w:r>
              <w:t xml:space="preserve">  name: gcr.io/cloud-builders/docker</w:t>
            </w:r>
          </w:p>
          <w:p>
            <w:pPr>
              <w:pStyle w:val="CodeBlock"/>
            </w:pPr>
            <w:r>
              <w:t xml:space="preserve">  args: ['push','${_REGION}-docker.pkg.dev/$PROJECT_ID/${_REPOSITORY}/${_IMAGE}:$COMMIT_SHA']</w:t>
            </w:r>
          </w:p>
          <w:p>
            <w:pPr>
              <w:pStyle w:val="CodeBlock"/>
            </w:pPr>
            <w:r>
              <w:t>- id: inspect-vulnerabilities</w:t>
            </w:r>
          </w:p>
          <w:p>
            <w:pPr>
              <w:pStyle w:val="CodeBlock"/>
            </w:pPr>
            <w:r>
              <w:t xml:space="preserve">  name: gcr.io/google.com/cloudsdktool/cloud-sdk:slim</w:t>
            </w:r>
          </w:p>
          <w:p>
            <w:pPr>
              <w:pStyle w:val="CodeBlock"/>
            </w:pPr>
            <w:r>
              <w:t xml:space="preserve">  entrypoint: bash</w:t>
            </w:r>
          </w:p>
          <w:p>
            <w:pPr>
              <w:pStyle w:val="CodeBlock"/>
            </w:pPr>
            <w:r>
              <w:t xml:space="preserve">  args: ['-ceu','gcloud artifacts docker images describe ${_REGION}-docker.pkg.dev/$PROJECT_ID/${_REPOSITORY}/${_IMAGE}:$COMMIT_SHA --show-package-vulnerability --format=json &gt; /workspace/vulnerability.json']</w:t>
            </w:r>
          </w:p>
          <w:p>
            <w:pPr>
              <w:pStyle w:val="CodeBlock"/>
            </w:pPr>
            <w:r>
              <w:t>- id: policy-gate</w:t>
            </w:r>
          </w:p>
          <w:p>
            <w:pPr>
              <w:pStyle w:val="CodeBlock"/>
            </w:pPr>
            <w:r>
              <w:t xml:space="preserve">  name: openpolicyagent/conftest:v0.57.0</w:t>
            </w:r>
          </w:p>
          <w:p>
            <w:pPr>
              <w:pStyle w:val="CodeBlock"/>
            </w:pPr>
            <w:r>
              <w:t xml:space="preserve">  args: ['test','/workspace/vulnerability.json','--policy','policy','--all-namespaces']</w:t>
            </w:r>
          </w:p>
          <w:p>
            <w:pPr>
              <w:pStyle w:val="CodeBlock"/>
            </w:pPr>
            <w:r>
              <w:t>images: ['${_REGION}-docker.pkg.dev/$PROJECT_ID/${_REPOSITORY}/${_IMAGE}:$COMMIT_SHA']</w:t>
            </w:r>
          </w:p>
          <w:p>
            <w:pPr>
              <w:pStyle w:val="CodeBlock"/>
            </w:pPr>
            <w:r>
              <w:t>options:</w:t>
            </w:r>
          </w:p>
          <w:p>
            <w:pPr>
              <w:pStyle w:val="CodeBlock"/>
            </w:pPr>
            <w:r>
              <w:t xml:space="preserve">  logging: CLOUD_LOGGING_ONLY</w:t>
            </w:r>
          </w:p>
          <w:p>
            <w:pPr>
              <w:pStyle w:val="CodeBlock"/>
            </w:pPr>
            <w:r>
              <w:t xml:space="preserve">  pool: {name: 'projects/$PROJECT_ID/locations/${_REGION}/workerPools/private-build'}</w:t>
            </w:r>
          </w:p>
          <w:p>
            <w:pPr>
              <w:pStyle w:val="CodeBlock"/>
            </w:pPr>
            <w:r>
              <w:t>timeout: 1800s</w:t>
            </w:r>
          </w:p>
        </w:tc>
        <w:trPr>
          <w:tblHeader/>
        </w:trPr>
      </w:tr>
    </w:tbl>
    <w:p>
      <w:pPr>
        <w:spacing w:after="0"/>
      </w:pPr>
    </w:p>
    <w:p>
      <w:r>
        <w:br w:type="page"/>
      </w:r>
    </w:p>
    <w:p>
      <w:pPr>
        <w:pStyle w:val="Heading1"/>
      </w:pPr>
      <w:r>
        <w:t>11. GitHub Actions</w:t>
      </w:r>
    </w:p>
    <w:p>
      <w:r>
        <w:t>GitHub Actions executes repository-native checks and submits trusted work to Google Cloud using Workload Identity Federation. It is not granted permanent production credentials.</w:t>
      </w:r>
    </w:p>
    <w:p>
      <w:pPr>
        <w:pStyle w:val="ListBullet"/>
      </w:pPr>
      <w:r>
        <w:t>Use reusable workflows maintained by the platform team and invoked by product repositories.</w:t>
      </w:r>
    </w:p>
    <w:p>
      <w:pPr>
        <w:pStyle w:val="ListBullet"/>
      </w:pPr>
      <w:r>
        <w:t>Restrict id-token permission to jobs that need federation; default all other permissions to read or none.</w:t>
      </w:r>
    </w:p>
    <w:p>
      <w:pPr>
        <w:pStyle w:val="ListBullet"/>
      </w:pPr>
      <w:r>
        <w:t>Use protected environments and independent approval for production jobs.</w:t>
      </w:r>
    </w:p>
    <w:p>
      <w:pPr>
        <w:pStyle w:val="ListBullet"/>
      </w:pPr>
      <w:r>
        <w:t>Disable credential persistence in checkout and avoid untrusted pull-request code with privileged tokens.</w:t>
      </w:r>
    </w:p>
    <w:p>
      <w:pPr>
        <w:pStyle w:val="ListBullet"/>
      </w:pPr>
      <w:r>
        <w:t>Use concurrency groups to prevent conflicting releases and cancel obsolete validation runs.</w:t>
      </w:r>
    </w:p>
    <w:p>
      <w:pPr>
        <w:pStyle w:val="ListBullet"/>
      </w:pPr>
      <w:r>
        <w:t>Pin actions and review transitive scripts; export audit and workflow telemetry.</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name: build-and-release</w:t>
            </w:r>
          </w:p>
          <w:p>
            <w:pPr>
              <w:pStyle w:val="CodeBlock"/>
            </w:pPr>
            <w:r>
              <w:t>on:</w:t>
            </w:r>
          </w:p>
          <w:p>
            <w:pPr>
              <w:pStyle w:val="CodeBlock"/>
            </w:pPr>
            <w:r>
              <w:t xml:space="preserve">  pull_request:</w:t>
            </w:r>
          </w:p>
          <w:p>
            <w:pPr>
              <w:pStyle w:val="CodeBlock"/>
            </w:pPr>
            <w:r>
              <w:t xml:space="preserve">  push: {branches: [main]}</w:t>
            </w:r>
          </w:p>
          <w:p>
            <w:pPr>
              <w:pStyle w:val="CodeBlock"/>
            </w:pPr>
            <w:r>
              <w:t>permissions:</w:t>
            </w:r>
          </w:p>
          <w:p>
            <w:pPr>
              <w:pStyle w:val="CodeBlock"/>
            </w:pPr>
            <w:r>
              <w:t xml:space="preserve">  contents: read</w:t>
            </w:r>
          </w:p>
          <w:p>
            <w:pPr>
              <w:pStyle w:val="CodeBlock"/>
            </w:pPr>
            <w:r>
              <w:t xml:space="preserve">  id-token: write</w:t>
            </w:r>
          </w:p>
          <w:p>
            <w:pPr>
              <w:pStyle w:val="CodeBlock"/>
            </w:pPr>
            <w:r>
              <w:t xml:space="preserve">  security-events: write</w:t>
            </w:r>
          </w:p>
          <w:p>
            <w:pPr>
              <w:pStyle w:val="CodeBlock"/>
            </w:pPr>
            <w:r>
              <w:t>concurrency:</w:t>
            </w:r>
          </w:p>
          <w:p>
            <w:pPr>
              <w:pStyle w:val="CodeBlock"/>
            </w:pPr>
            <w:r>
              <w:t xml:space="preserve">  group: ${{ github.workflow }}-${{ github.ref }}</w:t>
            </w:r>
          </w:p>
          <w:p>
            <w:pPr>
              <w:pStyle w:val="CodeBlock"/>
            </w:pPr>
            <w:r>
              <w:t xml:space="preserve">  cancel-in-progress: true</w:t>
            </w:r>
          </w:p>
          <w:p>
            <w:pPr>
              <w:pStyle w:val="CodeBlock"/>
            </w:pPr>
            <w:r>
              <w:t>jobs:</w:t>
            </w:r>
          </w:p>
          <w:p>
            <w:pPr>
              <w:pStyle w:val="CodeBlock"/>
            </w:pPr>
            <w:r>
              <w:t xml:space="preserve">  validate:</w:t>
            </w:r>
          </w:p>
          <w:p>
            <w:pPr>
              <w:pStyle w:val="CodeBlock"/>
            </w:pPr>
            <w:r>
              <w:t xml:space="preserve">    runs-on: ubuntu-latest</w:t>
            </w:r>
          </w:p>
          <w:p>
            <w:pPr>
              <w:pStyle w:val="CodeBlock"/>
            </w:pPr>
            <w:r>
              <w:t xml:space="preserve">    steps:</w:t>
            </w:r>
          </w:p>
          <w:p>
            <w:pPr>
              <w:pStyle w:val="CodeBlock"/>
            </w:pPr>
            <w:r>
              <w:t xml:space="preserve">    - uses: actions/checkout@v4</w:t>
            </w:r>
          </w:p>
          <w:p>
            <w:pPr>
              <w:pStyle w:val="CodeBlock"/>
            </w:pPr>
            <w:r>
              <w:t xml:space="preserve">      with: {persist-credentials: false}</w:t>
            </w:r>
          </w:p>
          <w:p>
            <w:pPr>
              <w:pStyle w:val="CodeBlock"/>
            </w:pPr>
            <w:r>
              <w:t xml:space="preserve">    - uses: actions/setup-python@v5</w:t>
            </w:r>
          </w:p>
          <w:p>
            <w:pPr>
              <w:pStyle w:val="CodeBlock"/>
            </w:pPr>
            <w:r>
              <w:t xml:space="preserve">      with: {python-version: '3.12'}</w:t>
            </w:r>
          </w:p>
          <w:p>
            <w:pPr>
              <w:pStyle w:val="CodeBlock"/>
            </w:pPr>
            <w:r>
              <w:t xml:space="preserve">    - run: pip install -r requirements-dev.txt &amp;&amp; ruff check . &amp;&amp; pytest -q</w:t>
            </w:r>
          </w:p>
          <w:p>
            <w:pPr>
              <w:pStyle w:val="CodeBlock"/>
            </w:pPr>
            <w:r>
              <w:t xml:space="preserve">  submit-cloud-build:</w:t>
            </w:r>
          </w:p>
          <w:p>
            <w:pPr>
              <w:pStyle w:val="CodeBlock"/>
            </w:pPr>
            <w:r>
              <w:t xml:space="preserve">    if: github.ref == 'refs/heads/main'</w:t>
            </w:r>
          </w:p>
          <w:p>
            <w:pPr>
              <w:pStyle w:val="CodeBlock"/>
            </w:pPr>
            <w:r>
              <w:t xml:space="preserve">    needs: validate</w:t>
            </w:r>
          </w:p>
          <w:p>
            <w:pPr>
              <w:pStyle w:val="CodeBlock"/>
            </w:pPr>
            <w:r>
              <w:t xml:space="preserve">    runs-on: ubuntu-latest</w:t>
            </w:r>
          </w:p>
          <w:p>
            <w:pPr>
              <w:pStyle w:val="CodeBlock"/>
            </w:pPr>
            <w:r>
              <w:t xml:space="preserve">    environment: integration</w:t>
            </w:r>
          </w:p>
          <w:p>
            <w:pPr>
              <w:pStyle w:val="CodeBlock"/>
            </w:pPr>
            <w:r>
              <w:t xml:space="preserve">    steps:</w:t>
            </w:r>
          </w:p>
          <w:p>
            <w:pPr>
              <w:pStyle w:val="CodeBlock"/>
            </w:pPr>
            <w:r>
              <w:t xml:space="preserve">    - uses: actions/checkout@v4</w:t>
            </w:r>
          </w:p>
          <w:p>
            <w:pPr>
              <w:pStyle w:val="CodeBlock"/>
            </w:pPr>
            <w:r>
              <w:t xml:space="preserve">      with: {persist-credentials: false}</w:t>
            </w:r>
          </w:p>
          <w:p>
            <w:pPr>
              <w:pStyle w:val="CodeBlock"/>
            </w:pPr>
            <w:r>
              <w:t xml:space="preserve">    - id: auth</w:t>
            </w:r>
          </w:p>
          <w:p>
            <w:pPr>
              <w:pStyle w:val="CodeBlock"/>
            </w:pPr>
            <w:r>
              <w:t xml:space="preserve">      uses: google-github-actions/auth@v2</w:t>
            </w:r>
          </w:p>
          <w:p>
            <w:pPr>
              <w:pStyle w:val="CodeBlock"/>
            </w:pPr>
            <w:r>
              <w:t xml:space="preserve">      with:</w:t>
            </w:r>
          </w:p>
          <w:p>
            <w:pPr>
              <w:pStyle w:val="CodeBlock"/>
            </w:pPr>
            <w:r>
              <w:t xml:space="preserve">        workload_identity_provider: ${{ vars.WIF_PROVIDER }}</w:t>
            </w:r>
          </w:p>
          <w:p>
            <w:pPr>
              <w:pStyle w:val="CodeBlock"/>
            </w:pPr>
            <w:r>
              <w:t xml:space="preserve">        service_account: ${{ vars.BUILD_SUBMITTER_SA }}</w:t>
            </w:r>
          </w:p>
          <w:p>
            <w:pPr>
              <w:pStyle w:val="CodeBlock"/>
            </w:pPr>
            <w:r>
              <w:t xml:space="preserve">        token_format: access_token</w:t>
            </w:r>
          </w:p>
          <w:p>
            <w:pPr>
              <w:pStyle w:val="CodeBlock"/>
            </w:pPr>
            <w:r>
              <w:t xml:space="preserve">    - uses: google-github-actions/setup-gcloud@v2</w:t>
            </w:r>
          </w:p>
          <w:p>
            <w:pPr>
              <w:pStyle w:val="CodeBlock"/>
            </w:pPr>
            <w:r>
              <w:t xml:space="preserve">    - run: gcloud builds submit --project="${{ vars.BUILD_PROJECT }}" --region="${{ vars.REGION }}" --config=cloudbuild.yaml --substitutions=COMMIT_SHA=${{ github.sha }} .</w:t>
            </w:r>
          </w:p>
        </w:tc>
        <w:trPr>
          <w:tblHeader/>
        </w:trPr>
      </w:tr>
    </w:tbl>
    <w:p>
      <w:pPr>
        <w:spacing w:after="0"/>
      </w:pPr>
    </w:p>
    <w:p>
      <w:r>
        <w:br w:type="page"/>
      </w:r>
    </w:p>
    <w:p>
      <w:pPr>
        <w:pStyle w:val="Heading1"/>
      </w:pPr>
      <w:r>
        <w:t>12. Artifact Registry</w:t>
      </w:r>
    </w:p>
    <w:p>
      <w:r>
        <w:t>Artifact Registry is the system of record for production images, packages and reusable modules. Repositories are segmented by format, region, trust and lifecycle.</w:t>
      </w:r>
    </w:p>
    <w:p>
      <w:pPr>
        <w:pStyle w:val="ListBullet"/>
      </w:pPr>
      <w:r>
        <w:t>Production Docker repositories enable immutable tags and require digest-pinned deployment.</w:t>
      </w:r>
    </w:p>
    <w:p>
      <w:pPr>
        <w:pStyle w:val="ListBullet"/>
      </w:pPr>
      <w:r>
        <w:t>Automatic vulnerability scanning is enabled where required and supported; findings feed release policy and SCC.</w:t>
      </w:r>
    </w:p>
    <w:p>
      <w:pPr>
        <w:pStyle w:val="ListBullet"/>
      </w:pPr>
      <w:r>
        <w:t>Cleanup policies are tested in dry-run and preserve tagged approved rollback artifacts.</w:t>
      </w:r>
    </w:p>
    <w:p>
      <w:pPr>
        <w:pStyle w:val="ListBullet"/>
      </w:pPr>
      <w:r>
        <w:t>Remote/virtual repositories may reduce uncontrolled internet dependency access after security review.</w:t>
      </w:r>
    </w:p>
    <w:p>
      <w:pPr>
        <w:pStyle w:val="ListBullet"/>
      </w:pPr>
      <w:r>
        <w:t>CMEK, IAM, VPC Service Controls and regional placement follow artifact classification.</w:t>
      </w:r>
    </w:p>
    <w:p>
      <w:pPr>
        <w:pStyle w:val="ListBullet"/>
      </w:pPr>
      <w:r>
        <w:t>Artifact writers cannot deploy to production; deployers cannot overwrite artifacts.</w:t>
      </w:r>
    </w:p>
    <w:p>
      <w:r>
        <w:br w:type="page"/>
      </w:r>
    </w:p>
    <w:p>
      <w:pPr>
        <w:pStyle w:val="Heading1"/>
      </w:pPr>
      <w:r>
        <w:t>13. Cloud Deploy</w:t>
      </w:r>
    </w:p>
    <w:p>
      <w:r>
        <w:t>Cloud Deploy is used for supported application delivery targets such as Cloud Run and GKE, including standard and canary strategies, approvals and post-deploy verification. It is not forced onto Terraform or data assets with different state semantics.</w:t>
      </w:r>
    </w:p>
    <w:p>
      <w:pPr>
        <w:pStyle w:val="ListBullet"/>
      </w:pPr>
      <w:r>
        <w:t>Create one release from a digest-pinned image and promote it through environment targets.</w:t>
      </w:r>
    </w:p>
    <w:p>
      <w:pPr>
        <w:pStyle w:val="ListBullet"/>
      </w:pPr>
      <w:r>
        <w:t>Use target-specific delivery service accounts and protected production approvals.</w:t>
      </w:r>
    </w:p>
    <w:p>
      <w:pPr>
        <w:pStyle w:val="ListBullet"/>
      </w:pPr>
      <w:r>
        <w:t>Configure verification tasks for health and critical user journeys.</w:t>
      </w:r>
    </w:p>
    <w:p>
      <w:pPr>
        <w:pStyle w:val="ListBullet"/>
      </w:pPr>
      <w:r>
        <w:t>Use canary percentages and automatic/manual progression based on workload risk.</w:t>
      </w:r>
    </w:p>
    <w:p>
      <w:pPr>
        <w:pStyle w:val="ListBullet"/>
      </w:pPr>
      <w:r>
        <w:t>Integrate Binary Authorization separately; Cloud Deploy and Binary Authorization are complementary controls.</w:t>
      </w:r>
    </w:p>
    <w:p>
      <w:pPr>
        <w:pStyle w:val="ListBullet"/>
      </w:pPr>
      <w:r>
        <w:t>Record release, rollout, rendered manifest, deploy/verify logs and final state.</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apiVersion: deploy.cloud.google.com/v1</w:t>
            </w:r>
          </w:p>
          <w:p>
            <w:pPr>
              <w:pStyle w:val="CodeBlock"/>
            </w:pPr>
            <w:r>
              <w:t>kind: DeliveryPipeline</w:t>
            </w:r>
          </w:p>
          <w:p>
            <w:pPr>
              <w:pStyle w:val="CodeBlock"/>
            </w:pPr>
            <w:r>
              <w:t>metadata: {name: customer-api}</w:t>
            </w:r>
          </w:p>
          <w:p>
            <w:pPr>
              <w:pStyle w:val="CodeBlock"/>
            </w:pPr>
            <w:r>
              <w:t>description: Regional customer API delivery pipeline</w:t>
            </w:r>
          </w:p>
          <w:p>
            <w:pPr>
              <w:pStyle w:val="CodeBlock"/>
            </w:pPr>
            <w:r>
              <w:t>serialPipeline:</w:t>
            </w:r>
          </w:p>
          <w:p>
            <w:pPr>
              <w:pStyle w:val="CodeBlock"/>
            </w:pPr>
            <w:r>
              <w:t xml:space="preserve">  stages:</w:t>
            </w:r>
          </w:p>
          <w:p>
            <w:pPr>
              <w:pStyle w:val="CodeBlock"/>
            </w:pPr>
            <w:r>
              <w:t xml:space="preserve">  - targetId: integration</w:t>
            </w:r>
          </w:p>
          <w:p>
            <w:pPr>
              <w:pStyle w:val="CodeBlock"/>
            </w:pPr>
            <w:r>
              <w:t xml:space="preserve">    profiles: [integration]</w:t>
            </w:r>
          </w:p>
          <w:p>
            <w:pPr>
              <w:pStyle w:val="CodeBlock"/>
            </w:pPr>
            <w:r>
              <w:t xml:space="preserve">  - targetId: staging</w:t>
            </w:r>
          </w:p>
          <w:p>
            <w:pPr>
              <w:pStyle w:val="CodeBlock"/>
            </w:pPr>
            <w:r>
              <w:t xml:space="preserve">    profiles: [staging]</w:t>
            </w:r>
          </w:p>
          <w:p>
            <w:pPr>
              <w:pStyle w:val="CodeBlock"/>
            </w:pPr>
            <w:r>
              <w:t xml:space="preserve">  - targetId: production</w:t>
            </w:r>
          </w:p>
          <w:p>
            <w:pPr>
              <w:pStyle w:val="CodeBlock"/>
            </w:pPr>
            <w:r>
              <w:t xml:space="preserve">    profiles: [production]</w:t>
            </w:r>
          </w:p>
          <w:p>
            <w:pPr>
              <w:pStyle w:val="CodeBlock"/>
            </w:pPr>
            <w:r>
              <w:t xml:space="preserve">    strategy:</w:t>
            </w:r>
          </w:p>
          <w:p>
            <w:pPr>
              <w:pStyle w:val="CodeBlock"/>
            </w:pPr>
            <w:r>
              <w:t xml:space="preserve">      canary:</w:t>
            </w:r>
          </w:p>
          <w:p>
            <w:pPr>
              <w:pStyle w:val="CodeBlock"/>
            </w:pPr>
            <w:r>
              <w:t xml:space="preserve">        runtimeConfig: {cloudRun: {automaticTrafficControl: true}}</w:t>
            </w:r>
          </w:p>
          <w:p>
            <w:pPr>
              <w:pStyle w:val="CodeBlock"/>
            </w:pPr>
            <w:r>
              <w:t xml:space="preserve">        canaryDeployment: {percentages: [10, 25, 50], verify: true}</w:t>
            </w:r>
          </w:p>
          <w:p>
            <w:pPr>
              <w:pStyle w:val="CodeBlock"/>
            </w:pPr>
            <w:r>
              <w:t>---</w:t>
            </w:r>
          </w:p>
          <w:p>
            <w:pPr>
              <w:pStyle w:val="CodeBlock"/>
            </w:pPr>
            <w:r>
              <w:t>apiVersion: deploy.cloud.google.com/v1</w:t>
            </w:r>
          </w:p>
          <w:p>
            <w:pPr>
              <w:pStyle w:val="CodeBlock"/>
            </w:pPr>
            <w:r>
              <w:t>kind: Target</w:t>
            </w:r>
          </w:p>
          <w:p>
            <w:pPr>
              <w:pStyle w:val="CodeBlock"/>
            </w:pPr>
            <w:r>
              <w:t>metadata: {name: integration}</w:t>
            </w:r>
          </w:p>
          <w:p>
            <w:pPr>
              <w:pStyle w:val="CodeBlock"/>
            </w:pPr>
            <w:r>
              <w:t>run: {location: projects/egcdp-app-int/locations/us-central1}</w:t>
            </w:r>
          </w:p>
          <w:p>
            <w:pPr>
              <w:pStyle w:val="CodeBlock"/>
            </w:pPr>
            <w:r>
              <w:t>---</w:t>
            </w:r>
          </w:p>
          <w:p>
            <w:pPr>
              <w:pStyle w:val="CodeBlock"/>
            </w:pPr>
            <w:r>
              <w:t>apiVersion: deploy.cloud.google.com/v1</w:t>
            </w:r>
          </w:p>
          <w:p>
            <w:pPr>
              <w:pStyle w:val="CodeBlock"/>
            </w:pPr>
            <w:r>
              <w:t>kind: Target</w:t>
            </w:r>
          </w:p>
          <w:p>
            <w:pPr>
              <w:pStyle w:val="CodeBlock"/>
            </w:pPr>
            <w:r>
              <w:t>metadata: {name: staging}</w:t>
            </w:r>
          </w:p>
          <w:p>
            <w:pPr>
              <w:pStyle w:val="CodeBlock"/>
            </w:pPr>
            <w:r>
              <w:t>requireApproval: true</w:t>
            </w:r>
          </w:p>
          <w:p>
            <w:pPr>
              <w:pStyle w:val="CodeBlock"/>
            </w:pPr>
            <w:r>
              <w:t>run: {location: projects/egcdp-app-stg/locations/us-central1}</w:t>
            </w:r>
          </w:p>
          <w:p>
            <w:pPr>
              <w:pStyle w:val="CodeBlock"/>
            </w:pPr>
            <w:r>
              <w:t>---</w:t>
            </w:r>
          </w:p>
          <w:p>
            <w:pPr>
              <w:pStyle w:val="CodeBlock"/>
            </w:pPr>
            <w:r>
              <w:t>apiVersion: deploy.cloud.google.com/v1</w:t>
            </w:r>
          </w:p>
          <w:p>
            <w:pPr>
              <w:pStyle w:val="CodeBlock"/>
            </w:pPr>
            <w:r>
              <w:t>kind: Target</w:t>
            </w:r>
          </w:p>
          <w:p>
            <w:pPr>
              <w:pStyle w:val="CodeBlock"/>
            </w:pPr>
            <w:r>
              <w:t>metadata: {name: production}</w:t>
            </w:r>
          </w:p>
          <w:p>
            <w:pPr>
              <w:pStyle w:val="CodeBlock"/>
            </w:pPr>
            <w:r>
              <w:t>requireApproval: true</w:t>
            </w:r>
          </w:p>
          <w:p>
            <w:pPr>
              <w:pStyle w:val="CodeBlock"/>
            </w:pPr>
            <w:r>
              <w:t>run: {location: projects/egcdp-app-prd/locations/us-central1}</w:t>
            </w:r>
          </w:p>
        </w:tc>
        <w:trPr>
          <w:tblHeader/>
        </w:trPr>
      </w:tr>
    </w:tbl>
    <w:p>
      <w:pPr>
        <w:spacing w:after="0"/>
      </w:pPr>
    </w:p>
    <w:p>
      <w:r>
        <w:br w:type="page"/>
      </w:r>
    </w:p>
    <w:p>
      <w:pPr>
        <w:pStyle w:val="Heading1"/>
      </w:pPr>
      <w:r>
        <w:t>14. Terraform Pipelines</w:t>
      </w:r>
    </w:p>
    <w:p>
      <w:r>
        <w:t>Terraform delivery separates validation, plan, approval and apply. The apply identity is more privileged than the plan identity and is available only through protected production environments.</w:t>
      </w:r>
    </w:p>
    <w:p>
      <w:pPr>
        <w:pStyle w:val="ListBullet"/>
      </w:pPr>
      <w:r>
        <w:t>Run fmt, validate, provider lock verification, static/security analysis and policy tests on every pull request.</w:t>
      </w:r>
    </w:p>
    <w:p>
      <w:pPr>
        <w:pStyle w:val="ListBullet"/>
      </w:pPr>
      <w:r>
        <w:t>Use remote state with encryption, restricted access, locking and state-version recovery.</w:t>
      </w:r>
    </w:p>
    <w:p>
      <w:pPr>
        <w:pStyle w:val="ListBullet"/>
      </w:pPr>
      <w:r>
        <w:t>Review human-readable plan and machine-readable JSON policy results.</w:t>
      </w:r>
    </w:p>
    <w:p>
      <w:pPr>
        <w:pStyle w:val="ListBullet"/>
      </w:pPr>
      <w:r>
        <w:t>Apply a saved plan only while commit, variables, provider lock and state serial remain valid; otherwise re-plan.</w:t>
      </w:r>
    </w:p>
    <w:p>
      <w:pPr>
        <w:pStyle w:val="ListBullet"/>
      </w:pPr>
      <w:r>
        <w:t>Require independent approval for production and elevated approval for IAM, network, KMS, perimeter and destructive changes.</w:t>
      </w:r>
    </w:p>
    <w:p>
      <w:pPr>
        <w:pStyle w:val="ListBullet"/>
      </w:pPr>
      <w:r>
        <w:t>Detect drift continuously; emergency console changes are reconciled to code.</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name: terraform-plan-apply</w:t>
            </w:r>
          </w:p>
          <w:p>
            <w:pPr>
              <w:pStyle w:val="CodeBlock"/>
            </w:pPr>
            <w:r>
              <w:t>on:</w:t>
            </w:r>
          </w:p>
          <w:p>
            <w:pPr>
              <w:pStyle w:val="CodeBlock"/>
            </w:pPr>
            <w:r>
              <w:t xml:space="preserve">  pull_request: {paths: ['infra/**']}</w:t>
            </w:r>
          </w:p>
          <w:p>
            <w:pPr>
              <w:pStyle w:val="CodeBlock"/>
            </w:pPr>
            <w:r>
              <w:t xml:space="preserve">  push: {branches: [main], paths: ['infra/**']}</w:t>
            </w:r>
          </w:p>
          <w:p>
            <w:pPr>
              <w:pStyle w:val="CodeBlock"/>
            </w:pPr>
            <w:r>
              <w:t>permissions: {contents: read, id-token: write, pull-requests: write}</w:t>
            </w:r>
          </w:p>
          <w:p>
            <w:pPr>
              <w:pStyle w:val="CodeBlock"/>
            </w:pPr>
            <w:r>
              <w:t>jobs:</w:t>
            </w:r>
          </w:p>
          <w:p>
            <w:pPr>
              <w:pStyle w:val="CodeBlock"/>
            </w:pPr>
            <w:r>
              <w:t xml:space="preserve">  plan:</w:t>
            </w:r>
          </w:p>
          <w:p>
            <w:pPr>
              <w:pStyle w:val="CodeBlock"/>
            </w:pPr>
            <w:r>
              <w:t xml:space="preserve">    runs-on: ubuntu-latest</w:t>
            </w:r>
          </w:p>
          <w:p>
            <w:pPr>
              <w:pStyle w:val="CodeBlock"/>
            </w:pPr>
            <w:r>
              <w:t xml:space="preserve">    environment: terraform-plan</w:t>
            </w:r>
          </w:p>
          <w:p>
            <w:pPr>
              <w:pStyle w:val="CodeBlock"/>
            </w:pPr>
            <w:r>
              <w:t xml:space="preserve">    steps:</w:t>
            </w:r>
          </w:p>
          <w:p>
            <w:pPr>
              <w:pStyle w:val="CodeBlock"/>
            </w:pPr>
            <w:r>
              <w:t xml:space="preserve">    - uses: actions/checkout@v4</w:t>
            </w:r>
          </w:p>
          <w:p>
            <w:pPr>
              <w:pStyle w:val="CodeBlock"/>
            </w:pPr>
            <w:r>
              <w:t xml:space="preserve">      with: {persist-credentials: false}</w:t>
            </w:r>
          </w:p>
          <w:p>
            <w:pPr>
              <w:pStyle w:val="CodeBlock"/>
            </w:pPr>
            <w:r>
              <w:t xml:space="preserve">    - uses: hashicorp/setup-terraform@v3</w:t>
            </w:r>
          </w:p>
          <w:p>
            <w:pPr>
              <w:pStyle w:val="CodeBlock"/>
            </w:pPr>
            <w:r>
              <w:t xml:space="preserve">      with: {terraform_version: '1.9.8'}</w:t>
            </w:r>
          </w:p>
          <w:p>
            <w:pPr>
              <w:pStyle w:val="CodeBlock"/>
            </w:pPr>
            <w:r>
              <w:t xml:space="preserve">    - uses: google-github-actions/auth@v2</w:t>
            </w:r>
          </w:p>
          <w:p>
            <w:pPr>
              <w:pStyle w:val="CodeBlock"/>
            </w:pPr>
            <w:r>
              <w:t xml:space="preserve">      with:</w:t>
            </w:r>
          </w:p>
          <w:p>
            <w:pPr>
              <w:pStyle w:val="CodeBlock"/>
            </w:pPr>
            <w:r>
              <w:t xml:space="preserve">        workload_identity_provider: ${{ vars.WIF_PROVIDER }}</w:t>
            </w:r>
          </w:p>
          <w:p>
            <w:pPr>
              <w:pStyle w:val="CodeBlock"/>
            </w:pPr>
            <w:r>
              <w:t xml:space="preserve">        service_account: ${{ vars.TERRAFORM_PLAN_SA }}</w:t>
            </w:r>
          </w:p>
          <w:p>
            <w:pPr>
              <w:pStyle w:val="CodeBlock"/>
            </w:pPr>
            <w:r>
              <w:t xml:space="preserve">    - run: terraform -chdir=infra fmt -check -recursive</w:t>
            </w:r>
          </w:p>
          <w:p>
            <w:pPr>
              <w:pStyle w:val="CodeBlock"/>
            </w:pPr>
            <w:r>
              <w:t xml:space="preserve">    - run: terraform -chdir=infra init -input=false</w:t>
            </w:r>
          </w:p>
          <w:p>
            <w:pPr>
              <w:pStyle w:val="CodeBlock"/>
            </w:pPr>
            <w:r>
              <w:t xml:space="preserve">    - run: terraform -chdir=infra validate</w:t>
            </w:r>
          </w:p>
          <w:p>
            <w:pPr>
              <w:pStyle w:val="CodeBlock"/>
            </w:pPr>
            <w:r>
              <w:t xml:space="preserve">    - run: terraform -chdir=infra plan -input=false -lock-timeout=5m -out=tfplan</w:t>
            </w:r>
          </w:p>
          <w:p>
            <w:pPr>
              <w:pStyle w:val="CodeBlock"/>
            </w:pPr>
            <w:r>
              <w:t xml:space="preserve">    - run: terraform -chdir=infra show -json tfplan &gt; tfplan.json</w:t>
            </w:r>
          </w:p>
          <w:p>
            <w:pPr>
              <w:pStyle w:val="CodeBlock"/>
            </w:pPr>
            <w:r>
              <w:t xml:space="preserve">    - run: conftest test infra/tfplan.json --policy policy/terraform</w:t>
            </w:r>
          </w:p>
          <w:p>
            <w:pPr>
              <w:pStyle w:val="CodeBlock"/>
            </w:pPr>
            <w:r>
              <w:t xml:space="preserve">    - uses: actions/upload-artifact@v4</w:t>
            </w:r>
          </w:p>
          <w:p>
            <w:pPr>
              <w:pStyle w:val="CodeBlock"/>
            </w:pPr>
            <w:r>
              <w:t xml:space="preserve">      with: {name: terraform-plan, path: 'infra/tfplan*', retention-days: 7}</w:t>
            </w:r>
          </w:p>
          <w:p>
            <w:pPr>
              <w:pStyle w:val="CodeBlock"/>
            </w:pPr>
            <w:r>
              <w:t xml:space="preserve">  apply:</w:t>
            </w:r>
          </w:p>
          <w:p>
            <w:pPr>
              <w:pStyle w:val="CodeBlock"/>
            </w:pPr>
            <w:r>
              <w:t xml:space="preserve">    if: github.ref == 'refs/heads/main'</w:t>
            </w:r>
          </w:p>
          <w:p>
            <w:pPr>
              <w:pStyle w:val="CodeBlock"/>
            </w:pPr>
            <w:r>
              <w:t xml:space="preserve">    needs: plan</w:t>
            </w:r>
          </w:p>
          <w:p>
            <w:pPr>
              <w:pStyle w:val="CodeBlock"/>
            </w:pPr>
            <w:r>
              <w:t xml:space="preserve">    runs-on: ubuntu-latest</w:t>
            </w:r>
          </w:p>
          <w:p>
            <w:pPr>
              <w:pStyle w:val="CodeBlock"/>
            </w:pPr>
            <w:r>
              <w:t xml:space="preserve">    environment: production-apply</w:t>
            </w:r>
          </w:p>
          <w:p>
            <w:pPr>
              <w:pStyle w:val="CodeBlock"/>
            </w:pPr>
            <w:r>
              <w:t xml:space="preserve">    steps:</w:t>
            </w:r>
          </w:p>
          <w:p>
            <w:pPr>
              <w:pStyle w:val="CodeBlock"/>
            </w:pPr>
            <w:r>
              <w:t xml:space="preserve">    - uses: actions/checkout@v4</w:t>
            </w:r>
          </w:p>
          <w:p>
            <w:pPr>
              <w:pStyle w:val="CodeBlock"/>
            </w:pPr>
            <w:r>
              <w:t xml:space="preserve">      with: {persist-credentials: false}</w:t>
            </w:r>
          </w:p>
          <w:p>
            <w:pPr>
              <w:pStyle w:val="CodeBlock"/>
            </w:pPr>
            <w:r>
              <w:t xml:space="preserve">    - uses: hashicorp/setup-terraform@v3</w:t>
            </w:r>
          </w:p>
          <w:p>
            <w:pPr>
              <w:pStyle w:val="CodeBlock"/>
            </w:pPr>
            <w:r>
              <w:t xml:space="preserve">      with: {terraform_version: '1.9.8'}</w:t>
            </w:r>
          </w:p>
          <w:p>
            <w:pPr>
              <w:pStyle w:val="CodeBlock"/>
            </w:pPr>
            <w:r>
              <w:t xml:space="preserve">    - uses: google-github-actions/auth@v2</w:t>
            </w:r>
          </w:p>
          <w:p>
            <w:pPr>
              <w:pStyle w:val="CodeBlock"/>
            </w:pPr>
            <w:r>
              <w:t xml:space="preserve">      with:</w:t>
            </w:r>
          </w:p>
          <w:p>
            <w:pPr>
              <w:pStyle w:val="CodeBlock"/>
            </w:pPr>
            <w:r>
              <w:t xml:space="preserve">        workload_identity_provider: ${{ vars.WIF_PROVIDER }}</w:t>
            </w:r>
          </w:p>
          <w:p>
            <w:pPr>
              <w:pStyle w:val="CodeBlock"/>
            </w:pPr>
            <w:r>
              <w:t xml:space="preserve">        service_account: ${{ vars.TERRAFORM_APPLY_SA }}</w:t>
            </w:r>
          </w:p>
          <w:p>
            <w:pPr>
              <w:pStyle w:val="CodeBlock"/>
            </w:pPr>
            <w:r>
              <w:t xml:space="preserve">    - run: terraform -chdir=infra init -input=false</w:t>
            </w:r>
          </w:p>
          <w:p>
            <w:pPr>
              <w:pStyle w:val="CodeBlock"/>
            </w:pPr>
            <w:r>
              <w:t xml:space="preserve">    - run: terraform -chdir=infra apply -input=false -lock-timeout=5m -auto-approve</w:t>
            </w:r>
          </w:p>
        </w:tc>
        <w:trPr>
          <w:tblHeader/>
        </w:trPr>
      </w:tr>
    </w:tbl>
    <w:p>
      <w:pPr>
        <w:spacing w:after="0"/>
      </w:pPr>
    </w:p>
    <w:p>
      <w:r>
        <w:br w:type="page"/>
      </w:r>
    </w:p>
    <w:p>
      <w:pPr>
        <w:pStyle w:val="Heading1"/>
      </w:pPr>
      <w:r>
        <w:t>15. Application Pipelines</w:t>
      </w:r>
    </w:p>
    <w:p>
      <w:r>
        <w:t>Application pipelines validate code, package an immutable artifact, scan it, deploy progressively and verify both technical and business health.</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5"/>
              </w:rPr>
              <w:t>Stage</w:t>
            </w:r>
          </w:p>
        </w:tc>
        <w:tc>
          <w:tcPr>
            <w:tcW w:type="dxa" w:w="5074"/>
            <w:shd w:fill="174EA6"/>
          </w:tcPr>
          <w:p>
            <w:pPr>
              <w:spacing w:after="0"/>
            </w:pPr>
            <w:r>
              <w:rPr>
                <w:b/>
                <w:color w:val="FFFFFF"/>
                <w:sz w:val="15"/>
              </w:rPr>
              <w:t>Application control</w:t>
            </w:r>
          </w:p>
        </w:tc>
      </w:tr>
      <w:tr>
        <w:tc>
          <w:tcPr>
            <w:tcW w:type="dxa" w:w="5074"/>
            <w:vAlign w:val="top"/>
          </w:tcPr>
          <w:p>
            <w:pPr>
              <w:spacing w:after="0"/>
            </w:pPr>
            <w:r>
              <w:rPr>
                <w:sz w:val="15"/>
              </w:rPr>
              <w:t>Pull request</w:t>
            </w:r>
          </w:p>
        </w:tc>
        <w:tc>
          <w:tcPr>
            <w:tcW w:type="dxa" w:w="5074"/>
            <w:vAlign w:val="top"/>
          </w:tcPr>
          <w:p>
            <w:pPr>
              <w:spacing w:after="0"/>
            </w:pPr>
            <w:r>
              <w:rPr>
                <w:sz w:val="15"/>
              </w:rPr>
              <w:t>unit, SAST, dependency, contract and policy tests</w:t>
            </w:r>
          </w:p>
        </w:tc>
      </w:tr>
      <w:tr>
        <w:tc>
          <w:tcPr>
            <w:tcW w:type="dxa" w:w="5074"/>
            <w:shd w:fill="F7F8F9"/>
            <w:vAlign w:val="top"/>
          </w:tcPr>
          <w:p>
            <w:pPr>
              <w:spacing w:after="0"/>
            </w:pPr>
            <w:r>
              <w:rPr>
                <w:sz w:val="15"/>
              </w:rPr>
              <w:t>Build</w:t>
            </w:r>
          </w:p>
        </w:tc>
        <w:tc>
          <w:tcPr>
            <w:tcW w:type="dxa" w:w="5074"/>
            <w:shd w:fill="F7F8F9"/>
            <w:vAlign w:val="top"/>
          </w:tcPr>
          <w:p>
            <w:pPr>
              <w:spacing w:after="0"/>
            </w:pPr>
            <w:r>
              <w:rPr>
                <w:sz w:val="15"/>
              </w:rPr>
              <w:t>reproducible/pinned build, SBOM, provenance and scan</w:t>
            </w:r>
          </w:p>
        </w:tc>
      </w:tr>
      <w:tr>
        <w:tc>
          <w:tcPr>
            <w:tcW w:type="dxa" w:w="5074"/>
            <w:vAlign w:val="top"/>
          </w:tcPr>
          <w:p>
            <w:pPr>
              <w:spacing w:after="0"/>
            </w:pPr>
            <w:r>
              <w:rPr>
                <w:sz w:val="15"/>
              </w:rPr>
              <w:t>Integration</w:t>
            </w:r>
          </w:p>
        </w:tc>
        <w:tc>
          <w:tcPr>
            <w:tcW w:type="dxa" w:w="5074"/>
            <w:vAlign w:val="top"/>
          </w:tcPr>
          <w:p>
            <w:pPr>
              <w:spacing w:after="0"/>
            </w:pPr>
            <w:r>
              <w:rPr>
                <w:sz w:val="15"/>
              </w:rPr>
              <w:t>managed dependencies and identity/network tests</w:t>
            </w:r>
          </w:p>
        </w:tc>
      </w:tr>
      <w:tr>
        <w:tc>
          <w:tcPr>
            <w:tcW w:type="dxa" w:w="5074"/>
            <w:shd w:fill="F7F8F9"/>
            <w:vAlign w:val="top"/>
          </w:tcPr>
          <w:p>
            <w:pPr>
              <w:spacing w:after="0"/>
            </w:pPr>
            <w:r>
              <w:rPr>
                <w:sz w:val="15"/>
              </w:rPr>
              <w:t>Staging</w:t>
            </w:r>
          </w:p>
        </w:tc>
        <w:tc>
          <w:tcPr>
            <w:tcW w:type="dxa" w:w="5074"/>
            <w:shd w:fill="F7F8F9"/>
            <w:vAlign w:val="top"/>
          </w:tcPr>
          <w:p>
            <w:pPr>
              <w:spacing w:after="0"/>
            </w:pPr>
            <w:r>
              <w:rPr>
                <w:sz w:val="15"/>
              </w:rPr>
              <w:t>production-like configuration, load, resilience and rollback rehearsal</w:t>
            </w:r>
          </w:p>
        </w:tc>
      </w:tr>
      <w:tr>
        <w:tc>
          <w:tcPr>
            <w:tcW w:type="dxa" w:w="5074"/>
            <w:vAlign w:val="top"/>
          </w:tcPr>
          <w:p>
            <w:pPr>
              <w:spacing w:after="0"/>
            </w:pPr>
            <w:r>
              <w:rPr>
                <w:sz w:val="15"/>
              </w:rPr>
              <w:t>Production</w:t>
            </w:r>
          </w:p>
        </w:tc>
        <w:tc>
          <w:tcPr>
            <w:tcW w:type="dxa" w:w="5074"/>
            <w:vAlign w:val="top"/>
          </w:tcPr>
          <w:p>
            <w:pPr>
              <w:spacing w:after="0"/>
            </w:pPr>
            <w:r>
              <w:rPr>
                <w:sz w:val="15"/>
              </w:rPr>
              <w:t>approval, canary/blue-green, SLO/business verification and rollback</w:t>
            </w:r>
          </w:p>
        </w:tc>
      </w:tr>
      <w:tr>
        <w:tc>
          <w:tcPr>
            <w:tcW w:type="dxa" w:w="5074"/>
            <w:shd w:fill="F7F8F9"/>
            <w:vAlign w:val="top"/>
          </w:tcPr>
          <w:p>
            <w:pPr>
              <w:spacing w:after="0"/>
            </w:pPr>
            <w:r>
              <w:rPr>
                <w:sz w:val="15"/>
              </w:rPr>
              <w:t>Post-release</w:t>
            </w:r>
          </w:p>
        </w:tc>
        <w:tc>
          <w:tcPr>
            <w:tcW w:type="dxa" w:w="5074"/>
            <w:shd w:fill="F7F8F9"/>
            <w:vAlign w:val="top"/>
          </w:tcPr>
          <w:p>
            <w:pPr>
              <w:spacing w:after="0"/>
            </w:pPr>
            <w:r>
              <w:rPr>
                <w:sz w:val="15"/>
              </w:rPr>
              <w:t>release annotation, metrics, incident linkage and artifact lifecycle</w:t>
            </w:r>
          </w:p>
        </w:tc>
      </w:tr>
    </w:tbl>
    <w:p>
      <w:pPr>
        <w:spacing w:after="0"/>
      </w:pPr>
    </w:p>
    <w:p>
      <w:r>
        <w:br w:type="page"/>
      </w:r>
    </w:p>
    <w:p>
      <w:pPr>
        <w:pStyle w:val="Heading1"/>
      </w:pPr>
      <w:r>
        <w:t>16. Dataform Pipelines</w:t>
      </w:r>
    </w:p>
    <w:p>
      <w:r>
        <w:t>Dataform pipelines compile an immutable repository commit, execute assertions, promote release/workflow configuration and verify BigQuery outputs. SQL development and runtime identities are separated.</w:t>
      </w:r>
    </w:p>
    <w:p>
      <w:pPr>
        <w:pStyle w:val="ListBullet"/>
      </w:pPr>
      <w:r>
        <w:t>Compile on pull request and production release; fail on graph or SQL compilation errors.</w:t>
      </w:r>
    </w:p>
    <w:p>
      <w:pPr>
        <w:pStyle w:val="ListBullet"/>
      </w:pPr>
      <w:r>
        <w:t>Run assertions and data-contract tests before dependent assets are certified.</w:t>
      </w:r>
    </w:p>
    <w:p>
      <w:pPr>
        <w:pStyle w:val="ListBullet"/>
      </w:pPr>
      <w:r>
        <w:t>Use environment-specific release/workflow configuration, not environment branches with divergent SQL.</w:t>
      </w:r>
    </w:p>
    <w:p>
      <w:pPr>
        <w:pStyle w:val="ListBullet"/>
      </w:pPr>
      <w:r>
        <w:t>Capture compilation result, workflow invocation, BigQuery job IDs, assertion results and commit.</w:t>
      </w:r>
    </w:p>
    <w:p>
      <w:pPr>
        <w:pStyle w:val="ListBullet"/>
      </w:pPr>
      <w:r>
        <w:t>Rollback uses the last approved commit/configuration and a governed data correction strategy.</w:t>
      </w:r>
    </w:p>
    <w:p>
      <w:r>
        <w:br w:type="page"/>
      </w:r>
    </w:p>
    <w:p>
      <w:pPr>
        <w:pStyle w:val="Heading1"/>
      </w:pPr>
      <w:r>
        <w:t>17. Dataflow Pipelines</w:t>
      </w:r>
    </w:p>
    <w:p>
      <w:r>
        <w:t>Dataflow pipelines build versioned Flex Template artifacts from tested Apache Beam code. Streaming deployments distinguish compatible update from drain, snapshot, restart and replay.</w:t>
      </w:r>
    </w:p>
    <w:p>
      <w:pPr>
        <w:pStyle w:val="ListBullet"/>
      </w:pPr>
      <w:r>
        <w:t>Run unit and Beam test-pipeline tests before the image build.</w:t>
      </w:r>
    </w:p>
    <w:p>
      <w:pPr>
        <w:pStyle w:val="ListBullet"/>
      </w:pPr>
      <w:r>
        <w:t>Build and scan an immutable container; publish a versioned Flex Template spec.</w:t>
      </w:r>
    </w:p>
    <w:p>
      <w:pPr>
        <w:pStyle w:val="ListBullet"/>
      </w:pPr>
      <w:r>
        <w:t>Deploy with dedicated runtime identity, network, KMS and environment parameters.</w:t>
      </w:r>
    </w:p>
    <w:p>
      <w:pPr>
        <w:pStyle w:val="ListBullet"/>
      </w:pPr>
      <w:r>
        <w:t>Test state/timer/schema compatibility before streaming update.</w:t>
      </w:r>
    </w:p>
    <w:p>
      <w:pPr>
        <w:pStyle w:val="ListBullet"/>
      </w:pPr>
      <w:r>
        <w:t>Record template path, image digest, job ID, source offsets/snapshot and reconciliation evidence.</w:t>
      </w:r>
    </w:p>
    <w:p>
      <w:pPr>
        <w:pStyle w:val="ListBullet"/>
      </w:pPr>
      <w:r>
        <w:t>Rollback is not assumed to be a simple image change; use the Volume 4 and Volume 12 recovery semantics.</w:t>
      </w:r>
    </w:p>
    <w:p>
      <w:r>
        <w:br w:type="page"/>
      </w:r>
    </w:p>
    <w:p>
      <w:pPr>
        <w:pStyle w:val="Heading1"/>
      </w:pPr>
      <w:r>
        <w:t>18. Airflow Deployment</w:t>
      </w:r>
    </w:p>
    <w:p>
      <w:r>
        <w:t>Managed Airflow releases consist of DAGs, dependencies, plugins/configuration and environment image/version changes, each with distinct risk and rollback.</w:t>
      </w:r>
    </w:p>
    <w:p>
      <w:pPr>
        <w:pStyle w:val="ListBullet"/>
      </w:pPr>
      <w:r>
        <w:t>Parse and unit-test DAGs without contacting production services.</w:t>
      </w:r>
    </w:p>
    <w:p>
      <w:pPr>
        <w:pStyle w:val="ListBullet"/>
      </w:pPr>
      <w:r>
        <w:t>Keep DAG code thin; transformation runs in managed execution engines.</w:t>
      </w:r>
    </w:p>
    <w:p>
      <w:pPr>
        <w:pStyle w:val="ListBullet"/>
      </w:pPr>
      <w:r>
        <w:t>Synchronize a versioned DAG bundle through a controlled deployment identity.</w:t>
      </w:r>
    </w:p>
    <w:p>
      <w:pPr>
        <w:pStyle w:val="ListBullet"/>
      </w:pPr>
      <w:r>
        <w:t>Pin provider/dependency versions and test in a non-production environment before image upgrade.</w:t>
      </w:r>
    </w:p>
    <w:p>
      <w:pPr>
        <w:pStyle w:val="ListBullet"/>
      </w:pPr>
      <w:r>
        <w:t>Monitor import errors, scheduler health, queue, task failures and backfill concurrency.</w:t>
      </w:r>
    </w:p>
    <w:p>
      <w:pPr>
        <w:pStyle w:val="ListBullet"/>
      </w:pPr>
      <w:r>
        <w:t>Rollback the DAG bundle or environment configuration separately and verify scheduler state.</w:t>
      </w:r>
    </w:p>
    <w:p>
      <w:r>
        <w:br w:type="page"/>
      </w:r>
    </w:p>
    <w:p>
      <w:pPr>
        <w:pStyle w:val="Heading1"/>
      </w:pPr>
      <w:r>
        <w:t>19. BigQuery and Schema Deployment</w:t>
      </w:r>
    </w:p>
    <w:p>
      <w:r>
        <w:t>BigQuery releases include SQL objects, routines, views, authorized views, policy tags, row policies and schema migrations. Data compatibility and recovery are first-class because infrastructure-style rollback is often insufficient.</w:t>
      </w:r>
    </w:p>
    <w:p>
      <w:pPr>
        <w:pStyle w:val="ListBullet"/>
      </w:pPr>
      <w:r>
        <w:t>Use dry-run query validation, maximum bytes guardrails and static SQL checks.</w:t>
      </w:r>
    </w:p>
    <w:p>
      <w:pPr>
        <w:pStyle w:val="ListBullet"/>
      </w:pPr>
      <w:r>
        <w:t>Classify migration as additive, compatible, deprecating or destructive.</w:t>
      </w:r>
    </w:p>
    <w:p>
      <w:pPr>
        <w:pStyle w:val="ListBullet"/>
      </w:pPr>
      <w:r>
        <w:t>Use expand-and-contract and compatibility views for consumer-safe evolution.</w:t>
      </w:r>
    </w:p>
    <w:p>
      <w:pPr>
        <w:pStyle w:val="ListBullet"/>
      </w:pPr>
      <w:r>
        <w:t>Snapshot or preserve time-travel/restore path before destructive Tier 0/1 changes.</w:t>
      </w:r>
    </w:p>
    <w:p>
      <w:pPr>
        <w:pStyle w:val="ListBullet"/>
      </w:pPr>
      <w:r>
        <w:t>Execute reconciliation, quality and performance checks before certification.</w:t>
      </w:r>
    </w:p>
    <w:p>
      <w:pPr>
        <w:pStyle w:val="ListBullet"/>
      </w:pPr>
      <w:r>
        <w:t>Record BigQuery job IDs, migration checksum, affected contracts and recovery decision.</w:t>
      </w:r>
    </w:p>
    <w:p>
      <w:r>
        <w:br w:type="page"/>
      </w:r>
    </w:p>
    <w:p>
      <w:pPr>
        <w:pStyle w:val="Heading1"/>
      </w:pPr>
      <w:r>
        <w:t>20. Policy-as-Code</w:t>
      </w:r>
    </w:p>
    <w:p>
      <w:r>
        <w:t>Policy-as-code converts mandatory architecture and security controls into versioned tests or enforcement. Policies have owners, tests, severity, exception process and staged rollout.</w:t>
      </w:r>
    </w:p>
    <w:p>
      <w:pPr>
        <w:pStyle w:val="ListBullet"/>
      </w:pPr>
      <w:r>
        <w:t>Run local/PR policy tests for fast feedback and repeat them at trusted build/deploy boundaries.</w:t>
      </w:r>
    </w:p>
    <w:p>
      <w:pPr>
        <w:pStyle w:val="ListBullet"/>
      </w:pPr>
      <w:r>
        <w:t>Use audit/dry-run before enforcing new broad organization, admission or cleanup policy.</w:t>
      </w:r>
    </w:p>
    <w:p>
      <w:pPr>
        <w:pStyle w:val="ListBullet"/>
      </w:pPr>
      <w:r>
        <w:t>Keep policy input adapters stable and test provider/scanner schema changes.</w:t>
      </w:r>
    </w:p>
    <w:p>
      <w:pPr>
        <w:pStyle w:val="ListBullet"/>
      </w:pPr>
      <w:r>
        <w:t>Separate mandatory deny policies from advisory recommendations.</w:t>
      </w:r>
    </w:p>
    <w:p>
      <w:pPr>
        <w:pStyle w:val="ListBullet"/>
      </w:pPr>
      <w:r>
        <w:t>Exceptions require risk owner, rationale, compensating controls, scope and expiry.</w:t>
      </w:r>
    </w:p>
    <w:p>
      <w:pPr>
        <w:pStyle w:val="ListBullet"/>
      </w:pPr>
      <w:r>
        <w:t>Measure false-positive, bypass and remediation rates.</w:t>
      </w:r>
    </w:p>
    <w:tbl>
      <w:tblPr>
        <w:tblStyle w:val="TableGrid"/>
        <w:tblW w:type="auto" w:w="0"/>
        <w:tblLook w:firstColumn="1" w:firstRow="1" w:lastColumn="0" w:lastRow="0" w:noHBand="0" w:noVBand="1" w:val="04A0"/>
      </w:tblPr>
      <w:tblGrid>
        <w:gridCol w:w="10148"/>
      </w:tblGrid>
      <w:tr>
        <w:tc>
          <w:tcPr>
            <w:tcW w:type="dxa" w:w="10148"/>
            <w:shd w:fill="F3F4F6"/>
          </w:tcPr>
          <w:p>
            <w:pPr>
              <w:pStyle w:val="CodeBlock"/>
            </w:pPr>
            <w:r>
              <w:t>package terraform.egcdp</w:t>
            </w:r>
          </w:p>
          <w:p>
            <w:pPr>
              <w:pStyle w:val="CodeBlock"/>
            </w:pPr>
            <w:r>
              <w:t>import rego.v1</w:t>
            </w:r>
          </w:p>
          <w:p>
            <w:pPr>
              <w:pStyle w:val="CodeBlock"/>
            </w:pPr>
            <w:r/>
          </w:p>
          <w:p>
            <w:pPr>
              <w:pStyle w:val="CodeBlock"/>
            </w:pPr>
            <w:r>
              <w:t>deny contains msg if {</w:t>
            </w:r>
          </w:p>
          <w:p>
            <w:pPr>
              <w:pStyle w:val="CodeBlock"/>
            </w:pPr>
            <w:r>
              <w:t xml:space="preserve">  some rc in input.resource_changes</w:t>
            </w:r>
          </w:p>
          <w:p>
            <w:pPr>
              <w:pStyle w:val="CodeBlock"/>
            </w:pPr>
            <w:r>
              <w:t xml:space="preserve">  rc.type == "google_service_account_key"</w:t>
            </w:r>
          </w:p>
          <w:p>
            <w:pPr>
              <w:pStyle w:val="CodeBlock"/>
            </w:pPr>
            <w:r>
              <w:t xml:space="preserve">  msg := sprintf("User-managed service account keys are prohibited: %s", [rc.address])</w:t>
            </w:r>
          </w:p>
          <w:p>
            <w:pPr>
              <w:pStyle w:val="CodeBlock"/>
            </w:pPr>
            <w:r>
              <w:t>}</w:t>
            </w:r>
          </w:p>
          <w:p>
            <w:pPr>
              <w:pStyle w:val="CodeBlock"/>
            </w:pPr>
            <w:r>
              <w:t>deny contains msg if {</w:t>
            </w:r>
          </w:p>
          <w:p>
            <w:pPr>
              <w:pStyle w:val="CodeBlock"/>
            </w:pPr>
            <w:r>
              <w:t xml:space="preserve">  some rc in input.resource_changes</w:t>
            </w:r>
          </w:p>
          <w:p>
            <w:pPr>
              <w:pStyle w:val="CodeBlock"/>
            </w:pPr>
            <w:r>
              <w:t xml:space="preserve">  rc.type == "google_artifact_registry_repository"</w:t>
            </w:r>
          </w:p>
          <w:p>
            <w:pPr>
              <w:pStyle w:val="CodeBlock"/>
            </w:pPr>
            <w:r>
              <w:t xml:space="preserve">  rc.change.after.format == "DOCKER"</w:t>
            </w:r>
          </w:p>
          <w:p>
            <w:pPr>
              <w:pStyle w:val="CodeBlock"/>
            </w:pPr>
            <w:r>
              <w:t xml:space="preserve">  not rc.change.after.docker_config[0].immutable_tags</w:t>
            </w:r>
          </w:p>
          <w:p>
            <w:pPr>
              <w:pStyle w:val="CodeBlock"/>
            </w:pPr>
            <w:r>
              <w:t xml:space="preserve">  msg := sprintf("Docker repository must enable immutable tags: %s", [rc.address])</w:t>
            </w:r>
          </w:p>
          <w:p>
            <w:pPr>
              <w:pStyle w:val="CodeBlock"/>
            </w:pPr>
            <w:r>
              <w:t>}</w:t>
            </w:r>
          </w:p>
        </w:tc>
        <w:trPr>
          <w:tblHeader/>
        </w:trPr>
      </w:tr>
    </w:tbl>
    <w:p>
      <w:pPr>
        <w:spacing w:after="0"/>
      </w:pPr>
    </w:p>
    <w:p>
      <w:r>
        <w:br w:type="page"/>
      </w:r>
    </w:p>
    <w:p>
      <w:pPr>
        <w:pStyle w:val="Heading1"/>
      </w:pPr>
      <w:r>
        <w:t>21. Security and Supply-chain Scanning</w:t>
      </w:r>
    </w:p>
    <w:p>
      <w:r>
        <w:t>Scanning is layered because no single tool covers source, secrets, dependencies, containers, infrastructure and runtime. Results are normalized into severity and ownership rather than simply accumulated.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5"/>
              </w:rPr>
              <w:t>Scan</w:t>
            </w:r>
          </w:p>
        </w:tc>
        <w:tc>
          <w:tcPr>
            <w:tcW w:type="dxa" w:w="5074"/>
            <w:shd w:fill="174EA6"/>
          </w:tcPr>
          <w:p>
            <w:pPr>
              <w:spacing w:after="0"/>
            </w:pPr>
            <w:r>
              <w:rPr>
                <w:b/>
                <w:color w:val="FFFFFF"/>
                <w:sz w:val="15"/>
              </w:rPr>
              <w:t>Release decision</w:t>
            </w:r>
          </w:p>
        </w:tc>
      </w:tr>
      <w:tr>
        <w:tc>
          <w:tcPr>
            <w:tcW w:type="dxa" w:w="5074"/>
            <w:vAlign w:val="top"/>
          </w:tcPr>
          <w:p>
            <w:pPr>
              <w:spacing w:after="0"/>
            </w:pPr>
            <w:r>
              <w:rPr>
                <w:sz w:val="15"/>
              </w:rPr>
              <w:t>Secret</w:t>
            </w:r>
          </w:p>
        </w:tc>
        <w:tc>
          <w:tcPr>
            <w:tcW w:type="dxa" w:w="5074"/>
            <w:vAlign w:val="top"/>
          </w:tcPr>
          <w:p>
            <w:pPr>
              <w:spacing w:after="0"/>
            </w:pPr>
            <w:r>
              <w:rPr>
                <w:sz w:val="15"/>
              </w:rPr>
              <w:t>Any valid credential blocks merge; rotate and investigate</w:t>
            </w:r>
          </w:p>
        </w:tc>
      </w:tr>
      <w:tr>
        <w:tc>
          <w:tcPr>
            <w:tcW w:type="dxa" w:w="5074"/>
            <w:shd w:fill="F7F8F9"/>
            <w:vAlign w:val="top"/>
          </w:tcPr>
          <w:p>
            <w:pPr>
              <w:spacing w:after="0"/>
            </w:pPr>
            <w:r>
              <w:rPr>
                <w:sz w:val="15"/>
              </w:rPr>
              <w:t>SAST</w:t>
            </w:r>
          </w:p>
        </w:tc>
        <w:tc>
          <w:tcPr>
            <w:tcW w:type="dxa" w:w="5074"/>
            <w:shd w:fill="F7F8F9"/>
            <w:vAlign w:val="top"/>
          </w:tcPr>
          <w:p>
            <w:pPr>
              <w:spacing w:after="0"/>
            </w:pPr>
            <w:r>
              <w:rPr>
                <w:sz w:val="15"/>
              </w:rPr>
              <w:t>Critical/high exploitable finding blocks according to risk policy</w:t>
            </w:r>
          </w:p>
        </w:tc>
      </w:tr>
      <w:tr>
        <w:tc>
          <w:tcPr>
            <w:tcW w:type="dxa" w:w="5074"/>
            <w:vAlign w:val="top"/>
          </w:tcPr>
          <w:p>
            <w:pPr>
              <w:spacing w:after="0"/>
            </w:pPr>
            <w:r>
              <w:rPr>
                <w:sz w:val="15"/>
              </w:rPr>
              <w:t>Dependency/license</w:t>
            </w:r>
          </w:p>
        </w:tc>
        <w:tc>
          <w:tcPr>
            <w:tcW w:type="dxa" w:w="5074"/>
            <w:vAlign w:val="top"/>
          </w:tcPr>
          <w:p>
            <w:pPr>
              <w:spacing w:after="0"/>
            </w:pPr>
            <w:r>
              <w:rPr>
                <w:sz w:val="15"/>
              </w:rPr>
              <w:t>Block prohibited license and critical vulnerable dependency without approved mitigation</w:t>
            </w:r>
          </w:p>
        </w:tc>
      </w:tr>
      <w:tr>
        <w:tc>
          <w:tcPr>
            <w:tcW w:type="dxa" w:w="5074"/>
            <w:shd w:fill="F7F8F9"/>
            <w:vAlign w:val="top"/>
          </w:tcPr>
          <w:p>
            <w:pPr>
              <w:spacing w:after="0"/>
            </w:pPr>
            <w:r>
              <w:rPr>
                <w:sz w:val="15"/>
              </w:rPr>
              <w:t>Container</w:t>
            </w:r>
          </w:p>
        </w:tc>
        <w:tc>
          <w:tcPr>
            <w:tcW w:type="dxa" w:w="5074"/>
            <w:shd w:fill="F7F8F9"/>
            <w:vAlign w:val="top"/>
          </w:tcPr>
          <w:p>
            <w:pPr>
              <w:spacing w:after="0"/>
            </w:pPr>
            <w:r>
              <w:rPr>
                <w:sz w:val="15"/>
              </w:rPr>
              <w:t>Artifact Analysis and approved scanner produce artifact-linked findings</w:t>
            </w:r>
          </w:p>
        </w:tc>
      </w:tr>
      <w:tr>
        <w:tc>
          <w:tcPr>
            <w:tcW w:type="dxa" w:w="5074"/>
            <w:vAlign w:val="top"/>
          </w:tcPr>
          <w:p>
            <w:pPr>
              <w:spacing w:after="0"/>
            </w:pPr>
            <w:r>
              <w:rPr>
                <w:sz w:val="15"/>
              </w:rPr>
              <w:t>Terraform/IaC</w:t>
            </w:r>
          </w:p>
        </w:tc>
        <w:tc>
          <w:tcPr>
            <w:tcW w:type="dxa" w:w="5074"/>
            <w:vAlign w:val="top"/>
          </w:tcPr>
          <w:p>
            <w:pPr>
              <w:spacing w:after="0"/>
            </w:pPr>
            <w:r>
              <w:rPr>
                <w:sz w:val="15"/>
              </w:rPr>
              <w:t>Block public exposure, keys, broad IAM, missing encryption/perimeter controls</w:t>
            </w:r>
          </w:p>
        </w:tc>
      </w:tr>
      <w:tr>
        <w:tc>
          <w:tcPr>
            <w:tcW w:type="dxa" w:w="5074"/>
            <w:shd w:fill="F7F8F9"/>
            <w:vAlign w:val="top"/>
          </w:tcPr>
          <w:p>
            <w:pPr>
              <w:spacing w:after="0"/>
            </w:pPr>
            <w:r>
              <w:rPr>
                <w:sz w:val="15"/>
              </w:rPr>
              <w:t>DAST/API</w:t>
            </w:r>
          </w:p>
        </w:tc>
        <w:tc>
          <w:tcPr>
            <w:tcW w:type="dxa" w:w="5074"/>
            <w:shd w:fill="F7F8F9"/>
            <w:vAlign w:val="top"/>
          </w:tcPr>
          <w:p>
            <w:pPr>
              <w:spacing w:after="0"/>
            </w:pPr>
            <w:r>
              <w:rPr>
                <w:sz w:val="15"/>
              </w:rPr>
              <w:t>Block exploitable high-severity issue in target environment</w:t>
            </w:r>
          </w:p>
        </w:tc>
      </w:tr>
      <w:tr>
        <w:tc>
          <w:tcPr>
            <w:tcW w:type="dxa" w:w="5074"/>
            <w:vAlign w:val="top"/>
          </w:tcPr>
          <w:p>
            <w:pPr>
              <w:spacing w:after="0"/>
            </w:pPr>
            <w:r>
              <w:rPr>
                <w:sz w:val="15"/>
              </w:rPr>
              <w:t>Binary Authorization</w:t>
            </w:r>
          </w:p>
        </w:tc>
        <w:tc>
          <w:tcPr>
            <w:tcW w:type="dxa" w:w="5074"/>
            <w:vAlign w:val="top"/>
          </w:tcPr>
          <w:p>
            <w:pPr>
              <w:spacing w:after="0"/>
            </w:pPr>
            <w:r>
              <w:rPr>
                <w:sz w:val="15"/>
              </w:rPr>
              <w:t>Deny artifact lacking required attestations</w:t>
            </w:r>
          </w:p>
        </w:tc>
      </w:tr>
      <w:tr>
        <w:tc>
          <w:tcPr>
            <w:tcW w:type="dxa" w:w="5074"/>
            <w:shd w:fill="F7F8F9"/>
            <w:vAlign w:val="top"/>
          </w:tcPr>
          <w:p>
            <w:pPr>
              <w:spacing w:after="0"/>
            </w:pPr>
            <w:r>
              <w:rPr>
                <w:sz w:val="15"/>
              </w:rPr>
              <w:t>Continuous validation</w:t>
            </w:r>
          </w:p>
        </w:tc>
        <w:tc>
          <w:tcPr>
            <w:tcW w:type="dxa" w:w="5074"/>
            <w:shd w:fill="F7F8F9"/>
            <w:vAlign w:val="top"/>
          </w:tcPr>
          <w:p>
            <w:pPr>
              <w:spacing w:after="0"/>
            </w:pPr>
            <w:r>
              <w:rPr>
                <w:sz w:val="15"/>
              </w:rPr>
              <w:t>Open incident/remediation for running policy violation</w:t>
            </w:r>
          </w:p>
        </w:tc>
      </w:tr>
    </w:tbl>
    <w:p>
      <w:pPr>
        <w:spacing w:after="0"/>
      </w:pPr>
    </w:p>
    <w:p>
      <w:r>
        <w:br w:type="page"/>
      </w:r>
    </w:p>
    <w:p>
      <w:pPr>
        <w:pStyle w:val="Heading1"/>
      </w:pPr>
      <w:r>
        <w:t>22. Testing Strategy</w:t>
      </w:r>
    </w:p>
    <w:p>
      <w:r>
        <w:t>Testing follows a pyramid but includes managed integration, data correctness, performance, security and recovery because pipeline success is not equivalent to business correctness.</w:t>
      </w:r>
    </w:p>
    <w:p>
      <w:pPr>
        <w:pStyle w:val="ListBullet"/>
      </w:pPr>
      <w:r>
        <w:t>Unit tests isolate deterministic business and transformation logic.</w:t>
      </w:r>
    </w:p>
    <w:p>
      <w:pPr>
        <w:pStyle w:val="ListBullet"/>
      </w:pPr>
      <w:r>
        <w:t>Contract tests validate API, event, schema and data-product compatibility.</w:t>
      </w:r>
    </w:p>
    <w:p>
      <w:pPr>
        <w:pStyle w:val="ListBullet"/>
      </w:pPr>
      <w:r>
        <w:t>Integration tests use real managed services and synthetic/masked data in isolated projects.</w:t>
      </w:r>
    </w:p>
    <w:p>
      <w:pPr>
        <w:pStyle w:val="ListBullet"/>
      </w:pPr>
      <w:r>
        <w:t>Data and quality tests validate completeness, reconciliation, freshness and business rules.</w:t>
      </w:r>
    </w:p>
    <w:p>
      <w:pPr>
        <w:pStyle w:val="ListBullet"/>
      </w:pPr>
      <w:r>
        <w:t>Performance tests include volume, concurrency, skew, quotas and unit cost.</w:t>
      </w:r>
    </w:p>
    <w:p>
      <w:pPr>
        <w:pStyle w:val="ListBullet"/>
      </w:pPr>
      <w:r>
        <w:t>Security tests cover identity, network, perimeter, secrets, malicious input and policy bypass.</w:t>
      </w:r>
    </w:p>
    <w:p>
      <w:pPr>
        <w:pStyle w:val="ListBullet"/>
      </w:pPr>
      <w:r>
        <w:t>Resilience and rollback tests prove dependency failure, partial release and recovery.</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5"/>
              </w:rPr>
              <w:t>Stage</w:t>
            </w:r>
          </w:p>
        </w:tc>
        <w:tc>
          <w:tcPr>
            <w:tcW w:type="dxa" w:w="2537"/>
            <w:shd w:fill="174EA6"/>
          </w:tcPr>
          <w:p>
            <w:pPr>
              <w:spacing w:after="0"/>
            </w:pPr>
            <w:r>
              <w:rPr>
                <w:b/>
                <w:color w:val="FFFFFF"/>
                <w:sz w:val="15"/>
              </w:rPr>
              <w:t>Tests</w:t>
            </w:r>
          </w:p>
        </w:tc>
        <w:tc>
          <w:tcPr>
            <w:tcW w:type="dxa" w:w="2537"/>
            <w:shd w:fill="174EA6"/>
          </w:tcPr>
          <w:p>
            <w:pPr>
              <w:spacing w:after="0"/>
            </w:pPr>
            <w:r>
              <w:rPr>
                <w:b/>
                <w:color w:val="FFFFFF"/>
                <w:sz w:val="15"/>
              </w:rPr>
              <w:t>Failure effect</w:t>
            </w:r>
          </w:p>
        </w:tc>
        <w:tc>
          <w:tcPr>
            <w:tcW w:type="dxa" w:w="2537"/>
            <w:shd w:fill="174EA6"/>
          </w:tcPr>
          <w:p>
            <w:pPr>
              <w:spacing w:after="0"/>
            </w:pPr>
            <w:r>
              <w:rPr>
                <w:b/>
                <w:color w:val="FFFFFF"/>
                <w:sz w:val="15"/>
              </w:rPr>
              <w:t>Evidence</w:t>
            </w:r>
          </w:p>
        </w:tc>
      </w:tr>
      <w:tr>
        <w:tc>
          <w:tcPr>
            <w:tcW w:type="dxa" w:w="2537"/>
            <w:vAlign w:val="top"/>
          </w:tcPr>
          <w:p>
            <w:pPr>
              <w:spacing w:after="0"/>
            </w:pPr>
            <w:r>
              <w:rPr>
                <w:sz w:val="15"/>
              </w:rPr>
              <w:t>pre-commit</w:t>
            </w:r>
          </w:p>
        </w:tc>
        <w:tc>
          <w:tcPr>
            <w:tcW w:type="dxa" w:w="2537"/>
            <w:vAlign w:val="top"/>
          </w:tcPr>
          <w:p>
            <w:pPr>
              <w:spacing w:after="0"/>
            </w:pPr>
            <w:r>
              <w:rPr>
                <w:sz w:val="15"/>
              </w:rPr>
              <w:t>format, lint, local unit, secret</w:t>
            </w:r>
          </w:p>
        </w:tc>
        <w:tc>
          <w:tcPr>
            <w:tcW w:type="dxa" w:w="2537"/>
            <w:vAlign w:val="top"/>
          </w:tcPr>
          <w:p>
            <w:pPr>
              <w:spacing w:after="0"/>
            </w:pPr>
            <w:r>
              <w:rPr>
                <w:sz w:val="15"/>
              </w:rPr>
              <w:t>block commit/review</w:t>
            </w:r>
          </w:p>
        </w:tc>
        <w:tc>
          <w:tcPr>
            <w:tcW w:type="dxa" w:w="2537"/>
            <w:vAlign w:val="top"/>
          </w:tcPr>
          <w:p>
            <w:pPr>
              <w:spacing w:after="0"/>
            </w:pPr>
            <w:r>
              <w:rPr>
                <w:sz w:val="15"/>
              </w:rPr>
              <w:t>local/CI status</w:t>
            </w:r>
          </w:p>
        </w:tc>
      </w:tr>
      <w:tr>
        <w:tc>
          <w:tcPr>
            <w:tcW w:type="dxa" w:w="2537"/>
            <w:shd w:fill="F7F8F9"/>
            <w:vAlign w:val="top"/>
          </w:tcPr>
          <w:p>
            <w:pPr>
              <w:spacing w:after="0"/>
            </w:pPr>
            <w:r>
              <w:rPr>
                <w:sz w:val="15"/>
              </w:rPr>
              <w:t>pull request</w:t>
            </w:r>
          </w:p>
        </w:tc>
        <w:tc>
          <w:tcPr>
            <w:tcW w:type="dxa" w:w="2537"/>
            <w:shd w:fill="F7F8F9"/>
            <w:vAlign w:val="top"/>
          </w:tcPr>
          <w:p>
            <w:pPr>
              <w:spacing w:after="0"/>
            </w:pPr>
            <w:r>
              <w:rPr>
                <w:sz w:val="15"/>
              </w:rPr>
              <w:t>unit, SAST, dependency, IaC, policy, contract</w:t>
            </w:r>
          </w:p>
        </w:tc>
        <w:tc>
          <w:tcPr>
            <w:tcW w:type="dxa" w:w="2537"/>
            <w:shd w:fill="F7F8F9"/>
            <w:vAlign w:val="top"/>
          </w:tcPr>
          <w:p>
            <w:pPr>
              <w:spacing w:after="0"/>
            </w:pPr>
            <w:r>
              <w:rPr>
                <w:sz w:val="15"/>
              </w:rPr>
              <w:t>block merge</w:t>
            </w:r>
          </w:p>
        </w:tc>
        <w:tc>
          <w:tcPr>
            <w:tcW w:type="dxa" w:w="2537"/>
            <w:shd w:fill="F7F8F9"/>
            <w:vAlign w:val="top"/>
          </w:tcPr>
          <w:p>
            <w:pPr>
              <w:spacing w:after="0"/>
            </w:pPr>
            <w:r>
              <w:rPr>
                <w:sz w:val="15"/>
              </w:rPr>
              <w:t>checks and review</w:t>
            </w:r>
          </w:p>
        </w:tc>
      </w:tr>
      <w:tr>
        <w:tc>
          <w:tcPr>
            <w:tcW w:type="dxa" w:w="2537"/>
            <w:vAlign w:val="top"/>
          </w:tcPr>
          <w:p>
            <w:pPr>
              <w:spacing w:after="0"/>
            </w:pPr>
            <w:r>
              <w:rPr>
                <w:sz w:val="15"/>
              </w:rPr>
              <w:t>build</w:t>
            </w:r>
          </w:p>
        </w:tc>
        <w:tc>
          <w:tcPr>
            <w:tcW w:type="dxa" w:w="2537"/>
            <w:vAlign w:val="top"/>
          </w:tcPr>
          <w:p>
            <w:pPr>
              <w:spacing w:after="0"/>
            </w:pPr>
            <w:r>
              <w:rPr>
                <w:sz w:val="15"/>
              </w:rPr>
              <w:t>container/image, SBOM, provenance, vulnerability</w:t>
            </w:r>
          </w:p>
        </w:tc>
        <w:tc>
          <w:tcPr>
            <w:tcW w:type="dxa" w:w="2537"/>
            <w:vAlign w:val="top"/>
          </w:tcPr>
          <w:p>
            <w:pPr>
              <w:spacing w:after="0"/>
            </w:pPr>
            <w:r>
              <w:rPr>
                <w:sz w:val="15"/>
              </w:rPr>
              <w:t>block publication/attestation</w:t>
            </w:r>
          </w:p>
        </w:tc>
        <w:tc>
          <w:tcPr>
            <w:tcW w:type="dxa" w:w="2537"/>
            <w:vAlign w:val="top"/>
          </w:tcPr>
          <w:p>
            <w:pPr>
              <w:spacing w:after="0"/>
            </w:pPr>
            <w:r>
              <w:rPr>
                <w:sz w:val="15"/>
              </w:rPr>
              <w:t>build evidence</w:t>
            </w:r>
          </w:p>
        </w:tc>
      </w:tr>
      <w:tr>
        <w:tc>
          <w:tcPr>
            <w:tcW w:type="dxa" w:w="2537"/>
            <w:shd w:fill="F7F8F9"/>
            <w:vAlign w:val="top"/>
          </w:tcPr>
          <w:p>
            <w:pPr>
              <w:spacing w:after="0"/>
            </w:pPr>
            <w:r>
              <w:rPr>
                <w:sz w:val="15"/>
              </w:rPr>
              <w:t>integration</w:t>
            </w:r>
          </w:p>
        </w:tc>
        <w:tc>
          <w:tcPr>
            <w:tcW w:type="dxa" w:w="2537"/>
            <w:shd w:fill="F7F8F9"/>
            <w:vAlign w:val="top"/>
          </w:tcPr>
          <w:p>
            <w:pPr>
              <w:spacing w:after="0"/>
            </w:pPr>
            <w:r>
              <w:rPr>
                <w:sz w:val="15"/>
              </w:rPr>
              <w:t>managed service and identity/network</w:t>
            </w:r>
          </w:p>
        </w:tc>
        <w:tc>
          <w:tcPr>
            <w:tcW w:type="dxa" w:w="2537"/>
            <w:shd w:fill="F7F8F9"/>
            <w:vAlign w:val="top"/>
          </w:tcPr>
          <w:p>
            <w:pPr>
              <w:spacing w:after="0"/>
            </w:pPr>
            <w:r>
              <w:rPr>
                <w:sz w:val="15"/>
              </w:rPr>
              <w:t>block promotion</w:t>
            </w:r>
          </w:p>
        </w:tc>
        <w:tc>
          <w:tcPr>
            <w:tcW w:type="dxa" w:w="2537"/>
            <w:shd w:fill="F7F8F9"/>
            <w:vAlign w:val="top"/>
          </w:tcPr>
          <w:p>
            <w:pPr>
              <w:spacing w:after="0"/>
            </w:pPr>
            <w:r>
              <w:rPr>
                <w:sz w:val="15"/>
              </w:rPr>
              <w:t>run IDs/logs</w:t>
            </w:r>
          </w:p>
        </w:tc>
      </w:tr>
      <w:tr>
        <w:tc>
          <w:tcPr>
            <w:tcW w:type="dxa" w:w="2537"/>
            <w:vAlign w:val="top"/>
          </w:tcPr>
          <w:p>
            <w:pPr>
              <w:spacing w:after="0"/>
            </w:pPr>
            <w:r>
              <w:rPr>
                <w:sz w:val="15"/>
              </w:rPr>
              <w:t>test</w:t>
            </w:r>
          </w:p>
        </w:tc>
        <w:tc>
          <w:tcPr>
            <w:tcW w:type="dxa" w:w="2537"/>
            <w:vAlign w:val="top"/>
          </w:tcPr>
          <w:p>
            <w:pPr>
              <w:spacing w:after="0"/>
            </w:pPr>
            <w:r>
              <w:rPr>
                <w:sz w:val="15"/>
              </w:rPr>
              <w:t>data quality, performance, resilience, DAST</w:t>
            </w:r>
          </w:p>
        </w:tc>
        <w:tc>
          <w:tcPr>
            <w:tcW w:type="dxa" w:w="2537"/>
            <w:vAlign w:val="top"/>
          </w:tcPr>
          <w:p>
            <w:pPr>
              <w:spacing w:after="0"/>
            </w:pPr>
            <w:r>
              <w:rPr>
                <w:sz w:val="15"/>
              </w:rPr>
              <w:t>block staging</w:t>
            </w:r>
          </w:p>
        </w:tc>
        <w:tc>
          <w:tcPr>
            <w:tcW w:type="dxa" w:w="2537"/>
            <w:vAlign w:val="top"/>
          </w:tcPr>
          <w:p>
            <w:pPr>
              <w:spacing w:after="0"/>
            </w:pPr>
            <w:r>
              <w:rPr>
                <w:sz w:val="15"/>
              </w:rPr>
              <w:t>reports</w:t>
            </w:r>
          </w:p>
        </w:tc>
      </w:tr>
      <w:tr>
        <w:tc>
          <w:tcPr>
            <w:tcW w:type="dxa" w:w="2537"/>
            <w:shd w:fill="F7F8F9"/>
            <w:vAlign w:val="top"/>
          </w:tcPr>
          <w:p>
            <w:pPr>
              <w:spacing w:after="0"/>
            </w:pPr>
            <w:r>
              <w:rPr>
                <w:sz w:val="15"/>
              </w:rPr>
              <w:t>staging</w:t>
            </w:r>
          </w:p>
        </w:tc>
        <w:tc>
          <w:tcPr>
            <w:tcW w:type="dxa" w:w="2537"/>
            <w:shd w:fill="F7F8F9"/>
            <w:vAlign w:val="top"/>
          </w:tcPr>
          <w:p>
            <w:pPr>
              <w:spacing w:after="0"/>
            </w:pPr>
            <w:r>
              <w:rPr>
                <w:sz w:val="15"/>
              </w:rPr>
              <w:t>release verification and rollback rehearsal</w:t>
            </w:r>
          </w:p>
        </w:tc>
        <w:tc>
          <w:tcPr>
            <w:tcW w:type="dxa" w:w="2537"/>
            <w:shd w:fill="F7F8F9"/>
            <w:vAlign w:val="top"/>
          </w:tcPr>
          <w:p>
            <w:pPr>
              <w:spacing w:after="0"/>
            </w:pPr>
            <w:r>
              <w:rPr>
                <w:sz w:val="15"/>
              </w:rPr>
              <w:t>block production approval</w:t>
            </w:r>
          </w:p>
        </w:tc>
        <w:tc>
          <w:tcPr>
            <w:tcW w:type="dxa" w:w="2537"/>
            <w:shd w:fill="F7F8F9"/>
            <w:vAlign w:val="top"/>
          </w:tcPr>
          <w:p>
            <w:pPr>
              <w:spacing w:after="0"/>
            </w:pPr>
            <w:r>
              <w:rPr>
                <w:sz w:val="15"/>
              </w:rPr>
              <w:t>ORR record</w:t>
            </w:r>
          </w:p>
        </w:tc>
      </w:tr>
      <w:tr>
        <w:tc>
          <w:tcPr>
            <w:tcW w:type="dxa" w:w="2537"/>
            <w:vAlign w:val="top"/>
          </w:tcPr>
          <w:p>
            <w:pPr>
              <w:spacing w:after="0"/>
            </w:pPr>
            <w:r>
              <w:rPr>
                <w:sz w:val="15"/>
              </w:rPr>
              <w:t>production</w:t>
            </w:r>
          </w:p>
        </w:tc>
        <w:tc>
          <w:tcPr>
            <w:tcW w:type="dxa" w:w="2537"/>
            <w:vAlign w:val="top"/>
          </w:tcPr>
          <w:p>
            <w:pPr>
              <w:spacing w:after="0"/>
            </w:pPr>
            <w:r>
              <w:rPr>
                <w:sz w:val="15"/>
              </w:rPr>
              <w:t>smoke, canary analysis, SLO/business KPI</w:t>
            </w:r>
          </w:p>
        </w:tc>
        <w:tc>
          <w:tcPr>
            <w:tcW w:type="dxa" w:w="2537"/>
            <w:vAlign w:val="top"/>
          </w:tcPr>
          <w:p>
            <w:pPr>
              <w:spacing w:after="0"/>
            </w:pPr>
            <w:r>
              <w:rPr>
                <w:sz w:val="15"/>
              </w:rPr>
              <w:t>pause or rollback</w:t>
            </w:r>
          </w:p>
        </w:tc>
        <w:tc>
          <w:tcPr>
            <w:tcW w:type="dxa" w:w="2537"/>
            <w:vAlign w:val="top"/>
          </w:tcPr>
          <w:p>
            <w:pPr>
              <w:spacing w:after="0"/>
            </w:pPr>
            <w:r>
              <w:rPr>
                <w:sz w:val="15"/>
              </w:rPr>
              <w:t>rollout and telemetry</w:t>
            </w:r>
          </w:p>
        </w:tc>
      </w:tr>
    </w:tbl>
    <w:p>
      <w:pPr>
        <w:spacing w:after="0"/>
      </w:pPr>
    </w:p>
    <w:p>
      <w:r>
        <w:br w:type="page"/>
      </w:r>
    </w:p>
    <w:p>
      <w:pPr>
        <w:pStyle w:val="Heading1"/>
      </w:pPr>
      <w:r>
        <w:t>23. Environment Promotion</w:t>
      </w:r>
    </w:p>
    <w:p>
      <w:r>
        <w:t>Environment promotion moves the same immutable release bundle through development, integration, test, staging and production. Configuration is versioned separately but must remain compatible with the artifact.</w:t>
      </w:r>
    </w:p>
    <w:p>
      <w:pPr>
        <w:jc w:val="center"/>
      </w:pPr>
      <w:r>
        <w:drawing>
          <wp:inline xmlns:a="http://schemas.openxmlformats.org/drawingml/2006/main" xmlns:pic="http://schemas.openxmlformats.org/drawingml/2006/picture">
            <wp:extent cx="6156000" cy="372382"/>
            <wp:docPr id="6" name="Picture 6" descr="Image: image5.png"/>
            <wp:cNvGraphicFramePr>
              <a:graphicFrameLocks noChangeAspect="1"/>
            </wp:cNvGraphicFramePr>
            <a:graphic>
              <a:graphicData uri="http://schemas.openxmlformats.org/drawingml/2006/picture">
                <pic:pic>
                  <pic:nvPicPr>
                    <pic:cNvPr id="0" name="04_environment_promotion.png"/>
                    <pic:cNvPicPr/>
                  </pic:nvPicPr>
                  <pic:blipFill>
                    <a:blip r:embed="rId15"/>
                    <a:stretch>
                      <a:fillRect/>
                    </a:stretch>
                  </pic:blipFill>
                  <pic:spPr>
                    <a:xfrm>
                      <a:off x="0" y="0"/>
                      <a:ext cx="6156000" cy="372382"/>
                    </a:xfrm>
                    <a:prstGeom prst="rect"/>
                  </pic:spPr>
                </pic:pic>
              </a:graphicData>
            </a:graphic>
          </wp:inline>
        </w:drawing>
      </w:r>
    </w:p>
    <w:p>
      <w:pPr>
        <w:jc w:val="center"/>
      </w:pPr>
      <w:r>
        <w:rPr>
          <w:b/>
          <w:sz w:val="16"/>
        </w:rPr>
        <w:t>Figure 23-1. Environment promotion, independent approval and production verification.</w:t>
      </w:r>
    </w:p>
    <w:tbl>
      <w:tblPr>
        <w:tblStyle w:val="TableGrid"/>
        <w:tblW w:type="auto" w:w="0"/>
        <w:jc w:val="center"/>
        <w:tblLook w:firstColumn="1" w:firstRow="1" w:lastColumn="0" w:lastRow="0" w:noHBand="0" w:noVBand="1" w:val="04A0"/>
      </w:tblPr>
      <w:tblGrid>
        <w:gridCol w:w="1691"/>
        <w:gridCol w:w="1691"/>
        <w:gridCol w:w="1691"/>
        <w:gridCol w:w="1691"/>
        <w:gridCol w:w="1691"/>
        <w:gridCol w:w="1691"/>
      </w:tblGrid>
      <w:tr>
        <w:trPr>
          <w:tblHeader w:val="true"/>
        </w:trPr>
        <w:tc>
          <w:tcPr>
            <w:tcW w:type="dxa" w:w="1691"/>
            <w:shd w:fill="174EA6"/>
          </w:tcPr>
          <w:p>
            <w:pPr>
              <w:spacing w:after="0"/>
            </w:pPr>
            <w:r>
              <w:rPr>
                <w:b/>
                <w:color w:val="FFFFFF"/>
                <w:sz w:val="15"/>
              </w:rPr>
              <w:t>Environment</w:t>
            </w:r>
          </w:p>
        </w:tc>
        <w:tc>
          <w:tcPr>
            <w:tcW w:type="dxa" w:w="1691"/>
            <w:shd w:fill="174EA6"/>
          </w:tcPr>
          <w:p>
            <w:pPr>
              <w:spacing w:after="0"/>
            </w:pPr>
            <w:r>
              <w:rPr>
                <w:b/>
                <w:color w:val="FFFFFF"/>
                <w:sz w:val="15"/>
              </w:rPr>
              <w:t>Purpose</w:t>
            </w:r>
          </w:p>
        </w:tc>
        <w:tc>
          <w:tcPr>
            <w:tcW w:type="dxa" w:w="1691"/>
            <w:shd w:fill="174EA6"/>
          </w:tcPr>
          <w:p>
            <w:pPr>
              <w:spacing w:after="0"/>
            </w:pPr>
            <w:r>
              <w:rPr>
                <w:b/>
                <w:color w:val="FFFFFF"/>
                <w:sz w:val="15"/>
              </w:rPr>
              <w:t>Data</w:t>
            </w:r>
          </w:p>
        </w:tc>
        <w:tc>
          <w:tcPr>
            <w:tcW w:type="dxa" w:w="1691"/>
            <w:shd w:fill="174EA6"/>
          </w:tcPr>
          <w:p>
            <w:pPr>
              <w:spacing w:after="0"/>
            </w:pPr>
            <w:r>
              <w:rPr>
                <w:b/>
                <w:color w:val="FFFFFF"/>
                <w:sz w:val="15"/>
              </w:rPr>
              <w:t>Approval</w:t>
            </w:r>
          </w:p>
        </w:tc>
        <w:tc>
          <w:tcPr>
            <w:tcW w:type="dxa" w:w="1691"/>
            <w:shd w:fill="174EA6"/>
          </w:tcPr>
          <w:p>
            <w:pPr>
              <w:spacing w:after="0"/>
            </w:pPr>
            <w:r>
              <w:rPr>
                <w:b/>
                <w:color w:val="FFFFFF"/>
                <w:sz w:val="15"/>
              </w:rPr>
              <w:t>Mandatory gates</w:t>
            </w:r>
          </w:p>
        </w:tc>
        <w:tc>
          <w:tcPr>
            <w:tcW w:type="dxa" w:w="1691"/>
            <w:shd w:fill="174EA6"/>
          </w:tcPr>
          <w:p>
            <w:pPr>
              <w:spacing w:after="0"/>
            </w:pPr>
            <w:r>
              <w:rPr>
                <w:b/>
                <w:color w:val="FFFFFF"/>
                <w:sz w:val="15"/>
              </w:rPr>
              <w:t>Promotion</w:t>
            </w:r>
          </w:p>
        </w:tc>
      </w:tr>
      <w:tr>
        <w:tc>
          <w:tcPr>
            <w:tcW w:type="dxa" w:w="1691"/>
            <w:vAlign w:val="top"/>
          </w:tcPr>
          <w:p>
            <w:pPr>
              <w:spacing w:after="0"/>
            </w:pPr>
            <w:r>
              <w:rPr>
                <w:sz w:val="15"/>
              </w:rPr>
              <w:t>development</w:t>
            </w:r>
          </w:p>
        </w:tc>
        <w:tc>
          <w:tcPr>
            <w:tcW w:type="dxa" w:w="1691"/>
            <w:vAlign w:val="top"/>
          </w:tcPr>
          <w:p>
            <w:pPr>
              <w:spacing w:after="0"/>
            </w:pPr>
            <w:r>
              <w:rPr>
                <w:sz w:val="15"/>
              </w:rPr>
              <w:t>developer feedback</w:t>
            </w:r>
          </w:p>
        </w:tc>
        <w:tc>
          <w:tcPr>
            <w:tcW w:type="dxa" w:w="1691"/>
            <w:vAlign w:val="top"/>
          </w:tcPr>
          <w:p>
            <w:pPr>
              <w:spacing w:after="0"/>
            </w:pPr>
            <w:r>
              <w:rPr>
                <w:sz w:val="15"/>
              </w:rPr>
              <w:t>synthetic or masked</w:t>
            </w:r>
          </w:p>
        </w:tc>
        <w:tc>
          <w:tcPr>
            <w:tcW w:type="dxa" w:w="1691"/>
            <w:vAlign w:val="top"/>
          </w:tcPr>
          <w:p>
            <w:pPr>
              <w:spacing w:after="0"/>
            </w:pPr>
            <w:r>
              <w:rPr>
                <w:sz w:val="15"/>
              </w:rPr>
              <w:t>developer</w:t>
            </w:r>
          </w:p>
        </w:tc>
        <w:tc>
          <w:tcPr>
            <w:tcW w:type="dxa" w:w="1691"/>
            <w:vAlign w:val="top"/>
          </w:tcPr>
          <w:p>
            <w:pPr>
              <w:spacing w:after="0"/>
            </w:pPr>
            <w:r>
              <w:rPr>
                <w:sz w:val="15"/>
              </w:rPr>
              <w:t>lint, unit, secret, policy</w:t>
            </w:r>
          </w:p>
        </w:tc>
        <w:tc>
          <w:tcPr>
            <w:tcW w:type="dxa" w:w="1691"/>
            <w:vAlign w:val="top"/>
          </w:tcPr>
          <w:p>
            <w:pPr>
              <w:spacing w:after="0"/>
            </w:pPr>
            <w:r>
              <w:rPr>
                <w:sz w:val="15"/>
              </w:rPr>
              <w:t>branch/PR artifact</w:t>
            </w:r>
          </w:p>
        </w:tc>
      </w:tr>
      <w:tr>
        <w:tc>
          <w:tcPr>
            <w:tcW w:type="dxa" w:w="1691"/>
            <w:shd w:fill="F7F8F9"/>
            <w:vAlign w:val="top"/>
          </w:tcPr>
          <w:p>
            <w:pPr>
              <w:spacing w:after="0"/>
            </w:pPr>
            <w:r>
              <w:rPr>
                <w:sz w:val="15"/>
              </w:rPr>
              <w:t>integration</w:t>
            </w:r>
          </w:p>
        </w:tc>
        <w:tc>
          <w:tcPr>
            <w:tcW w:type="dxa" w:w="1691"/>
            <w:shd w:fill="F7F8F9"/>
            <w:vAlign w:val="top"/>
          </w:tcPr>
          <w:p>
            <w:pPr>
              <w:spacing w:after="0"/>
            </w:pPr>
            <w:r>
              <w:rPr>
                <w:sz w:val="15"/>
              </w:rPr>
              <w:t>managed service integration</w:t>
            </w:r>
          </w:p>
        </w:tc>
        <w:tc>
          <w:tcPr>
            <w:tcW w:type="dxa" w:w="1691"/>
            <w:shd w:fill="F7F8F9"/>
            <w:vAlign w:val="top"/>
          </w:tcPr>
          <w:p>
            <w:pPr>
              <w:spacing w:after="0"/>
            </w:pPr>
            <w:r>
              <w:rPr>
                <w:sz w:val="15"/>
              </w:rPr>
              <w:t>synthetic representative</w:t>
            </w:r>
          </w:p>
        </w:tc>
        <w:tc>
          <w:tcPr>
            <w:tcW w:type="dxa" w:w="1691"/>
            <w:shd w:fill="F7F8F9"/>
            <w:vAlign w:val="top"/>
          </w:tcPr>
          <w:p>
            <w:pPr>
              <w:spacing w:after="0"/>
            </w:pPr>
            <w:r>
              <w:rPr>
                <w:sz w:val="15"/>
              </w:rPr>
              <w:t>team lead</w:t>
            </w:r>
          </w:p>
        </w:tc>
        <w:tc>
          <w:tcPr>
            <w:tcW w:type="dxa" w:w="1691"/>
            <w:shd w:fill="F7F8F9"/>
            <w:vAlign w:val="top"/>
          </w:tcPr>
          <w:p>
            <w:pPr>
              <w:spacing w:after="0"/>
            </w:pPr>
            <w:r>
              <w:rPr>
                <w:sz w:val="15"/>
              </w:rPr>
              <w:t>contract, integration, IAM/network</w:t>
            </w:r>
          </w:p>
        </w:tc>
        <w:tc>
          <w:tcPr>
            <w:tcW w:type="dxa" w:w="1691"/>
            <w:shd w:fill="F7F8F9"/>
            <w:vAlign w:val="top"/>
          </w:tcPr>
          <w:p>
            <w:pPr>
              <w:spacing w:after="0"/>
            </w:pPr>
            <w:r>
              <w:rPr>
                <w:sz w:val="15"/>
              </w:rPr>
              <w:t>same digest</w:t>
            </w:r>
          </w:p>
        </w:tc>
      </w:tr>
      <w:tr>
        <w:tc>
          <w:tcPr>
            <w:tcW w:type="dxa" w:w="1691"/>
            <w:vAlign w:val="top"/>
          </w:tcPr>
          <w:p>
            <w:pPr>
              <w:spacing w:after="0"/>
            </w:pPr>
            <w:r>
              <w:rPr>
                <w:sz w:val="15"/>
              </w:rPr>
              <w:t>test</w:t>
            </w:r>
          </w:p>
        </w:tc>
        <w:tc>
          <w:tcPr>
            <w:tcW w:type="dxa" w:w="1691"/>
            <w:vAlign w:val="top"/>
          </w:tcPr>
          <w:p>
            <w:pPr>
              <w:spacing w:after="0"/>
            </w:pPr>
            <w:r>
              <w:rPr>
                <w:sz w:val="15"/>
              </w:rPr>
              <w:t>quality and scale</w:t>
            </w:r>
          </w:p>
        </w:tc>
        <w:tc>
          <w:tcPr>
            <w:tcW w:type="dxa" w:w="1691"/>
            <w:vAlign w:val="top"/>
          </w:tcPr>
          <w:p>
            <w:pPr>
              <w:spacing w:after="0"/>
            </w:pPr>
            <w:r>
              <w:rPr>
                <w:sz w:val="15"/>
              </w:rPr>
              <w:t>masked subset</w:t>
            </w:r>
          </w:p>
        </w:tc>
        <w:tc>
          <w:tcPr>
            <w:tcW w:type="dxa" w:w="1691"/>
            <w:vAlign w:val="top"/>
          </w:tcPr>
          <w:p>
            <w:pPr>
              <w:spacing w:after="0"/>
            </w:pPr>
            <w:r>
              <w:rPr>
                <w:sz w:val="15"/>
              </w:rPr>
              <w:t>QA/product</w:t>
            </w:r>
          </w:p>
        </w:tc>
        <w:tc>
          <w:tcPr>
            <w:tcW w:type="dxa" w:w="1691"/>
            <w:vAlign w:val="top"/>
          </w:tcPr>
          <w:p>
            <w:pPr>
              <w:spacing w:after="0"/>
            </w:pPr>
            <w:r>
              <w:rPr>
                <w:sz w:val="15"/>
              </w:rPr>
              <w:t>data, performance, resilience, security</w:t>
            </w:r>
          </w:p>
        </w:tc>
        <w:tc>
          <w:tcPr>
            <w:tcW w:type="dxa" w:w="1691"/>
            <w:vAlign w:val="top"/>
          </w:tcPr>
          <w:p>
            <w:pPr>
              <w:spacing w:after="0"/>
            </w:pPr>
            <w:r>
              <w:rPr>
                <w:sz w:val="15"/>
              </w:rPr>
              <w:t>same digest</w:t>
            </w:r>
          </w:p>
        </w:tc>
      </w:tr>
      <w:tr>
        <w:tc>
          <w:tcPr>
            <w:tcW w:type="dxa" w:w="1691"/>
            <w:shd w:fill="F7F8F9"/>
            <w:vAlign w:val="top"/>
          </w:tcPr>
          <w:p>
            <w:pPr>
              <w:spacing w:after="0"/>
            </w:pPr>
            <w:r>
              <w:rPr>
                <w:sz w:val="15"/>
              </w:rPr>
              <w:t>staging</w:t>
            </w:r>
          </w:p>
        </w:tc>
        <w:tc>
          <w:tcPr>
            <w:tcW w:type="dxa" w:w="1691"/>
            <w:shd w:fill="F7F8F9"/>
            <w:vAlign w:val="top"/>
          </w:tcPr>
          <w:p>
            <w:pPr>
              <w:spacing w:after="0"/>
            </w:pPr>
            <w:r>
              <w:rPr>
                <w:sz w:val="15"/>
              </w:rPr>
              <w:t>release rehearsal</w:t>
            </w:r>
          </w:p>
        </w:tc>
        <w:tc>
          <w:tcPr>
            <w:tcW w:type="dxa" w:w="1691"/>
            <w:shd w:fill="F7F8F9"/>
            <w:vAlign w:val="top"/>
          </w:tcPr>
          <w:p>
            <w:pPr>
              <w:spacing w:after="0"/>
            </w:pPr>
            <w:r>
              <w:rPr>
                <w:sz w:val="15"/>
              </w:rPr>
              <w:t>production-like masked</w:t>
            </w:r>
          </w:p>
        </w:tc>
        <w:tc>
          <w:tcPr>
            <w:tcW w:type="dxa" w:w="1691"/>
            <w:shd w:fill="F7F8F9"/>
            <w:vAlign w:val="top"/>
          </w:tcPr>
          <w:p>
            <w:pPr>
              <w:spacing w:after="0"/>
            </w:pPr>
            <w:r>
              <w:rPr>
                <w:sz w:val="15"/>
              </w:rPr>
              <w:t>SRE/security as risk requires</w:t>
            </w:r>
          </w:p>
        </w:tc>
        <w:tc>
          <w:tcPr>
            <w:tcW w:type="dxa" w:w="1691"/>
            <w:shd w:fill="F7F8F9"/>
            <w:vAlign w:val="top"/>
          </w:tcPr>
          <w:p>
            <w:pPr>
              <w:spacing w:after="0"/>
            </w:pPr>
            <w:r>
              <w:rPr>
                <w:sz w:val="15"/>
              </w:rPr>
              <w:t>ORR, smoke, rollback, capacity</w:t>
            </w:r>
          </w:p>
        </w:tc>
        <w:tc>
          <w:tcPr>
            <w:tcW w:type="dxa" w:w="1691"/>
            <w:shd w:fill="F7F8F9"/>
            <w:vAlign w:val="top"/>
          </w:tcPr>
          <w:p>
            <w:pPr>
              <w:spacing w:after="0"/>
            </w:pPr>
            <w:r>
              <w:rPr>
                <w:sz w:val="15"/>
              </w:rPr>
              <w:t>same digest</w:t>
            </w:r>
          </w:p>
        </w:tc>
      </w:tr>
      <w:tr>
        <w:tc>
          <w:tcPr>
            <w:tcW w:type="dxa" w:w="1691"/>
            <w:vAlign w:val="top"/>
          </w:tcPr>
          <w:p>
            <w:pPr>
              <w:spacing w:after="0"/>
            </w:pPr>
            <w:r>
              <w:rPr>
                <w:sz w:val="15"/>
              </w:rPr>
              <w:t>production</w:t>
            </w:r>
          </w:p>
        </w:tc>
        <w:tc>
          <w:tcPr>
            <w:tcW w:type="dxa" w:w="1691"/>
            <w:vAlign w:val="top"/>
          </w:tcPr>
          <w:p>
            <w:pPr>
              <w:spacing w:after="0"/>
            </w:pPr>
            <w:r>
              <w:rPr>
                <w:sz w:val="15"/>
              </w:rPr>
              <w:t>business service</w:t>
            </w:r>
          </w:p>
        </w:tc>
        <w:tc>
          <w:tcPr>
            <w:tcW w:type="dxa" w:w="1691"/>
            <w:vAlign w:val="top"/>
          </w:tcPr>
          <w:p>
            <w:pPr>
              <w:spacing w:after="0"/>
            </w:pPr>
            <w:r>
              <w:rPr>
                <w:sz w:val="15"/>
              </w:rPr>
              <w:t>production</w:t>
            </w:r>
          </w:p>
        </w:tc>
        <w:tc>
          <w:tcPr>
            <w:tcW w:type="dxa" w:w="1691"/>
            <w:vAlign w:val="top"/>
          </w:tcPr>
          <w:p>
            <w:pPr>
              <w:spacing w:after="0"/>
            </w:pPr>
            <w:r>
              <w:rPr>
                <w:sz w:val="15"/>
              </w:rPr>
              <w:t>independent approver</w:t>
            </w:r>
          </w:p>
        </w:tc>
        <w:tc>
          <w:tcPr>
            <w:tcW w:type="dxa" w:w="1691"/>
            <w:vAlign w:val="top"/>
          </w:tcPr>
          <w:p>
            <w:pPr>
              <w:spacing w:after="0"/>
            </w:pPr>
            <w:r>
              <w:rPr>
                <w:sz w:val="15"/>
              </w:rPr>
              <w:t>change, SLO, canary/blue-green, audit</w:t>
            </w:r>
          </w:p>
        </w:tc>
        <w:tc>
          <w:tcPr>
            <w:tcW w:type="dxa" w:w="1691"/>
            <w:vAlign w:val="top"/>
          </w:tcPr>
          <w:p>
            <w:pPr>
              <w:spacing w:after="0"/>
            </w:pPr>
            <w:r>
              <w:rPr>
                <w:sz w:val="15"/>
              </w:rPr>
              <w:t>same digest only</w:t>
            </w:r>
          </w:p>
        </w:tc>
      </w:tr>
    </w:tbl>
    <w:p>
      <w:pPr>
        <w:spacing w:after="0"/>
      </w:pPr>
    </w:p>
    <w:p>
      <w:r>
        <w:br w:type="page"/>
      </w:r>
    </w:p>
    <w:p>
      <w:pPr>
        <w:pStyle w:val="Heading1"/>
      </w:pPr>
      <w:r>
        <w:t>24. Approval and Change Management</w:t>
      </w:r>
    </w:p>
    <w:p>
      <w:r>
        <w:t>Approval is risk-based and independent. Automated gates provide evidence, while human approvers decide changes involving business risk, destructive data effects, privileged control planes or regulated outcomes.</w:t>
      </w:r>
    </w:p>
    <w:p>
      <w:pPr>
        <w:pStyle w:val="ListBullet"/>
      </w:pPr>
      <w:r>
        <w:t>The developer who authors a production change cannot be the sole production approver.</w:t>
      </w:r>
    </w:p>
    <w:p>
      <w:pPr>
        <w:pStyle w:val="ListBullet"/>
      </w:pPr>
      <w:r>
        <w:t>Approval displays artifact digest, plan/diff, tests, security result, SLO impact, rollback ID and change record.</w:t>
      </w:r>
    </w:p>
    <w:p>
      <w:pPr>
        <w:pStyle w:val="ListBullet"/>
      </w:pPr>
      <w:r>
        <w:t>Approval expires when artifact, configuration, target, state serial or risk evidence changes.</w:t>
      </w:r>
    </w:p>
    <w:p>
      <w:pPr>
        <w:pStyle w:val="ListBullet"/>
      </w:pPr>
      <w:r>
        <w:t>Standard changes may use pre-authorized templates; exceptions and high-risk changes require additional review.</w:t>
      </w:r>
    </w:p>
    <w:p>
      <w:pPr>
        <w:pStyle w:val="ListBullet"/>
      </w:pPr>
      <w:r>
        <w:t>Emergency changes use PAM/break-glass, incident/change linkage and mandatory post-implementation review.</w:t>
      </w:r>
    </w:p>
    <w:p>
      <w:r>
        <w:br w:type="page"/>
      </w:r>
    </w:p>
    <w:p>
      <w:pPr>
        <w:pStyle w:val="Heading1"/>
      </w:pPr>
      <w:r>
        <w:t>25. Rollback, Blue-green and Canary</w:t>
      </w:r>
    </w:p>
    <w:p>
      <w:r>
        <w:t>Deployment strategy follows workload semantics. Stateless application releases can use standard, blue-green or canary rollouts. Infrastructure, schemas, stateful streaming and data corrections require service-specific recovery designs.</w:t>
      </w:r>
    </w:p>
    <w:p>
      <w:pPr>
        <w:jc w:val="center"/>
      </w:pPr>
      <w:r>
        <w:drawing>
          <wp:inline xmlns:a="http://schemas.openxmlformats.org/drawingml/2006/main" xmlns:pic="http://schemas.openxmlformats.org/drawingml/2006/picture">
            <wp:extent cx="6156000" cy="611285"/>
            <wp:docPr id="7" name="Picture 7" descr="Image: image6.png"/>
            <wp:cNvGraphicFramePr>
              <a:graphicFrameLocks noChangeAspect="1"/>
            </wp:cNvGraphicFramePr>
            <a:graphic>
              <a:graphicData uri="http://schemas.openxmlformats.org/drawingml/2006/picture">
                <pic:pic>
                  <pic:nvPicPr>
                    <pic:cNvPr id="0" name="06_rollback_monitoring.png"/>
                    <pic:cNvPicPr/>
                  </pic:nvPicPr>
                  <pic:blipFill>
                    <a:blip r:embed="rId16"/>
                    <a:stretch>
                      <a:fillRect/>
                    </a:stretch>
                  </pic:blipFill>
                  <pic:spPr>
                    <a:xfrm>
                      <a:off x="0" y="0"/>
                      <a:ext cx="6156000" cy="611285"/>
                    </a:xfrm>
                    <a:prstGeom prst="rect"/>
                  </pic:spPr>
                </pic:pic>
              </a:graphicData>
            </a:graphic>
          </wp:inline>
        </w:drawing>
      </w:r>
    </w:p>
    <w:p>
      <w:pPr>
        <w:jc w:val="center"/>
      </w:pPr>
      <w:r>
        <w:rPr>
          <w:b/>
          <w:sz w:val="16"/>
        </w:rPr>
        <w:t>Figure 25-1. Verification, monitoring, rollback, reconciliation and review control loop.</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5"/>
              </w:rPr>
              <w:t>Strategy</w:t>
            </w:r>
          </w:p>
        </w:tc>
        <w:tc>
          <w:tcPr>
            <w:tcW w:type="dxa" w:w="3383"/>
            <w:shd w:fill="174EA6"/>
          </w:tcPr>
          <w:p>
            <w:pPr>
              <w:spacing w:after="0"/>
            </w:pPr>
            <w:r>
              <w:rPr>
                <w:b/>
                <w:color w:val="FFFFFF"/>
                <w:sz w:val="15"/>
              </w:rPr>
              <w:t>Best fit</w:t>
            </w:r>
          </w:p>
        </w:tc>
        <w:tc>
          <w:tcPr>
            <w:tcW w:type="dxa" w:w="3383"/>
            <w:shd w:fill="174EA6"/>
          </w:tcPr>
          <w:p>
            <w:pPr>
              <w:spacing w:after="0"/>
            </w:pPr>
            <w:r>
              <w:rPr>
                <w:b/>
                <w:color w:val="FFFFFF"/>
                <w:sz w:val="15"/>
              </w:rPr>
              <w:t>Required guardrails</w:t>
            </w:r>
          </w:p>
        </w:tc>
      </w:tr>
      <w:tr>
        <w:tc>
          <w:tcPr>
            <w:tcW w:type="dxa" w:w="3383"/>
            <w:vAlign w:val="top"/>
          </w:tcPr>
          <w:p>
            <w:pPr>
              <w:spacing w:after="0"/>
            </w:pPr>
            <w:r>
              <w:rPr>
                <w:sz w:val="15"/>
              </w:rPr>
              <w:t>Standard</w:t>
            </w:r>
          </w:p>
        </w:tc>
        <w:tc>
          <w:tcPr>
            <w:tcW w:type="dxa" w:w="3383"/>
            <w:vAlign w:val="top"/>
          </w:tcPr>
          <w:p>
            <w:pPr>
              <w:spacing w:after="0"/>
            </w:pPr>
            <w:r>
              <w:rPr>
                <w:sz w:val="15"/>
              </w:rPr>
              <w:t>low-risk or internally verified target</w:t>
            </w:r>
          </w:p>
        </w:tc>
        <w:tc>
          <w:tcPr>
            <w:tcW w:type="dxa" w:w="3383"/>
            <w:vAlign w:val="top"/>
          </w:tcPr>
          <w:p>
            <w:pPr>
              <w:spacing w:after="0"/>
            </w:pPr>
            <w:r>
              <w:rPr>
                <w:sz w:val="15"/>
              </w:rPr>
              <w:t>verification, prior release and rapid rollback</w:t>
            </w:r>
          </w:p>
        </w:tc>
      </w:tr>
      <w:tr>
        <w:tc>
          <w:tcPr>
            <w:tcW w:type="dxa" w:w="3383"/>
            <w:shd w:fill="F7F8F9"/>
            <w:vAlign w:val="top"/>
          </w:tcPr>
          <w:p>
            <w:pPr>
              <w:spacing w:after="0"/>
            </w:pPr>
            <w:r>
              <w:rPr>
                <w:sz w:val="15"/>
              </w:rPr>
              <w:t>Canary</w:t>
            </w:r>
          </w:p>
        </w:tc>
        <w:tc>
          <w:tcPr>
            <w:tcW w:type="dxa" w:w="3383"/>
            <w:shd w:fill="F7F8F9"/>
            <w:vAlign w:val="top"/>
          </w:tcPr>
          <w:p>
            <w:pPr>
              <w:spacing w:after="0"/>
            </w:pPr>
            <w:r>
              <w:rPr>
                <w:sz w:val="15"/>
              </w:rPr>
              <w:t>user traffic can be safely segmented</w:t>
            </w:r>
          </w:p>
        </w:tc>
        <w:tc>
          <w:tcPr>
            <w:tcW w:type="dxa" w:w="3383"/>
            <w:shd w:fill="F7F8F9"/>
            <w:vAlign w:val="top"/>
          </w:tcPr>
          <w:p>
            <w:pPr>
              <w:spacing w:after="0"/>
            </w:pPr>
            <w:r>
              <w:rPr>
                <w:sz w:val="15"/>
              </w:rPr>
              <w:t>representative cohort, technical/business SLOs, automatic pause</w:t>
            </w:r>
          </w:p>
        </w:tc>
      </w:tr>
      <w:tr>
        <w:tc>
          <w:tcPr>
            <w:tcW w:type="dxa" w:w="3383"/>
            <w:vAlign w:val="top"/>
          </w:tcPr>
          <w:p>
            <w:pPr>
              <w:spacing w:after="0"/>
            </w:pPr>
            <w:r>
              <w:rPr>
                <w:sz w:val="15"/>
              </w:rPr>
              <w:t>Blue-green</w:t>
            </w:r>
          </w:p>
        </w:tc>
        <w:tc>
          <w:tcPr>
            <w:tcW w:type="dxa" w:w="3383"/>
            <w:vAlign w:val="top"/>
          </w:tcPr>
          <w:p>
            <w:pPr>
              <w:spacing w:after="0"/>
            </w:pPr>
            <w:r>
              <w:rPr>
                <w:sz w:val="15"/>
              </w:rPr>
              <w:t>parallel full environment and traffic switch are feasible</w:t>
            </w:r>
          </w:p>
        </w:tc>
        <w:tc>
          <w:tcPr>
            <w:tcW w:type="dxa" w:w="3383"/>
            <w:vAlign w:val="top"/>
          </w:tcPr>
          <w:p>
            <w:pPr>
              <w:spacing w:after="0"/>
            </w:pPr>
            <w:r>
              <w:rPr>
                <w:sz w:val="15"/>
              </w:rPr>
              <w:t>state/data compatibility, capacity and cleanup</w:t>
            </w:r>
          </w:p>
        </w:tc>
      </w:tr>
      <w:tr>
        <w:tc>
          <w:tcPr>
            <w:tcW w:type="dxa" w:w="3383"/>
            <w:shd w:fill="F7F8F9"/>
            <w:vAlign w:val="top"/>
          </w:tcPr>
          <w:p>
            <w:pPr>
              <w:spacing w:after="0"/>
            </w:pPr>
            <w:r>
              <w:rPr>
                <w:sz w:val="15"/>
              </w:rPr>
              <w:t>Forward-fix</w:t>
            </w:r>
          </w:p>
        </w:tc>
        <w:tc>
          <w:tcPr>
            <w:tcW w:type="dxa" w:w="3383"/>
            <w:shd w:fill="F7F8F9"/>
            <w:vAlign w:val="top"/>
          </w:tcPr>
          <w:p>
            <w:pPr>
              <w:spacing w:after="0"/>
            </w:pPr>
            <w:r>
              <w:rPr>
                <w:sz w:val="15"/>
              </w:rPr>
              <w:t>additive data/schema defect with safe compatibility</w:t>
            </w:r>
          </w:p>
        </w:tc>
        <w:tc>
          <w:tcPr>
            <w:tcW w:type="dxa" w:w="3383"/>
            <w:shd w:fill="F7F8F9"/>
            <w:vAlign w:val="top"/>
          </w:tcPr>
          <w:p>
            <w:pPr>
              <w:spacing w:after="0"/>
            </w:pPr>
            <w:r>
              <w:rPr>
                <w:sz w:val="15"/>
              </w:rPr>
              <w:t>bounded correction and consumer validation</w:t>
            </w:r>
          </w:p>
        </w:tc>
      </w:tr>
      <w:tr>
        <w:tc>
          <w:tcPr>
            <w:tcW w:type="dxa" w:w="3383"/>
            <w:vAlign w:val="top"/>
          </w:tcPr>
          <w:p>
            <w:pPr>
              <w:spacing w:after="0"/>
            </w:pPr>
            <w:r>
              <w:rPr>
                <w:sz w:val="15"/>
              </w:rPr>
              <w:t>Snapshot/restore or replay</w:t>
            </w:r>
          </w:p>
        </w:tc>
        <w:tc>
          <w:tcPr>
            <w:tcW w:type="dxa" w:w="3383"/>
            <w:vAlign w:val="top"/>
          </w:tcPr>
          <w:p>
            <w:pPr>
              <w:spacing w:after="0"/>
            </w:pPr>
            <w:r>
              <w:rPr>
                <w:sz w:val="15"/>
              </w:rPr>
              <w:t>data/state corruption or incompatible pipeline change</w:t>
            </w:r>
          </w:p>
        </w:tc>
        <w:tc>
          <w:tcPr>
            <w:tcW w:type="dxa" w:w="3383"/>
            <w:vAlign w:val="top"/>
          </w:tcPr>
          <w:p>
            <w:pPr>
              <w:spacing w:after="0"/>
            </w:pPr>
            <w:r>
              <w:rPr>
                <w:sz w:val="15"/>
              </w:rPr>
              <w:t>RPO/RTO, reconciliation and approval</w:t>
            </w:r>
          </w:p>
        </w:tc>
      </w:tr>
    </w:tbl>
    <w:p>
      <w:pPr>
        <w:spacing w:after="0"/>
      </w:pPr>
    </w:p>
    <w:p>
      <w:r>
        <w:br w:type="page"/>
      </w:r>
    </w:p>
    <w:p>
      <w:pPr>
        <w:pStyle w:val="Heading1"/>
      </w:pPr>
      <w:r>
        <w:t>26. Immutable Artifacts and SLSA Alignment</w:t>
      </w:r>
    </w:p>
    <w:p>
      <w:r>
        <w:t>Production releases promote immutable artifacts and verifiable evidence. The program uses SLSA as a supply-chain assurance framework rather than claiming a level without evidence.</w:t>
      </w:r>
    </w:p>
    <w:p>
      <w:pPr>
        <w:pStyle w:val="ListBullet"/>
      </w:pPr>
      <w:r>
        <w:t>Generate provenance identifying builder, invocation, source and dependencies.</w:t>
      </w:r>
    </w:p>
    <w:p>
      <w:pPr>
        <w:pStyle w:val="ListBullet"/>
      </w:pPr>
      <w:r>
        <w:t>Use trusted isolated builders and protect build configuration from unauthorized modification.</w:t>
      </w:r>
    </w:p>
    <w:p>
      <w:pPr>
        <w:pStyle w:val="ListBullet"/>
      </w:pPr>
      <w:r>
        <w:t>Store artifacts by digest and prevent tag reassignment for production repositories.</w:t>
      </w:r>
    </w:p>
    <w:p>
      <w:pPr>
        <w:pStyle w:val="ListBullet"/>
      </w:pPr>
      <w:r>
        <w:t>Validate provenance and required attestations before deployment.</w:t>
      </w:r>
    </w:p>
    <w:p>
      <w:pPr>
        <w:pStyle w:val="ListBullet"/>
      </w:pPr>
      <w:r>
        <w:t>Protect and retain release evidence according to audit and recovery policy.</w:t>
      </w:r>
    </w:p>
    <w:p>
      <w:pPr>
        <w:pStyle w:val="ListBullet"/>
      </w:pPr>
      <w:r>
        <w:t>Assess SLSA specification revisions and document the achieved build-track controls per artifact class.</w:t>
      </w:r>
    </w:p>
    <w:p>
      <w:r>
        <w:br w:type="page"/>
      </w:r>
    </w:p>
    <w:p>
      <w:pPr>
        <w:pStyle w:val="Heading1"/>
      </w:pPr>
      <w:r>
        <w:t>27. Auditability, Monitoring and Release Metrics</w:t>
      </w:r>
    </w:p>
    <w:p>
      <w:r>
        <w:t>Release evidence links GitHub identity and commit to workflow, federated principal, Cloud Build, artifact digest, scans, attestations, approval, target rollout and production telemetry. This chain enables audit, incident investigation and reliable rollback.</w:t>
      </w:r>
    </w:p>
    <w:p>
      <w:pPr>
        <w:pStyle w:val="ListBullet"/>
      </w:pPr>
      <w:r>
        <w:t>Annotate deployments in monitoring and incident systems with release ID and artifact digest.</w:t>
      </w:r>
    </w:p>
    <w:p>
      <w:pPr>
        <w:pStyle w:val="ListBullet"/>
      </w:pPr>
      <w:r>
        <w:t>Alert on failed production rollout, policy/admission denial, abnormal approval or compromised credential/artifact finding.</w:t>
      </w:r>
    </w:p>
    <w:p>
      <w:pPr>
        <w:pStyle w:val="ListBullet"/>
      </w:pPr>
      <w:r>
        <w:t>Measure DORA-style flow/stability metrics plus artifact reuse, policy escapes, approval latency and rollback exercises.</w:t>
      </w:r>
    </w:p>
    <w:p>
      <w:pPr>
        <w:pStyle w:val="ListBullet"/>
      </w:pPr>
      <w:r>
        <w:t>Retain evidence by workload classification; avoid secrets, source payloads or sensitive production data in release logs.</w:t>
      </w:r>
    </w:p>
    <w:p>
      <w:pPr>
        <w:pStyle w:val="ListBullet"/>
      </w:pPr>
      <w:r>
        <w:t>Review release metrics monthly and supply-chain controls quarterly.</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5"/>
              </w:rPr>
              <w:t>Metric</w:t>
            </w:r>
          </w:p>
        </w:tc>
        <w:tc>
          <w:tcPr>
            <w:tcW w:type="dxa" w:w="2537"/>
            <w:shd w:fill="174EA6"/>
          </w:tcPr>
          <w:p>
            <w:pPr>
              <w:spacing w:after="0"/>
            </w:pPr>
            <w:r>
              <w:rPr>
                <w:b/>
                <w:color w:val="FFFFFF"/>
                <w:sz w:val="15"/>
              </w:rPr>
              <w:t>Definition</w:t>
            </w:r>
          </w:p>
        </w:tc>
        <w:tc>
          <w:tcPr>
            <w:tcW w:type="dxa" w:w="2537"/>
            <w:shd w:fill="174EA6"/>
          </w:tcPr>
          <w:p>
            <w:pPr>
              <w:spacing w:after="0"/>
            </w:pPr>
            <w:r>
              <w:rPr>
                <w:b/>
                <w:color w:val="FFFFFF"/>
                <w:sz w:val="15"/>
              </w:rPr>
              <w:t>Target use</w:t>
            </w:r>
          </w:p>
        </w:tc>
        <w:tc>
          <w:tcPr>
            <w:tcW w:type="dxa" w:w="2537"/>
            <w:shd w:fill="174EA6"/>
          </w:tcPr>
          <w:p>
            <w:pPr>
              <w:spacing w:after="0"/>
            </w:pPr>
            <w:r>
              <w:rPr>
                <w:b/>
                <w:color w:val="FFFFFF"/>
                <w:sz w:val="15"/>
              </w:rPr>
              <w:t>Owner</w:t>
            </w:r>
          </w:p>
        </w:tc>
      </w:tr>
      <w:tr>
        <w:tc>
          <w:tcPr>
            <w:tcW w:type="dxa" w:w="2537"/>
            <w:vAlign w:val="top"/>
          </w:tcPr>
          <w:p>
            <w:pPr>
              <w:spacing w:after="0"/>
            </w:pPr>
            <w:r>
              <w:rPr>
                <w:sz w:val="15"/>
              </w:rPr>
              <w:t>deployment frequency</w:t>
            </w:r>
          </w:p>
        </w:tc>
        <w:tc>
          <w:tcPr>
            <w:tcW w:type="dxa" w:w="2537"/>
            <w:vAlign w:val="top"/>
          </w:tcPr>
          <w:p>
            <w:pPr>
              <w:spacing w:after="0"/>
            </w:pPr>
            <w:r>
              <w:rPr>
                <w:sz w:val="15"/>
              </w:rPr>
              <w:t>successful production deployments per period</w:t>
            </w:r>
          </w:p>
        </w:tc>
        <w:tc>
          <w:tcPr>
            <w:tcW w:type="dxa" w:w="2537"/>
            <w:vAlign w:val="top"/>
          </w:tcPr>
          <w:p>
            <w:pPr>
              <w:spacing w:after="0"/>
            </w:pPr>
            <w:r>
              <w:rPr>
                <w:sz w:val="15"/>
              </w:rPr>
              <w:t>flow/adoption</w:t>
            </w:r>
          </w:p>
        </w:tc>
        <w:tc>
          <w:tcPr>
            <w:tcW w:type="dxa" w:w="2537"/>
            <w:vAlign w:val="top"/>
          </w:tcPr>
          <w:p>
            <w:pPr>
              <w:spacing w:after="0"/>
            </w:pPr>
            <w:r>
              <w:rPr>
                <w:sz w:val="15"/>
              </w:rPr>
              <w:t>DevSecOps</w:t>
            </w:r>
          </w:p>
        </w:tc>
      </w:tr>
      <w:tr>
        <w:tc>
          <w:tcPr>
            <w:tcW w:type="dxa" w:w="2537"/>
            <w:shd w:fill="F7F8F9"/>
            <w:vAlign w:val="top"/>
          </w:tcPr>
          <w:p>
            <w:pPr>
              <w:spacing w:after="0"/>
            </w:pPr>
            <w:r>
              <w:rPr>
                <w:sz w:val="15"/>
              </w:rPr>
              <w:t>lead time for change</w:t>
            </w:r>
          </w:p>
        </w:tc>
        <w:tc>
          <w:tcPr>
            <w:tcW w:type="dxa" w:w="2537"/>
            <w:shd w:fill="F7F8F9"/>
            <w:vAlign w:val="top"/>
          </w:tcPr>
          <w:p>
            <w:pPr>
              <w:spacing w:after="0"/>
            </w:pPr>
            <w:r>
              <w:rPr>
                <w:sz w:val="15"/>
              </w:rPr>
              <w:t>merge to verified production</w:t>
            </w:r>
          </w:p>
        </w:tc>
        <w:tc>
          <w:tcPr>
            <w:tcW w:type="dxa" w:w="2537"/>
            <w:shd w:fill="F7F8F9"/>
            <w:vAlign w:val="top"/>
          </w:tcPr>
          <w:p>
            <w:pPr>
              <w:spacing w:after="0"/>
            </w:pPr>
            <w:r>
              <w:rPr>
                <w:sz w:val="15"/>
              </w:rPr>
              <w:t>flow</w:t>
            </w:r>
          </w:p>
        </w:tc>
        <w:tc>
          <w:tcPr>
            <w:tcW w:type="dxa" w:w="2537"/>
            <w:shd w:fill="F7F8F9"/>
            <w:vAlign w:val="top"/>
          </w:tcPr>
          <w:p>
            <w:pPr>
              <w:spacing w:after="0"/>
            </w:pPr>
            <w:r>
              <w:rPr>
                <w:sz w:val="15"/>
              </w:rPr>
              <w:t>Product team</w:t>
            </w:r>
          </w:p>
        </w:tc>
      </w:tr>
      <w:tr>
        <w:tc>
          <w:tcPr>
            <w:tcW w:type="dxa" w:w="2537"/>
            <w:vAlign w:val="top"/>
          </w:tcPr>
          <w:p>
            <w:pPr>
              <w:spacing w:after="0"/>
            </w:pPr>
            <w:r>
              <w:rPr>
                <w:sz w:val="15"/>
              </w:rPr>
              <w:t>change failure rate</w:t>
            </w:r>
          </w:p>
        </w:tc>
        <w:tc>
          <w:tcPr>
            <w:tcW w:type="dxa" w:w="2537"/>
            <w:vAlign w:val="top"/>
          </w:tcPr>
          <w:p>
            <w:pPr>
              <w:spacing w:after="0"/>
            </w:pPr>
            <w:r>
              <w:rPr>
                <w:sz w:val="15"/>
              </w:rPr>
              <w:t>deployments causing rollback/incident/hotfix</w:t>
            </w:r>
          </w:p>
        </w:tc>
        <w:tc>
          <w:tcPr>
            <w:tcW w:type="dxa" w:w="2537"/>
            <w:vAlign w:val="top"/>
          </w:tcPr>
          <w:p>
            <w:pPr>
              <w:spacing w:after="0"/>
            </w:pPr>
            <w:r>
              <w:rPr>
                <w:sz w:val="15"/>
              </w:rPr>
              <w:t>stability</w:t>
            </w:r>
          </w:p>
        </w:tc>
        <w:tc>
          <w:tcPr>
            <w:tcW w:type="dxa" w:w="2537"/>
            <w:vAlign w:val="top"/>
          </w:tcPr>
          <w:p>
            <w:pPr>
              <w:spacing w:after="0"/>
            </w:pPr>
            <w:r>
              <w:rPr>
                <w:sz w:val="15"/>
              </w:rPr>
              <w:t>SRE/Product</w:t>
            </w:r>
          </w:p>
        </w:tc>
      </w:tr>
      <w:tr>
        <w:tc>
          <w:tcPr>
            <w:tcW w:type="dxa" w:w="2537"/>
            <w:shd w:fill="F7F8F9"/>
            <w:vAlign w:val="top"/>
          </w:tcPr>
          <w:p>
            <w:pPr>
              <w:spacing w:after="0"/>
            </w:pPr>
            <w:r>
              <w:rPr>
                <w:sz w:val="15"/>
              </w:rPr>
              <w:t>failed deployment recovery time</w:t>
            </w:r>
          </w:p>
        </w:tc>
        <w:tc>
          <w:tcPr>
            <w:tcW w:type="dxa" w:w="2537"/>
            <w:shd w:fill="F7F8F9"/>
            <w:vAlign w:val="top"/>
          </w:tcPr>
          <w:p>
            <w:pPr>
              <w:spacing w:after="0"/>
            </w:pPr>
            <w:r>
              <w:rPr>
                <w:sz w:val="15"/>
              </w:rPr>
              <w:t>failure detection to validated recovery</w:t>
            </w:r>
          </w:p>
        </w:tc>
        <w:tc>
          <w:tcPr>
            <w:tcW w:type="dxa" w:w="2537"/>
            <w:shd w:fill="F7F8F9"/>
            <w:vAlign w:val="top"/>
          </w:tcPr>
          <w:p>
            <w:pPr>
              <w:spacing w:after="0"/>
            </w:pPr>
            <w:r>
              <w:rPr>
                <w:sz w:val="15"/>
              </w:rPr>
              <w:t>resilience</w:t>
            </w:r>
          </w:p>
        </w:tc>
        <w:tc>
          <w:tcPr>
            <w:tcW w:type="dxa" w:w="2537"/>
            <w:shd w:fill="F7F8F9"/>
            <w:vAlign w:val="top"/>
          </w:tcPr>
          <w:p>
            <w:pPr>
              <w:spacing w:after="0"/>
            </w:pPr>
            <w:r>
              <w:rPr>
                <w:sz w:val="15"/>
              </w:rPr>
              <w:t>SRE</w:t>
            </w:r>
          </w:p>
        </w:tc>
      </w:tr>
      <w:tr>
        <w:tc>
          <w:tcPr>
            <w:tcW w:type="dxa" w:w="2537"/>
            <w:vAlign w:val="top"/>
          </w:tcPr>
          <w:p>
            <w:pPr>
              <w:spacing w:after="0"/>
            </w:pPr>
            <w:r>
              <w:rPr>
                <w:sz w:val="15"/>
              </w:rPr>
              <w:t>policy escape rate</w:t>
            </w:r>
          </w:p>
        </w:tc>
        <w:tc>
          <w:tcPr>
            <w:tcW w:type="dxa" w:w="2537"/>
            <w:vAlign w:val="top"/>
          </w:tcPr>
          <w:p>
            <w:pPr>
              <w:spacing w:after="0"/>
            </w:pPr>
            <w:r>
              <w:rPr>
                <w:sz w:val="15"/>
              </w:rPr>
              <w:t>production violations not caught pre-deploy</w:t>
            </w:r>
          </w:p>
        </w:tc>
        <w:tc>
          <w:tcPr>
            <w:tcW w:type="dxa" w:w="2537"/>
            <w:vAlign w:val="top"/>
          </w:tcPr>
          <w:p>
            <w:pPr>
              <w:spacing w:after="0"/>
            </w:pPr>
            <w:r>
              <w:rPr>
                <w:sz w:val="15"/>
              </w:rPr>
              <w:t>assurance</w:t>
            </w:r>
          </w:p>
        </w:tc>
        <w:tc>
          <w:tcPr>
            <w:tcW w:type="dxa" w:w="2537"/>
            <w:vAlign w:val="top"/>
          </w:tcPr>
          <w:p>
            <w:pPr>
              <w:spacing w:after="0"/>
            </w:pPr>
            <w:r>
              <w:rPr>
                <w:sz w:val="15"/>
              </w:rPr>
              <w:t>Security</w:t>
            </w:r>
          </w:p>
        </w:tc>
      </w:tr>
      <w:tr>
        <w:tc>
          <w:tcPr>
            <w:tcW w:type="dxa" w:w="2537"/>
            <w:shd w:fill="F7F8F9"/>
            <w:vAlign w:val="top"/>
          </w:tcPr>
          <w:p>
            <w:pPr>
              <w:spacing w:after="0"/>
            </w:pPr>
            <w:r>
              <w:rPr>
                <w:sz w:val="15"/>
              </w:rPr>
              <w:t>artifact reuse rate</w:t>
            </w:r>
          </w:p>
        </w:tc>
        <w:tc>
          <w:tcPr>
            <w:tcW w:type="dxa" w:w="2537"/>
            <w:shd w:fill="F7F8F9"/>
            <w:vAlign w:val="top"/>
          </w:tcPr>
          <w:p>
            <w:pPr>
              <w:spacing w:after="0"/>
            </w:pPr>
            <w:r>
              <w:rPr>
                <w:sz w:val="15"/>
              </w:rPr>
              <w:t>production releases promoting same tested digest</w:t>
            </w:r>
          </w:p>
        </w:tc>
        <w:tc>
          <w:tcPr>
            <w:tcW w:type="dxa" w:w="2537"/>
            <w:shd w:fill="F7F8F9"/>
            <w:vAlign w:val="top"/>
          </w:tcPr>
          <w:p>
            <w:pPr>
              <w:spacing w:after="0"/>
            </w:pPr>
            <w:r>
              <w:rPr>
                <w:sz w:val="15"/>
              </w:rPr>
              <w:t>integrity</w:t>
            </w:r>
          </w:p>
        </w:tc>
        <w:tc>
          <w:tcPr>
            <w:tcW w:type="dxa" w:w="2537"/>
            <w:shd w:fill="F7F8F9"/>
            <w:vAlign w:val="top"/>
          </w:tcPr>
          <w:p>
            <w:pPr>
              <w:spacing w:after="0"/>
            </w:pPr>
            <w:r>
              <w:rPr>
                <w:sz w:val="15"/>
              </w:rPr>
              <w:t>DevSecOps</w:t>
            </w:r>
          </w:p>
        </w:tc>
      </w:tr>
      <w:tr>
        <w:tc>
          <w:tcPr>
            <w:tcW w:type="dxa" w:w="2537"/>
            <w:vAlign w:val="top"/>
          </w:tcPr>
          <w:p>
            <w:pPr>
              <w:spacing w:after="0"/>
            </w:pPr>
            <w:r>
              <w:rPr>
                <w:sz w:val="15"/>
              </w:rPr>
              <w:t>approval latency</w:t>
            </w:r>
          </w:p>
        </w:tc>
        <w:tc>
          <w:tcPr>
            <w:tcW w:type="dxa" w:w="2537"/>
            <w:vAlign w:val="top"/>
          </w:tcPr>
          <w:p>
            <w:pPr>
              <w:spacing w:after="0"/>
            </w:pPr>
            <w:r>
              <w:rPr>
                <w:sz w:val="15"/>
              </w:rPr>
              <w:t>ready-for-approval to decision</w:t>
            </w:r>
          </w:p>
        </w:tc>
        <w:tc>
          <w:tcPr>
            <w:tcW w:type="dxa" w:w="2537"/>
            <w:vAlign w:val="top"/>
          </w:tcPr>
          <w:p>
            <w:pPr>
              <w:spacing w:after="0"/>
            </w:pPr>
            <w:r>
              <w:rPr>
                <w:sz w:val="15"/>
              </w:rPr>
              <w:t>governance efficiency</w:t>
            </w:r>
          </w:p>
        </w:tc>
        <w:tc>
          <w:tcPr>
            <w:tcW w:type="dxa" w:w="2537"/>
            <w:vAlign w:val="top"/>
          </w:tcPr>
          <w:p>
            <w:pPr>
              <w:spacing w:after="0"/>
            </w:pPr>
            <w:r>
              <w:rPr>
                <w:sz w:val="15"/>
              </w:rPr>
              <w:t>Change management</w:t>
            </w:r>
          </w:p>
        </w:tc>
      </w:tr>
      <w:tr>
        <w:tc>
          <w:tcPr>
            <w:tcW w:type="dxa" w:w="2537"/>
            <w:shd w:fill="F7F8F9"/>
            <w:vAlign w:val="top"/>
          </w:tcPr>
          <w:p>
            <w:pPr>
              <w:spacing w:after="0"/>
            </w:pPr>
            <w:r>
              <w:rPr>
                <w:sz w:val="15"/>
              </w:rPr>
              <w:t>rollback exercise success</w:t>
            </w:r>
          </w:p>
        </w:tc>
        <w:tc>
          <w:tcPr>
            <w:tcW w:type="dxa" w:w="2537"/>
            <w:shd w:fill="F7F8F9"/>
            <w:vAlign w:val="top"/>
          </w:tcPr>
          <w:p>
            <w:pPr>
              <w:spacing w:after="0"/>
            </w:pPr>
            <w:r>
              <w:rPr>
                <w:sz w:val="15"/>
              </w:rPr>
              <w:t>successful tested rollbacks / scheduled</w:t>
            </w:r>
          </w:p>
        </w:tc>
        <w:tc>
          <w:tcPr>
            <w:tcW w:type="dxa" w:w="2537"/>
            <w:shd w:fill="F7F8F9"/>
            <w:vAlign w:val="top"/>
          </w:tcPr>
          <w:p>
            <w:pPr>
              <w:spacing w:after="0"/>
            </w:pPr>
            <w:r>
              <w:rPr>
                <w:sz w:val="15"/>
              </w:rPr>
              <w:t>readiness</w:t>
            </w:r>
          </w:p>
        </w:tc>
        <w:tc>
          <w:tcPr>
            <w:tcW w:type="dxa" w:w="2537"/>
            <w:shd w:fill="F7F8F9"/>
            <w:vAlign w:val="top"/>
          </w:tcPr>
          <w:p>
            <w:pPr>
              <w:spacing w:after="0"/>
            </w:pPr>
            <w:r>
              <w:rPr>
                <w:sz w:val="15"/>
              </w:rPr>
              <w:t>SRE</w:t>
            </w:r>
          </w:p>
        </w:tc>
      </w:tr>
    </w:tbl>
    <w:p>
      <w:pPr>
        <w:spacing w:after="0"/>
      </w:pPr>
    </w:p>
    <w:p>
      <w:r>
        <w:br w:type="page"/>
      </w:r>
    </w:p>
    <w:p>
      <w:pPr>
        <w:pStyle w:val="Heading1"/>
      </w:pPr>
      <w:r>
        <w:t>28. Google Cloud Service Assessments</w:t>
      </w:r>
    </w:p>
    <w:p>
      <w:r>
        <w:t>Each selected service maps to a delivery or security requirement. Current quotas, regions, IAM, CMEK, VPC Service Controls, launch stage and API syntax must be validated during implementation.</w:t>
      </w:r>
    </w:p>
    <w:p>
      <w:pPr>
        <w:pStyle w:val="Heading2"/>
      </w:pPr>
      <w:r>
        <w:t>28.1 Cloud Build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Assessment field</w:t>
            </w:r>
          </w:p>
        </w:tc>
        <w:tc>
          <w:tcPr>
            <w:tcW w:type="dxa" w:w="7257"/>
            <w:shd w:fill="174EA6"/>
          </w:tcPr>
          <w:p>
            <w:pPr>
              <w:spacing w:after="0"/>
            </w:pPr>
            <w:r>
              <w:rPr>
                <w:b/>
                <w:color w:val="FFFFFF"/>
                <w:sz w:val="14"/>
              </w:rPr>
              <w:t>Enterprise guidance</w:t>
            </w:r>
          </w:p>
        </w:tc>
      </w:tr>
      <w:tr>
        <w:tc>
          <w:tcPr>
            <w:tcW w:type="dxa" w:w="2381"/>
            <w:vAlign w:val="top"/>
          </w:tcPr>
          <w:p>
            <w:pPr>
              <w:spacing w:after="0"/>
            </w:pPr>
            <w:r>
              <w:rPr>
                <w:sz w:val="14"/>
              </w:rPr>
              <w:t>Service name</w:t>
            </w:r>
          </w:p>
        </w:tc>
        <w:tc>
          <w:tcPr>
            <w:tcW w:type="dxa" w:w="7257"/>
            <w:vAlign w:val="top"/>
          </w:tcPr>
          <w:p>
            <w:pPr>
              <w:spacing w:after="0"/>
            </w:pPr>
            <w:r>
              <w:rPr>
                <w:sz w:val="14"/>
              </w:rPr>
              <w:t>Cloud Build</w:t>
            </w:r>
          </w:p>
        </w:tc>
      </w:tr>
      <w:tr>
        <w:tc>
          <w:tcPr>
            <w:tcW w:type="dxa" w:w="2381"/>
            <w:shd w:fill="F7F8F9"/>
            <w:vAlign w:val="top"/>
          </w:tcPr>
          <w:p>
            <w:pPr>
              <w:spacing w:after="0"/>
            </w:pPr>
            <w:r>
              <w:rPr>
                <w:sz w:val="14"/>
              </w:rPr>
              <w:t>Purpose</w:t>
            </w:r>
          </w:p>
        </w:tc>
        <w:tc>
          <w:tcPr>
            <w:tcW w:type="dxa" w:w="7257"/>
            <w:shd w:fill="F7F8F9"/>
            <w:vAlign w:val="top"/>
          </w:tcPr>
          <w:p>
            <w:pPr>
              <w:spacing w:after="0"/>
            </w:pPr>
            <w:r>
              <w:rPr>
                <w:sz w:val="14"/>
              </w:rPr>
              <w:t>Managed build and test execution</w:t>
            </w:r>
          </w:p>
        </w:tc>
      </w:tr>
      <w:tr>
        <w:tc>
          <w:tcPr>
            <w:tcW w:type="dxa" w:w="2381"/>
            <w:vAlign w:val="top"/>
          </w:tcPr>
          <w:p>
            <w:pPr>
              <w:spacing w:after="0"/>
            </w:pPr>
            <w:r>
              <w:rPr>
                <w:sz w:val="14"/>
              </w:rPr>
              <w:t>Enterprise architecture role</w:t>
            </w:r>
          </w:p>
        </w:tc>
        <w:tc>
          <w:tcPr>
            <w:tcW w:type="dxa" w:w="7257"/>
            <w:vAlign w:val="top"/>
          </w:tcPr>
          <w:p>
            <w:pPr>
              <w:spacing w:after="0"/>
            </w:pPr>
            <w:r>
              <w:rPr>
                <w:sz w:val="14"/>
              </w:rPr>
              <w:t>Trusted Google Cloud build plane for containers, templates and provenance</w:t>
            </w:r>
          </w:p>
        </w:tc>
      </w:tr>
      <w:tr>
        <w:tc>
          <w:tcPr>
            <w:tcW w:type="dxa" w:w="2381"/>
            <w:shd w:fill="F7F8F9"/>
            <w:vAlign w:val="top"/>
          </w:tcPr>
          <w:p>
            <w:pPr>
              <w:spacing w:after="0"/>
            </w:pPr>
            <w:r>
              <w:rPr>
                <w:sz w:val="14"/>
              </w:rPr>
              <w:t>Business capabilities supported</w:t>
            </w:r>
          </w:p>
        </w:tc>
        <w:tc>
          <w:tcPr>
            <w:tcW w:type="dxa" w:w="7257"/>
            <w:shd w:fill="F7F8F9"/>
            <w:vAlign w:val="top"/>
          </w:tcPr>
          <w:p>
            <w:pPr>
              <w:spacing w:after="0"/>
            </w:pPr>
            <w:r>
              <w:rPr>
                <w:sz w:val="14"/>
              </w:rPr>
              <w:t>Secure software and data delivery, controlled change, auditability, platform engineering and regulated release evidence.</w:t>
            </w:r>
          </w:p>
        </w:tc>
      </w:tr>
      <w:tr>
        <w:tc>
          <w:tcPr>
            <w:tcW w:type="dxa" w:w="2381"/>
            <w:vAlign w:val="top"/>
          </w:tcPr>
          <w:p>
            <w:pPr>
              <w:spacing w:after="0"/>
            </w:pPr>
            <w:r>
              <w:rPr>
                <w:sz w:val="14"/>
              </w:rPr>
              <w:t>Technical capabilities</w:t>
            </w:r>
          </w:p>
        </w:tc>
        <w:tc>
          <w:tcPr>
            <w:tcW w:type="dxa" w:w="7257"/>
            <w:vAlign w:val="top"/>
          </w:tcPr>
          <w:p>
            <w:pPr>
              <w:spacing w:after="0"/>
            </w:pPr>
            <w:r>
              <w:rPr>
                <w:sz w:val="14"/>
              </w:rPr>
              <w:t>Managed build and test execution integrated with IAM, logging, monitoring and Google Cloud resource controls.</w:t>
            </w:r>
          </w:p>
        </w:tc>
      </w:tr>
      <w:tr>
        <w:tc>
          <w:tcPr>
            <w:tcW w:type="dxa" w:w="2381"/>
            <w:shd w:fill="F7F8F9"/>
            <w:vAlign w:val="top"/>
          </w:tcPr>
          <w:p>
            <w:pPr>
              <w:spacing w:after="0"/>
            </w:pPr>
            <w:r>
              <w:rPr>
                <w:sz w:val="14"/>
              </w:rPr>
              <w:t>Benefits</w:t>
            </w:r>
          </w:p>
        </w:tc>
        <w:tc>
          <w:tcPr>
            <w:tcW w:type="dxa" w:w="7257"/>
            <w:shd w:fill="F7F8F9"/>
            <w:vAlign w:val="top"/>
          </w:tcPr>
          <w:p>
            <w:pPr>
              <w:spacing w:after="0"/>
            </w:pPr>
            <w:r>
              <w:rPr>
                <w:sz w:val="14"/>
              </w:rPr>
              <w:t>Managed integration, reduced undifferentiated operations, standard evidence and alignment with the inherited Google Cloud platform.</w:t>
            </w:r>
          </w:p>
        </w:tc>
      </w:tr>
      <w:tr>
        <w:tc>
          <w:tcPr>
            <w:tcW w:type="dxa" w:w="2381"/>
            <w:vAlign w:val="top"/>
          </w:tcPr>
          <w:p>
            <w:pPr>
              <w:spacing w:after="0"/>
            </w:pPr>
            <w:r>
              <w:rPr>
                <w:sz w:val="14"/>
              </w:rPr>
              <w:t>Limitations</w:t>
            </w:r>
          </w:p>
        </w:tc>
        <w:tc>
          <w:tcPr>
            <w:tcW w:type="dxa" w:w="7257"/>
            <w:vAlign w:val="top"/>
          </w:tcPr>
          <w:p>
            <w:pPr>
              <w:spacing w:after="0"/>
            </w:pPr>
            <w:r>
              <w:rPr>
                <w:sz w:val="14"/>
              </w:rPr>
              <w:t>Features, targets, quotas, locations, integrations and launch stages vary; some data assets require dedicated deployment lanes rather than application CD.</w:t>
            </w:r>
          </w:p>
        </w:tc>
      </w:tr>
      <w:tr>
        <w:tc>
          <w:tcPr>
            <w:tcW w:type="dxa" w:w="2381"/>
            <w:shd w:fill="F7F8F9"/>
            <w:vAlign w:val="top"/>
          </w:tcPr>
          <w:p>
            <w:pPr>
              <w:spacing w:after="0"/>
            </w:pPr>
            <w:r>
              <w:rPr>
                <w:sz w:val="14"/>
              </w:rPr>
              <w:t>Service quotas</w:t>
            </w:r>
          </w:p>
        </w:tc>
        <w:tc>
          <w:tcPr>
            <w:tcW w:type="dxa" w:w="7257"/>
            <w:shd w:fill="F7F8F9"/>
            <w:vAlign w:val="top"/>
          </w:tcPr>
          <w:p>
            <w:pPr>
              <w:spacing w:after="0"/>
            </w:pPr>
            <w:r>
              <w:rPr>
                <w:sz w:val="14"/>
              </w:rPr>
              <w:t>Validate project, regional, API, concurrency, storage and throughput quotas before scale rollout.</w:t>
            </w:r>
          </w:p>
        </w:tc>
      </w:tr>
      <w:tr>
        <w:tc>
          <w:tcPr>
            <w:tcW w:type="dxa" w:w="2381"/>
            <w:vAlign w:val="top"/>
          </w:tcPr>
          <w:p>
            <w:pPr>
              <w:spacing w:after="0"/>
            </w:pPr>
            <w:r>
              <w:rPr>
                <w:sz w:val="14"/>
              </w:rPr>
              <w:t>Regional availability considerations</w:t>
            </w:r>
          </w:p>
        </w:tc>
        <w:tc>
          <w:tcPr>
            <w:tcW w:type="dxa" w:w="7257"/>
            <w:vAlign w:val="top"/>
          </w:tcPr>
          <w:p>
            <w:pPr>
              <w:spacing w:after="0"/>
            </w:pPr>
            <w:r>
              <w:rPr>
                <w:sz w:val="14"/>
              </w:rPr>
              <w:t>Place regional resources such as private pools and repositories with the approved delivery/data plane; validate cross-region access and residency.</w:t>
            </w:r>
          </w:p>
        </w:tc>
      </w:tr>
      <w:tr>
        <w:tc>
          <w:tcPr>
            <w:tcW w:type="dxa" w:w="2381"/>
            <w:shd w:fill="F7F8F9"/>
            <w:vAlign w:val="top"/>
          </w:tcPr>
          <w:p>
            <w:pPr>
              <w:spacing w:after="0"/>
            </w:pPr>
            <w:r>
              <w:rPr>
                <w:sz w:val="14"/>
              </w:rPr>
              <w:t>High-availability characteristics</w:t>
            </w:r>
          </w:p>
        </w:tc>
        <w:tc>
          <w:tcPr>
            <w:tcW w:type="dxa" w:w="7257"/>
            <w:shd w:fill="F7F8F9"/>
            <w:vAlign w:val="top"/>
          </w:tcPr>
          <w:p>
            <w:pPr>
              <w:spacing w:after="0"/>
            </w:pPr>
            <w:r>
              <w:rPr>
                <w:sz w:val="14"/>
              </w:rPr>
              <w:t>Managed control planes reduce infrastructure operations; delivery workflows must tolerate API/transient failures and preserve source/artifacts for replay.</w:t>
            </w:r>
          </w:p>
        </w:tc>
      </w:tr>
      <w:tr>
        <w:tc>
          <w:tcPr>
            <w:tcW w:type="dxa" w:w="2381"/>
            <w:vAlign w:val="top"/>
          </w:tcPr>
          <w:p>
            <w:pPr>
              <w:spacing w:after="0"/>
            </w:pPr>
            <w:r>
              <w:rPr>
                <w:sz w:val="14"/>
              </w:rPr>
              <w:t>Disaster-recovery considerations</w:t>
            </w:r>
          </w:p>
        </w:tc>
        <w:tc>
          <w:tcPr>
            <w:tcW w:type="dxa" w:w="7257"/>
            <w:vAlign w:val="top"/>
          </w:tcPr>
          <w:p>
            <w:pPr>
              <w:spacing w:after="0"/>
            </w:pPr>
            <w:r>
              <w:rPr>
                <w:sz w:val="14"/>
              </w:rPr>
              <w:t>Back up source/configuration, replicate or rebuild artifact repositories where required, preserve provenance and test alternate build/deploy paths.</w:t>
            </w:r>
          </w:p>
        </w:tc>
      </w:tr>
      <w:tr>
        <w:tc>
          <w:tcPr>
            <w:tcW w:type="dxa" w:w="2381"/>
            <w:shd w:fill="F7F8F9"/>
            <w:vAlign w:val="top"/>
          </w:tcPr>
          <w:p>
            <w:pPr>
              <w:spacing w:after="0"/>
            </w:pPr>
            <w:r>
              <w:rPr>
                <w:sz w:val="14"/>
              </w:rPr>
              <w:t>Security model</w:t>
            </w:r>
          </w:p>
        </w:tc>
        <w:tc>
          <w:tcPr>
            <w:tcW w:type="dxa" w:w="7257"/>
            <w:shd w:fill="F7F8F9"/>
            <w:vAlign w:val="top"/>
          </w:tcPr>
          <w:p>
            <w:pPr>
              <w:spacing w:after="0"/>
            </w:pPr>
            <w:r>
              <w:rPr>
                <w:sz w:val="14"/>
              </w:rPr>
              <w:t>IAM, workload identity, protected repositories/environments, least privilege, private network access and immutable audit evidence.</w:t>
            </w:r>
          </w:p>
        </w:tc>
      </w:tr>
      <w:tr>
        <w:tc>
          <w:tcPr>
            <w:tcW w:type="dxa" w:w="2381"/>
            <w:vAlign w:val="top"/>
          </w:tcPr>
          <w:p>
            <w:pPr>
              <w:spacing w:after="0"/>
            </w:pPr>
            <w:r>
              <w:rPr>
                <w:sz w:val="14"/>
              </w:rPr>
              <w:t>IAM requirements</w:t>
            </w:r>
          </w:p>
        </w:tc>
        <w:tc>
          <w:tcPr>
            <w:tcW w:type="dxa" w:w="7257"/>
            <w:vAlign w:val="top"/>
          </w:tcPr>
          <w:p>
            <w:pPr>
              <w:spacing w:after="0"/>
            </w:pPr>
            <w:r>
              <w:rPr>
                <w:sz w:val="14"/>
              </w:rPr>
              <w:t>Separate source admin, workflow identity, build identity, artifact writer, deployer, approver and runtime identities.</w:t>
            </w:r>
          </w:p>
        </w:tc>
      </w:tr>
      <w:tr>
        <w:tc>
          <w:tcPr>
            <w:tcW w:type="dxa" w:w="2381"/>
            <w:shd w:fill="F7F8F9"/>
            <w:vAlign w:val="top"/>
          </w:tcPr>
          <w:p>
            <w:pPr>
              <w:spacing w:after="0"/>
            </w:pPr>
            <w:r>
              <w:rPr>
                <w:sz w:val="14"/>
              </w:rPr>
              <w:t>Network requirements</w:t>
            </w:r>
          </w:p>
        </w:tc>
        <w:tc>
          <w:tcPr>
            <w:tcW w:type="dxa" w:w="7257"/>
            <w:shd w:fill="F7F8F9"/>
            <w:vAlign w:val="top"/>
          </w:tcPr>
          <w:p>
            <w:pPr>
              <w:spacing w:after="0"/>
            </w:pPr>
            <w:r>
              <w:rPr>
                <w:sz w:val="14"/>
              </w:rPr>
              <w:t>Private pools or approved runners, Private Google Access/PSC where supported and controlled egress for dependencies.</w:t>
            </w:r>
          </w:p>
        </w:tc>
      </w:tr>
      <w:tr>
        <w:tc>
          <w:tcPr>
            <w:tcW w:type="dxa" w:w="2381"/>
            <w:vAlign w:val="top"/>
          </w:tcPr>
          <w:p>
            <w:pPr>
              <w:spacing w:after="0"/>
            </w:pPr>
            <w:r>
              <w:rPr>
                <w:sz w:val="14"/>
              </w:rPr>
              <w:t>VPC Service Controls considerations</w:t>
            </w:r>
          </w:p>
        </w:tc>
        <w:tc>
          <w:tcPr>
            <w:tcW w:type="dxa" w:w="7257"/>
            <w:vAlign w:val="top"/>
          </w:tcPr>
          <w:p>
            <w:pPr>
              <w:spacing w:after="0"/>
            </w:pPr>
            <w:r>
              <w:rPr>
                <w:sz w:val="14"/>
              </w:rPr>
              <w:t>Validate service support and ingress/egress dependencies; GitHub is outside the perimeter and must use WIF and narrowly authorized APIs.</w:t>
            </w:r>
          </w:p>
        </w:tc>
      </w:tr>
      <w:tr>
        <w:tc>
          <w:tcPr>
            <w:tcW w:type="dxa" w:w="2381"/>
            <w:shd w:fill="F7F8F9"/>
            <w:vAlign w:val="top"/>
          </w:tcPr>
          <w:p>
            <w:pPr>
              <w:spacing w:after="0"/>
            </w:pPr>
            <w:r>
              <w:rPr>
                <w:sz w:val="14"/>
              </w:rPr>
              <w:t>Encryption capabilities</w:t>
            </w:r>
          </w:p>
        </w:tc>
        <w:tc>
          <w:tcPr>
            <w:tcW w:type="dxa" w:w="7257"/>
            <w:shd w:fill="F7F8F9"/>
            <w:vAlign w:val="top"/>
          </w:tcPr>
          <w:p>
            <w:pPr>
              <w:spacing w:after="0"/>
            </w:pPr>
            <w:r>
              <w:rPr>
                <w:sz w:val="14"/>
              </w:rPr>
              <w:t>Google-managed encryption by default and TLS in transit; protect evidence, artifacts and configuration.</w:t>
            </w:r>
          </w:p>
        </w:tc>
      </w:tr>
      <w:tr>
        <w:tc>
          <w:tcPr>
            <w:tcW w:type="dxa" w:w="2381"/>
            <w:vAlign w:val="top"/>
          </w:tcPr>
          <w:p>
            <w:pPr>
              <w:spacing w:after="0"/>
            </w:pPr>
            <w:r>
              <w:rPr>
                <w:sz w:val="14"/>
              </w:rPr>
              <w:t>CMEK support</w:t>
            </w:r>
          </w:p>
        </w:tc>
        <w:tc>
          <w:tcPr>
            <w:tcW w:type="dxa" w:w="7257"/>
            <w:vAlign w:val="top"/>
          </w:tcPr>
          <w:p>
            <w:pPr>
              <w:spacing w:after="0"/>
            </w:pPr>
            <w:r>
              <w:rPr>
                <w:sz w:val="14"/>
              </w:rPr>
              <w:t>Use where required and supported, especially repositories/build resources; validate resource/location and service-agent permissions.</w:t>
            </w:r>
          </w:p>
        </w:tc>
      </w:tr>
      <w:tr>
        <w:tc>
          <w:tcPr>
            <w:tcW w:type="dxa" w:w="2381"/>
            <w:shd w:fill="F7F8F9"/>
            <w:vAlign w:val="top"/>
          </w:tcPr>
          <w:p>
            <w:pPr>
              <w:spacing w:after="0"/>
            </w:pPr>
            <w:r>
              <w:rPr>
                <w:sz w:val="14"/>
              </w:rPr>
              <w:t>Logging</w:t>
            </w:r>
          </w:p>
        </w:tc>
        <w:tc>
          <w:tcPr>
            <w:tcW w:type="dxa" w:w="7257"/>
            <w:shd w:fill="F7F8F9"/>
            <w:vAlign w:val="top"/>
          </w:tcPr>
          <w:p>
            <w:pPr>
              <w:spacing w:after="0"/>
            </w:pPr>
            <w:r>
              <w:rPr>
                <w:sz w:val="14"/>
              </w:rPr>
              <w:t>Enable audit, workflow, build, artifact and rollout logs; exclude secrets and sensitive payloads.</w:t>
            </w:r>
          </w:p>
        </w:tc>
      </w:tr>
      <w:tr>
        <w:tc>
          <w:tcPr>
            <w:tcW w:type="dxa" w:w="2381"/>
            <w:vAlign w:val="top"/>
          </w:tcPr>
          <w:p>
            <w:pPr>
              <w:spacing w:after="0"/>
            </w:pPr>
            <w:r>
              <w:rPr>
                <w:sz w:val="14"/>
              </w:rPr>
              <w:t>Monitoring</w:t>
            </w:r>
          </w:p>
        </w:tc>
        <w:tc>
          <w:tcPr>
            <w:tcW w:type="dxa" w:w="7257"/>
            <w:vAlign w:val="top"/>
          </w:tcPr>
          <w:p>
            <w:pPr>
              <w:spacing w:after="0"/>
            </w:pPr>
            <w:r>
              <w:rPr>
                <w:sz w:val="14"/>
              </w:rPr>
              <w:t>Track workflow/build/rollout success, duration, queue, policy failures, artifact age, vulnerabilities and release outcomes.</w:t>
            </w:r>
          </w:p>
        </w:tc>
      </w:tr>
      <w:tr>
        <w:tc>
          <w:tcPr>
            <w:tcW w:type="dxa" w:w="2381"/>
            <w:shd w:fill="F7F8F9"/>
            <w:vAlign w:val="top"/>
          </w:tcPr>
          <w:p>
            <w:pPr>
              <w:spacing w:after="0"/>
            </w:pPr>
            <w:r>
              <w:rPr>
                <w:sz w:val="14"/>
              </w:rPr>
              <w:t>Alerting</w:t>
            </w:r>
          </w:p>
        </w:tc>
        <w:tc>
          <w:tcPr>
            <w:tcW w:type="dxa" w:w="7257"/>
            <w:shd w:fill="F7F8F9"/>
            <w:vAlign w:val="top"/>
          </w:tcPr>
          <w:p>
            <w:pPr>
              <w:spacing w:after="0"/>
            </w:pPr>
            <w:r>
              <w:rPr>
                <w:sz w:val="14"/>
              </w:rPr>
              <w:t>Page only for production-impacting or supply-chain security events; route failed builds and policy trends to owners.</w:t>
            </w:r>
          </w:p>
        </w:tc>
      </w:tr>
      <w:tr>
        <w:tc>
          <w:tcPr>
            <w:tcW w:type="dxa" w:w="2381"/>
            <w:vAlign w:val="top"/>
          </w:tcPr>
          <w:p>
            <w:pPr>
              <w:spacing w:after="0"/>
            </w:pPr>
            <w:r>
              <w:rPr>
                <w:sz w:val="14"/>
              </w:rPr>
              <w:t>Cost drivers</w:t>
            </w:r>
          </w:p>
        </w:tc>
        <w:tc>
          <w:tcPr>
            <w:tcW w:type="dxa" w:w="7257"/>
            <w:vAlign w:val="top"/>
          </w:tcPr>
          <w:p>
            <w:pPr>
              <w:spacing w:after="0"/>
            </w:pPr>
            <w:r>
              <w:rPr>
                <w:sz w:val="14"/>
              </w:rPr>
              <w:t>Workflow minutes/runners, private build workers, storage, scanning, network, verification jobs and logging.</w:t>
            </w:r>
          </w:p>
        </w:tc>
      </w:tr>
      <w:tr>
        <w:tc>
          <w:tcPr>
            <w:tcW w:type="dxa" w:w="2381"/>
            <w:shd w:fill="F7F8F9"/>
            <w:vAlign w:val="top"/>
          </w:tcPr>
          <w:p>
            <w:pPr>
              <w:spacing w:after="0"/>
            </w:pPr>
            <w:r>
              <w:rPr>
                <w:sz w:val="14"/>
              </w:rPr>
              <w:t>Cost-optimization techniques</w:t>
            </w:r>
          </w:p>
        </w:tc>
        <w:tc>
          <w:tcPr>
            <w:tcW w:type="dxa" w:w="7257"/>
            <w:shd w:fill="F7F8F9"/>
            <w:vAlign w:val="top"/>
          </w:tcPr>
          <w:p>
            <w:pPr>
              <w:spacing w:after="0"/>
            </w:pPr>
            <w:r>
              <w:rPr>
                <w:sz w:val="14"/>
              </w:rPr>
              <w:t>Cache safely, right-size private pools, avoid duplicate rebuilds, apply cleanup policies and limit noisy logs without weakening evidence.</w:t>
            </w:r>
          </w:p>
        </w:tc>
      </w:tr>
      <w:tr>
        <w:tc>
          <w:tcPr>
            <w:tcW w:type="dxa" w:w="2381"/>
            <w:vAlign w:val="top"/>
          </w:tcPr>
          <w:p>
            <w:pPr>
              <w:spacing w:after="0"/>
            </w:pPr>
            <w:r>
              <w:rPr>
                <w:sz w:val="14"/>
              </w:rPr>
              <w:t>Operational responsibilities</w:t>
            </w:r>
          </w:p>
        </w:tc>
        <w:tc>
          <w:tcPr>
            <w:tcW w:type="dxa" w:w="7257"/>
            <w:vAlign w:val="top"/>
          </w:tcPr>
          <w:p>
            <w:pPr>
              <w:spacing w:after="0"/>
            </w:pPr>
            <w:r>
              <w:rPr>
                <w:sz w:val="14"/>
              </w:rPr>
              <w:t>Platform DevSecOps owns golden paths; product teams own code/tests and release outcomes; security owns policy; SRE owns production rollout/rollback practice.</w:t>
            </w:r>
          </w:p>
        </w:tc>
      </w:tr>
      <w:tr>
        <w:tc>
          <w:tcPr>
            <w:tcW w:type="dxa" w:w="2381"/>
            <w:shd w:fill="F7F8F9"/>
            <w:vAlign w:val="top"/>
          </w:tcPr>
          <w:p>
            <w:pPr>
              <w:spacing w:after="0"/>
            </w:pPr>
            <w:r>
              <w:rPr>
                <w:sz w:val="14"/>
              </w:rPr>
              <w:t>Integration points</w:t>
            </w:r>
          </w:p>
        </w:tc>
        <w:tc>
          <w:tcPr>
            <w:tcW w:type="dxa" w:w="7257"/>
            <w:shd w:fill="F7F8F9"/>
            <w:vAlign w:val="top"/>
          </w:tcPr>
          <w:p>
            <w:pPr>
              <w:spacing w:after="0"/>
            </w:pPr>
            <w:r>
              <w:rPr>
                <w:sz w:val="14"/>
              </w:rPr>
              <w:t>GitHub, IAM/WIF, Cloud Build, Artifact Registry, Cloud Deploy, Binary Authorization, Security Command Center, Monitoring, Terraform and target services.</w:t>
            </w:r>
          </w:p>
        </w:tc>
      </w:tr>
      <w:tr>
        <w:tc>
          <w:tcPr>
            <w:tcW w:type="dxa" w:w="2381"/>
            <w:vAlign w:val="top"/>
          </w:tcPr>
          <w:p>
            <w:pPr>
              <w:spacing w:after="0"/>
            </w:pPr>
            <w:r>
              <w:rPr>
                <w:sz w:val="14"/>
              </w:rPr>
              <w:t>Alternatives</w:t>
            </w:r>
          </w:p>
        </w:tc>
        <w:tc>
          <w:tcPr>
            <w:tcW w:type="dxa" w:w="7257"/>
            <w:vAlign w:val="top"/>
          </w:tcPr>
          <w:p>
            <w:pPr>
              <w:spacing w:after="0"/>
            </w:pPr>
            <w:r>
              <w:rPr>
                <w:sz w:val="14"/>
              </w:rPr>
              <w:t>GitLab/Jenkins/Azure DevOps, third-party registries/deployment tools or custom pipelines when approved requirements are unmet.</w:t>
            </w:r>
          </w:p>
        </w:tc>
      </w:tr>
      <w:tr>
        <w:tc>
          <w:tcPr>
            <w:tcW w:type="dxa" w:w="2381"/>
            <w:shd w:fill="F7F8F9"/>
            <w:vAlign w:val="top"/>
          </w:tcPr>
          <w:p>
            <w:pPr>
              <w:spacing w:after="0"/>
            </w:pPr>
            <w:r>
              <w:rPr>
                <w:sz w:val="14"/>
              </w:rPr>
              <w:t>Selection criteria</w:t>
            </w:r>
          </w:p>
        </w:tc>
        <w:tc>
          <w:tcPr>
            <w:tcW w:type="dxa" w:w="7257"/>
            <w:shd w:fill="F7F8F9"/>
            <w:vAlign w:val="top"/>
          </w:tcPr>
          <w:p>
            <w:pPr>
              <w:spacing w:after="0"/>
            </w:pPr>
            <w:r>
              <w:rPr>
                <w:sz w:val="14"/>
              </w:rPr>
              <w:t>Source governance, identity, network, artifact type, target support, regulated evidence, progressive delivery, operability and cost.</w:t>
            </w:r>
          </w:p>
        </w:tc>
      </w:tr>
      <w:tr>
        <w:tc>
          <w:tcPr>
            <w:tcW w:type="dxa" w:w="2381"/>
            <w:vAlign w:val="top"/>
          </w:tcPr>
          <w:p>
            <w:pPr>
              <w:spacing w:after="0"/>
            </w:pPr>
            <w:r>
              <w:rPr>
                <w:sz w:val="14"/>
              </w:rPr>
              <w:t>Best practices</w:t>
            </w:r>
          </w:p>
        </w:tc>
        <w:tc>
          <w:tcPr>
            <w:tcW w:type="dxa" w:w="7257"/>
            <w:vAlign w:val="top"/>
          </w:tcPr>
          <w:p>
            <w:pPr>
              <w:spacing w:after="0"/>
            </w:pPr>
            <w:r>
              <w:rPr>
                <w:sz w:val="14"/>
              </w:rPr>
              <w:t>Keyless identity, immutable digests, pinned dependencies, isolated builds, policy gates, same-artifact promotion, independent approval and tested rollback.</w:t>
            </w:r>
          </w:p>
        </w:tc>
      </w:tr>
      <w:tr>
        <w:tc>
          <w:tcPr>
            <w:tcW w:type="dxa" w:w="2381"/>
            <w:shd w:fill="F7F8F9"/>
            <w:vAlign w:val="top"/>
          </w:tcPr>
          <w:p>
            <w:pPr>
              <w:spacing w:after="0"/>
            </w:pPr>
            <w:r>
              <w:rPr>
                <w:sz w:val="14"/>
              </w:rPr>
              <w:t>Reference architecture</w:t>
            </w:r>
          </w:p>
        </w:tc>
        <w:tc>
          <w:tcPr>
            <w:tcW w:type="dxa" w:w="7257"/>
            <w:shd w:fill="F7F8F9"/>
            <w:vAlign w:val="top"/>
          </w:tcPr>
          <w:p>
            <w:pPr>
              <w:spacing w:after="0"/>
            </w:pPr>
            <w:r>
              <w:rPr>
                <w:sz w:val="14"/>
              </w:rPr>
              <w:t>GitHub -&gt; PR checks -&gt; WIF -&gt; Cloud Build -&gt; Artifact Registry -&gt; policy/attestation -&gt; target-specific deployment -&gt; monitoring/rollback.</w:t>
            </w:r>
          </w:p>
        </w:tc>
      </w:tr>
      <w:tr>
        <w:tc>
          <w:tcPr>
            <w:tcW w:type="dxa" w:w="2381"/>
            <w:vAlign w:val="top"/>
          </w:tcPr>
          <w:p>
            <w:pPr>
              <w:spacing w:after="0"/>
            </w:pPr>
            <w:r>
              <w:rPr>
                <w:sz w:val="14"/>
              </w:rPr>
              <w:t>Sample configuration</w:t>
            </w:r>
          </w:p>
        </w:tc>
        <w:tc>
          <w:tcPr>
            <w:tcW w:type="dxa" w:w="7257"/>
            <w:vAlign w:val="top"/>
          </w:tcPr>
          <w:p>
            <w:pPr>
              <w:spacing w:after="0"/>
            </w:pPr>
            <w:r>
              <w:rPr>
                <w:sz w:val="14"/>
              </w:rPr>
              <w:t>See examples folders; validate exact action versions, API schema and provider arguments before production use.</w:t>
            </w:r>
          </w:p>
        </w:tc>
      </w:tr>
      <w:tr>
        <w:tc>
          <w:tcPr>
            <w:tcW w:type="dxa" w:w="2381"/>
            <w:shd w:fill="F7F8F9"/>
            <w:vAlign w:val="top"/>
          </w:tcPr>
          <w:p>
            <w:pPr>
              <w:spacing w:after="0"/>
            </w:pPr>
            <w:r>
              <w:rPr>
                <w:sz w:val="14"/>
              </w:rPr>
              <w:t>Common pitfalls</w:t>
            </w:r>
          </w:p>
        </w:tc>
        <w:tc>
          <w:tcPr>
            <w:tcW w:type="dxa" w:w="7257"/>
            <w:shd w:fill="F7F8F9"/>
            <w:vAlign w:val="top"/>
          </w:tcPr>
          <w:p>
            <w:pPr>
              <w:spacing w:after="0"/>
            </w:pPr>
            <w:r>
              <w:rPr>
                <w:sz w:val="14"/>
              </w:rPr>
              <w:t>Long-lived keys, mutable tags, unpinned actions, broad service accounts, rebuild per environment, unmanaged console deployment and absent rollback evidence.</w:t>
            </w:r>
          </w:p>
        </w:tc>
      </w:tr>
      <w:tr>
        <w:tc>
          <w:tcPr>
            <w:tcW w:type="dxa" w:w="2381"/>
            <w:vAlign w:val="top"/>
          </w:tcPr>
          <w:p>
            <w:pPr>
              <w:spacing w:after="0"/>
            </w:pPr>
            <w:r>
              <w:rPr>
                <w:sz w:val="14"/>
              </w:rPr>
              <w:t>Anti-patterns</w:t>
            </w:r>
          </w:p>
        </w:tc>
        <w:tc>
          <w:tcPr>
            <w:tcW w:type="dxa" w:w="7257"/>
            <w:vAlign w:val="top"/>
          </w:tcPr>
          <w:p>
            <w:pPr>
              <w:spacing w:after="0"/>
            </w:pPr>
            <w:r>
              <w:rPr>
                <w:sz w:val="14"/>
              </w:rPr>
              <w:t>CI identity is project owner; production deployment from developer laptop; secret in repository; latest tag; approval by code author only.</w:t>
            </w:r>
          </w:p>
        </w:tc>
      </w:tr>
      <w:tr>
        <w:tc>
          <w:tcPr>
            <w:tcW w:type="dxa" w:w="2381"/>
            <w:shd w:fill="F7F8F9"/>
            <w:vAlign w:val="top"/>
          </w:tcPr>
          <w:p>
            <w:pPr>
              <w:spacing w:after="0"/>
            </w:pPr>
            <w:r>
              <w:rPr>
                <w:sz w:val="14"/>
              </w:rPr>
              <w:t>Production-readiness checklist</w:t>
            </w:r>
          </w:p>
        </w:tc>
        <w:tc>
          <w:tcPr>
            <w:tcW w:type="dxa" w:w="7257"/>
            <w:shd w:fill="F7F8F9"/>
            <w:vAlign w:val="top"/>
          </w:tcPr>
          <w:p>
            <w:pPr>
              <w:spacing w:after="0"/>
            </w:pPr>
            <w:r>
              <w:rPr>
                <w:sz w:val="14"/>
              </w:rPr>
              <w:t>Repository controls; WIF; IAM separation; private build path; scans; immutable artifact; provenance; target approval; verification; rollback; metrics and retention.</w:t>
            </w:r>
          </w:p>
        </w:tc>
      </w:tr>
    </w:tbl>
    <w:p>
      <w:pPr>
        <w:spacing w:after="0"/>
      </w:pPr>
    </w:p>
    <w:p>
      <w:r>
        <w:br w:type="page"/>
      </w:r>
    </w:p>
    <w:p>
      <w:pPr>
        <w:pStyle w:val="Heading2"/>
      </w:pPr>
      <w:r>
        <w:t>28.2 GitHub Actions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Assessment field</w:t>
            </w:r>
          </w:p>
        </w:tc>
        <w:tc>
          <w:tcPr>
            <w:tcW w:type="dxa" w:w="7257"/>
            <w:shd w:fill="174EA6"/>
          </w:tcPr>
          <w:p>
            <w:pPr>
              <w:spacing w:after="0"/>
            </w:pPr>
            <w:r>
              <w:rPr>
                <w:b/>
                <w:color w:val="FFFFFF"/>
                <w:sz w:val="14"/>
              </w:rPr>
              <w:t>Enterprise guidance</w:t>
            </w:r>
          </w:p>
        </w:tc>
      </w:tr>
      <w:tr>
        <w:tc>
          <w:tcPr>
            <w:tcW w:type="dxa" w:w="2381"/>
            <w:vAlign w:val="top"/>
          </w:tcPr>
          <w:p>
            <w:pPr>
              <w:spacing w:after="0"/>
            </w:pPr>
            <w:r>
              <w:rPr>
                <w:sz w:val="14"/>
              </w:rPr>
              <w:t>Service name</w:t>
            </w:r>
          </w:p>
        </w:tc>
        <w:tc>
          <w:tcPr>
            <w:tcW w:type="dxa" w:w="7257"/>
            <w:vAlign w:val="top"/>
          </w:tcPr>
          <w:p>
            <w:pPr>
              <w:spacing w:after="0"/>
            </w:pPr>
            <w:r>
              <w:rPr>
                <w:sz w:val="14"/>
              </w:rPr>
              <w:t>GitHub Actions</w:t>
            </w:r>
          </w:p>
        </w:tc>
      </w:tr>
      <w:tr>
        <w:tc>
          <w:tcPr>
            <w:tcW w:type="dxa" w:w="2381"/>
            <w:shd w:fill="F7F8F9"/>
            <w:vAlign w:val="top"/>
          </w:tcPr>
          <w:p>
            <w:pPr>
              <w:spacing w:after="0"/>
            </w:pPr>
            <w:r>
              <w:rPr>
                <w:sz w:val="14"/>
              </w:rPr>
              <w:t>Purpose</w:t>
            </w:r>
          </w:p>
        </w:tc>
        <w:tc>
          <w:tcPr>
            <w:tcW w:type="dxa" w:w="7257"/>
            <w:shd w:fill="F7F8F9"/>
            <w:vAlign w:val="top"/>
          </w:tcPr>
          <w:p>
            <w:pPr>
              <w:spacing w:after="0"/>
            </w:pPr>
            <w:r>
              <w:rPr>
                <w:sz w:val="14"/>
              </w:rPr>
              <w:t>Repository-native workflow automation</w:t>
            </w:r>
          </w:p>
        </w:tc>
      </w:tr>
      <w:tr>
        <w:tc>
          <w:tcPr>
            <w:tcW w:type="dxa" w:w="2381"/>
            <w:vAlign w:val="top"/>
          </w:tcPr>
          <w:p>
            <w:pPr>
              <w:spacing w:after="0"/>
            </w:pPr>
            <w:r>
              <w:rPr>
                <w:sz w:val="14"/>
              </w:rPr>
              <w:t>Enterprise architecture role</w:t>
            </w:r>
          </w:p>
        </w:tc>
        <w:tc>
          <w:tcPr>
            <w:tcW w:type="dxa" w:w="7257"/>
            <w:vAlign w:val="top"/>
          </w:tcPr>
          <w:p>
            <w:pPr>
              <w:spacing w:after="0"/>
            </w:pPr>
            <w:r>
              <w:rPr>
                <w:sz w:val="14"/>
              </w:rPr>
              <w:t>Source-control validation and orchestration with OIDC federation into Google Cloud</w:t>
            </w:r>
          </w:p>
        </w:tc>
      </w:tr>
      <w:tr>
        <w:tc>
          <w:tcPr>
            <w:tcW w:type="dxa" w:w="2381"/>
            <w:shd w:fill="F7F8F9"/>
            <w:vAlign w:val="top"/>
          </w:tcPr>
          <w:p>
            <w:pPr>
              <w:spacing w:after="0"/>
            </w:pPr>
            <w:r>
              <w:rPr>
                <w:sz w:val="14"/>
              </w:rPr>
              <w:t>Business capabilities supported</w:t>
            </w:r>
          </w:p>
        </w:tc>
        <w:tc>
          <w:tcPr>
            <w:tcW w:type="dxa" w:w="7257"/>
            <w:shd w:fill="F7F8F9"/>
            <w:vAlign w:val="top"/>
          </w:tcPr>
          <w:p>
            <w:pPr>
              <w:spacing w:after="0"/>
            </w:pPr>
            <w:r>
              <w:rPr>
                <w:sz w:val="14"/>
              </w:rPr>
              <w:t>Secure software and data delivery, controlled change, auditability, platform engineering and regulated release evidence.</w:t>
            </w:r>
          </w:p>
        </w:tc>
      </w:tr>
      <w:tr>
        <w:tc>
          <w:tcPr>
            <w:tcW w:type="dxa" w:w="2381"/>
            <w:vAlign w:val="top"/>
          </w:tcPr>
          <w:p>
            <w:pPr>
              <w:spacing w:after="0"/>
            </w:pPr>
            <w:r>
              <w:rPr>
                <w:sz w:val="14"/>
              </w:rPr>
              <w:t>Technical capabilities</w:t>
            </w:r>
          </w:p>
        </w:tc>
        <w:tc>
          <w:tcPr>
            <w:tcW w:type="dxa" w:w="7257"/>
            <w:vAlign w:val="top"/>
          </w:tcPr>
          <w:p>
            <w:pPr>
              <w:spacing w:after="0"/>
            </w:pPr>
            <w:r>
              <w:rPr>
                <w:sz w:val="14"/>
              </w:rPr>
              <w:t>Repository-native workflow automation integrated with IAM, logging, monitoring and Google Cloud resource controls.</w:t>
            </w:r>
          </w:p>
        </w:tc>
      </w:tr>
      <w:tr>
        <w:tc>
          <w:tcPr>
            <w:tcW w:type="dxa" w:w="2381"/>
            <w:shd w:fill="F7F8F9"/>
            <w:vAlign w:val="top"/>
          </w:tcPr>
          <w:p>
            <w:pPr>
              <w:spacing w:after="0"/>
            </w:pPr>
            <w:r>
              <w:rPr>
                <w:sz w:val="14"/>
              </w:rPr>
              <w:t>Benefits</w:t>
            </w:r>
          </w:p>
        </w:tc>
        <w:tc>
          <w:tcPr>
            <w:tcW w:type="dxa" w:w="7257"/>
            <w:shd w:fill="F7F8F9"/>
            <w:vAlign w:val="top"/>
          </w:tcPr>
          <w:p>
            <w:pPr>
              <w:spacing w:after="0"/>
            </w:pPr>
            <w:r>
              <w:rPr>
                <w:sz w:val="14"/>
              </w:rPr>
              <w:t>Managed integration, reduced undifferentiated operations, standard evidence and alignment with the inherited Google Cloud platform.</w:t>
            </w:r>
          </w:p>
        </w:tc>
      </w:tr>
      <w:tr>
        <w:tc>
          <w:tcPr>
            <w:tcW w:type="dxa" w:w="2381"/>
            <w:vAlign w:val="top"/>
          </w:tcPr>
          <w:p>
            <w:pPr>
              <w:spacing w:after="0"/>
            </w:pPr>
            <w:r>
              <w:rPr>
                <w:sz w:val="14"/>
              </w:rPr>
              <w:t>Limitations</w:t>
            </w:r>
          </w:p>
        </w:tc>
        <w:tc>
          <w:tcPr>
            <w:tcW w:type="dxa" w:w="7257"/>
            <w:vAlign w:val="top"/>
          </w:tcPr>
          <w:p>
            <w:pPr>
              <w:spacing w:after="0"/>
            </w:pPr>
            <w:r>
              <w:rPr>
                <w:sz w:val="14"/>
              </w:rPr>
              <w:t>Features, targets, quotas, locations, integrations and launch stages vary; some data assets require dedicated deployment lanes rather than application CD.</w:t>
            </w:r>
          </w:p>
        </w:tc>
      </w:tr>
      <w:tr>
        <w:tc>
          <w:tcPr>
            <w:tcW w:type="dxa" w:w="2381"/>
            <w:shd w:fill="F7F8F9"/>
            <w:vAlign w:val="top"/>
          </w:tcPr>
          <w:p>
            <w:pPr>
              <w:spacing w:after="0"/>
            </w:pPr>
            <w:r>
              <w:rPr>
                <w:sz w:val="14"/>
              </w:rPr>
              <w:t>Service quotas</w:t>
            </w:r>
          </w:p>
        </w:tc>
        <w:tc>
          <w:tcPr>
            <w:tcW w:type="dxa" w:w="7257"/>
            <w:shd w:fill="F7F8F9"/>
            <w:vAlign w:val="top"/>
          </w:tcPr>
          <w:p>
            <w:pPr>
              <w:spacing w:after="0"/>
            </w:pPr>
            <w:r>
              <w:rPr>
                <w:sz w:val="14"/>
              </w:rPr>
              <w:t>Validate project, regional, API, concurrency, storage and throughput quotas before scale rollout.</w:t>
            </w:r>
          </w:p>
        </w:tc>
      </w:tr>
      <w:tr>
        <w:tc>
          <w:tcPr>
            <w:tcW w:type="dxa" w:w="2381"/>
            <w:vAlign w:val="top"/>
          </w:tcPr>
          <w:p>
            <w:pPr>
              <w:spacing w:after="0"/>
            </w:pPr>
            <w:r>
              <w:rPr>
                <w:sz w:val="14"/>
              </w:rPr>
              <w:t>Regional availability considerations</w:t>
            </w:r>
          </w:p>
        </w:tc>
        <w:tc>
          <w:tcPr>
            <w:tcW w:type="dxa" w:w="7257"/>
            <w:vAlign w:val="top"/>
          </w:tcPr>
          <w:p>
            <w:pPr>
              <w:spacing w:after="0"/>
            </w:pPr>
            <w:r>
              <w:rPr>
                <w:sz w:val="14"/>
              </w:rPr>
              <w:t>Place regional resources such as private pools and repositories with the approved delivery/data plane; validate cross-region access and residency.</w:t>
            </w:r>
          </w:p>
        </w:tc>
      </w:tr>
      <w:tr>
        <w:tc>
          <w:tcPr>
            <w:tcW w:type="dxa" w:w="2381"/>
            <w:shd w:fill="F7F8F9"/>
            <w:vAlign w:val="top"/>
          </w:tcPr>
          <w:p>
            <w:pPr>
              <w:spacing w:after="0"/>
            </w:pPr>
            <w:r>
              <w:rPr>
                <w:sz w:val="14"/>
              </w:rPr>
              <w:t>High-availability characteristics</w:t>
            </w:r>
          </w:p>
        </w:tc>
        <w:tc>
          <w:tcPr>
            <w:tcW w:type="dxa" w:w="7257"/>
            <w:shd w:fill="F7F8F9"/>
            <w:vAlign w:val="top"/>
          </w:tcPr>
          <w:p>
            <w:pPr>
              <w:spacing w:after="0"/>
            </w:pPr>
            <w:r>
              <w:rPr>
                <w:sz w:val="14"/>
              </w:rPr>
              <w:t>Managed control planes reduce infrastructure operations; delivery workflows must tolerate API/transient failures and preserve source/artifacts for replay.</w:t>
            </w:r>
          </w:p>
        </w:tc>
      </w:tr>
      <w:tr>
        <w:tc>
          <w:tcPr>
            <w:tcW w:type="dxa" w:w="2381"/>
            <w:vAlign w:val="top"/>
          </w:tcPr>
          <w:p>
            <w:pPr>
              <w:spacing w:after="0"/>
            </w:pPr>
            <w:r>
              <w:rPr>
                <w:sz w:val="14"/>
              </w:rPr>
              <w:t>Disaster-recovery considerations</w:t>
            </w:r>
          </w:p>
        </w:tc>
        <w:tc>
          <w:tcPr>
            <w:tcW w:type="dxa" w:w="7257"/>
            <w:vAlign w:val="top"/>
          </w:tcPr>
          <w:p>
            <w:pPr>
              <w:spacing w:after="0"/>
            </w:pPr>
            <w:r>
              <w:rPr>
                <w:sz w:val="14"/>
              </w:rPr>
              <w:t>Back up source/configuration, replicate or rebuild artifact repositories where required, preserve provenance and test alternate build/deploy paths.</w:t>
            </w:r>
          </w:p>
        </w:tc>
      </w:tr>
      <w:tr>
        <w:tc>
          <w:tcPr>
            <w:tcW w:type="dxa" w:w="2381"/>
            <w:shd w:fill="F7F8F9"/>
            <w:vAlign w:val="top"/>
          </w:tcPr>
          <w:p>
            <w:pPr>
              <w:spacing w:after="0"/>
            </w:pPr>
            <w:r>
              <w:rPr>
                <w:sz w:val="14"/>
              </w:rPr>
              <w:t>Security model</w:t>
            </w:r>
          </w:p>
        </w:tc>
        <w:tc>
          <w:tcPr>
            <w:tcW w:type="dxa" w:w="7257"/>
            <w:shd w:fill="F7F8F9"/>
            <w:vAlign w:val="top"/>
          </w:tcPr>
          <w:p>
            <w:pPr>
              <w:spacing w:after="0"/>
            </w:pPr>
            <w:r>
              <w:rPr>
                <w:sz w:val="14"/>
              </w:rPr>
              <w:t>IAM, workload identity, protected repositories/environments, least privilege, private network access and immutable audit evidence.</w:t>
            </w:r>
          </w:p>
        </w:tc>
      </w:tr>
      <w:tr>
        <w:tc>
          <w:tcPr>
            <w:tcW w:type="dxa" w:w="2381"/>
            <w:vAlign w:val="top"/>
          </w:tcPr>
          <w:p>
            <w:pPr>
              <w:spacing w:after="0"/>
            </w:pPr>
            <w:r>
              <w:rPr>
                <w:sz w:val="14"/>
              </w:rPr>
              <w:t>IAM requirements</w:t>
            </w:r>
          </w:p>
        </w:tc>
        <w:tc>
          <w:tcPr>
            <w:tcW w:type="dxa" w:w="7257"/>
            <w:vAlign w:val="top"/>
          </w:tcPr>
          <w:p>
            <w:pPr>
              <w:spacing w:after="0"/>
            </w:pPr>
            <w:r>
              <w:rPr>
                <w:sz w:val="14"/>
              </w:rPr>
              <w:t>Separate source admin, workflow identity, build identity, artifact writer, deployer, approver and runtime identities.</w:t>
            </w:r>
          </w:p>
        </w:tc>
      </w:tr>
      <w:tr>
        <w:tc>
          <w:tcPr>
            <w:tcW w:type="dxa" w:w="2381"/>
            <w:shd w:fill="F7F8F9"/>
            <w:vAlign w:val="top"/>
          </w:tcPr>
          <w:p>
            <w:pPr>
              <w:spacing w:after="0"/>
            </w:pPr>
            <w:r>
              <w:rPr>
                <w:sz w:val="14"/>
              </w:rPr>
              <w:t>Network requirements</w:t>
            </w:r>
          </w:p>
        </w:tc>
        <w:tc>
          <w:tcPr>
            <w:tcW w:type="dxa" w:w="7257"/>
            <w:shd w:fill="F7F8F9"/>
            <w:vAlign w:val="top"/>
          </w:tcPr>
          <w:p>
            <w:pPr>
              <w:spacing w:after="0"/>
            </w:pPr>
            <w:r>
              <w:rPr>
                <w:sz w:val="14"/>
              </w:rPr>
              <w:t>Private pools or approved runners, Private Google Access/PSC where supported and controlled egress for dependencies.</w:t>
            </w:r>
          </w:p>
        </w:tc>
      </w:tr>
      <w:tr>
        <w:tc>
          <w:tcPr>
            <w:tcW w:type="dxa" w:w="2381"/>
            <w:vAlign w:val="top"/>
          </w:tcPr>
          <w:p>
            <w:pPr>
              <w:spacing w:after="0"/>
            </w:pPr>
            <w:r>
              <w:rPr>
                <w:sz w:val="14"/>
              </w:rPr>
              <w:t>VPC Service Controls considerations</w:t>
            </w:r>
          </w:p>
        </w:tc>
        <w:tc>
          <w:tcPr>
            <w:tcW w:type="dxa" w:w="7257"/>
            <w:vAlign w:val="top"/>
          </w:tcPr>
          <w:p>
            <w:pPr>
              <w:spacing w:after="0"/>
            </w:pPr>
            <w:r>
              <w:rPr>
                <w:sz w:val="14"/>
              </w:rPr>
              <w:t>Validate service support and ingress/egress dependencies; GitHub is outside the perimeter and must use WIF and narrowly authorized APIs.</w:t>
            </w:r>
          </w:p>
        </w:tc>
      </w:tr>
      <w:tr>
        <w:tc>
          <w:tcPr>
            <w:tcW w:type="dxa" w:w="2381"/>
            <w:shd w:fill="F7F8F9"/>
            <w:vAlign w:val="top"/>
          </w:tcPr>
          <w:p>
            <w:pPr>
              <w:spacing w:after="0"/>
            </w:pPr>
            <w:r>
              <w:rPr>
                <w:sz w:val="14"/>
              </w:rPr>
              <w:t>Encryption capabilities</w:t>
            </w:r>
          </w:p>
        </w:tc>
        <w:tc>
          <w:tcPr>
            <w:tcW w:type="dxa" w:w="7257"/>
            <w:shd w:fill="F7F8F9"/>
            <w:vAlign w:val="top"/>
          </w:tcPr>
          <w:p>
            <w:pPr>
              <w:spacing w:after="0"/>
            </w:pPr>
            <w:r>
              <w:rPr>
                <w:sz w:val="14"/>
              </w:rPr>
              <w:t>Google-managed encryption by default and TLS in transit; protect evidence, artifacts and configuration.</w:t>
            </w:r>
          </w:p>
        </w:tc>
      </w:tr>
      <w:tr>
        <w:tc>
          <w:tcPr>
            <w:tcW w:type="dxa" w:w="2381"/>
            <w:vAlign w:val="top"/>
          </w:tcPr>
          <w:p>
            <w:pPr>
              <w:spacing w:after="0"/>
            </w:pPr>
            <w:r>
              <w:rPr>
                <w:sz w:val="14"/>
              </w:rPr>
              <w:t>CMEK support</w:t>
            </w:r>
          </w:p>
        </w:tc>
        <w:tc>
          <w:tcPr>
            <w:tcW w:type="dxa" w:w="7257"/>
            <w:vAlign w:val="top"/>
          </w:tcPr>
          <w:p>
            <w:pPr>
              <w:spacing w:after="0"/>
            </w:pPr>
            <w:r>
              <w:rPr>
                <w:sz w:val="14"/>
              </w:rPr>
              <w:t>Use where required and supported, especially repositories/build resources; validate resource/location and service-agent permissions.</w:t>
            </w:r>
          </w:p>
        </w:tc>
      </w:tr>
      <w:tr>
        <w:tc>
          <w:tcPr>
            <w:tcW w:type="dxa" w:w="2381"/>
            <w:shd w:fill="F7F8F9"/>
            <w:vAlign w:val="top"/>
          </w:tcPr>
          <w:p>
            <w:pPr>
              <w:spacing w:after="0"/>
            </w:pPr>
            <w:r>
              <w:rPr>
                <w:sz w:val="14"/>
              </w:rPr>
              <w:t>Logging</w:t>
            </w:r>
          </w:p>
        </w:tc>
        <w:tc>
          <w:tcPr>
            <w:tcW w:type="dxa" w:w="7257"/>
            <w:shd w:fill="F7F8F9"/>
            <w:vAlign w:val="top"/>
          </w:tcPr>
          <w:p>
            <w:pPr>
              <w:spacing w:after="0"/>
            </w:pPr>
            <w:r>
              <w:rPr>
                <w:sz w:val="14"/>
              </w:rPr>
              <w:t>Enable audit, workflow, build, artifact and rollout logs; exclude secrets and sensitive payloads.</w:t>
            </w:r>
          </w:p>
        </w:tc>
      </w:tr>
      <w:tr>
        <w:tc>
          <w:tcPr>
            <w:tcW w:type="dxa" w:w="2381"/>
            <w:vAlign w:val="top"/>
          </w:tcPr>
          <w:p>
            <w:pPr>
              <w:spacing w:after="0"/>
            </w:pPr>
            <w:r>
              <w:rPr>
                <w:sz w:val="14"/>
              </w:rPr>
              <w:t>Monitoring</w:t>
            </w:r>
          </w:p>
        </w:tc>
        <w:tc>
          <w:tcPr>
            <w:tcW w:type="dxa" w:w="7257"/>
            <w:vAlign w:val="top"/>
          </w:tcPr>
          <w:p>
            <w:pPr>
              <w:spacing w:after="0"/>
            </w:pPr>
            <w:r>
              <w:rPr>
                <w:sz w:val="14"/>
              </w:rPr>
              <w:t>Track workflow/build/rollout success, duration, queue, policy failures, artifact age, vulnerabilities and release outcomes.</w:t>
            </w:r>
          </w:p>
        </w:tc>
      </w:tr>
      <w:tr>
        <w:tc>
          <w:tcPr>
            <w:tcW w:type="dxa" w:w="2381"/>
            <w:shd w:fill="F7F8F9"/>
            <w:vAlign w:val="top"/>
          </w:tcPr>
          <w:p>
            <w:pPr>
              <w:spacing w:after="0"/>
            </w:pPr>
            <w:r>
              <w:rPr>
                <w:sz w:val="14"/>
              </w:rPr>
              <w:t>Alerting</w:t>
            </w:r>
          </w:p>
        </w:tc>
        <w:tc>
          <w:tcPr>
            <w:tcW w:type="dxa" w:w="7257"/>
            <w:shd w:fill="F7F8F9"/>
            <w:vAlign w:val="top"/>
          </w:tcPr>
          <w:p>
            <w:pPr>
              <w:spacing w:after="0"/>
            </w:pPr>
            <w:r>
              <w:rPr>
                <w:sz w:val="14"/>
              </w:rPr>
              <w:t>Page only for production-impacting or supply-chain security events; route failed builds and policy trends to owners.</w:t>
            </w:r>
          </w:p>
        </w:tc>
      </w:tr>
      <w:tr>
        <w:tc>
          <w:tcPr>
            <w:tcW w:type="dxa" w:w="2381"/>
            <w:vAlign w:val="top"/>
          </w:tcPr>
          <w:p>
            <w:pPr>
              <w:spacing w:after="0"/>
            </w:pPr>
            <w:r>
              <w:rPr>
                <w:sz w:val="14"/>
              </w:rPr>
              <w:t>Cost drivers</w:t>
            </w:r>
          </w:p>
        </w:tc>
        <w:tc>
          <w:tcPr>
            <w:tcW w:type="dxa" w:w="7257"/>
            <w:vAlign w:val="top"/>
          </w:tcPr>
          <w:p>
            <w:pPr>
              <w:spacing w:after="0"/>
            </w:pPr>
            <w:r>
              <w:rPr>
                <w:sz w:val="14"/>
              </w:rPr>
              <w:t>Workflow minutes/runners, private build workers, storage, scanning, network, verification jobs and logging.</w:t>
            </w:r>
          </w:p>
        </w:tc>
      </w:tr>
      <w:tr>
        <w:tc>
          <w:tcPr>
            <w:tcW w:type="dxa" w:w="2381"/>
            <w:shd w:fill="F7F8F9"/>
            <w:vAlign w:val="top"/>
          </w:tcPr>
          <w:p>
            <w:pPr>
              <w:spacing w:after="0"/>
            </w:pPr>
            <w:r>
              <w:rPr>
                <w:sz w:val="14"/>
              </w:rPr>
              <w:t>Cost-optimization techniques</w:t>
            </w:r>
          </w:p>
        </w:tc>
        <w:tc>
          <w:tcPr>
            <w:tcW w:type="dxa" w:w="7257"/>
            <w:shd w:fill="F7F8F9"/>
            <w:vAlign w:val="top"/>
          </w:tcPr>
          <w:p>
            <w:pPr>
              <w:spacing w:after="0"/>
            </w:pPr>
            <w:r>
              <w:rPr>
                <w:sz w:val="14"/>
              </w:rPr>
              <w:t>Cache safely, right-size private pools, avoid duplicate rebuilds, apply cleanup policies and limit noisy logs without weakening evidence.</w:t>
            </w:r>
          </w:p>
        </w:tc>
      </w:tr>
      <w:tr>
        <w:tc>
          <w:tcPr>
            <w:tcW w:type="dxa" w:w="2381"/>
            <w:vAlign w:val="top"/>
          </w:tcPr>
          <w:p>
            <w:pPr>
              <w:spacing w:after="0"/>
            </w:pPr>
            <w:r>
              <w:rPr>
                <w:sz w:val="14"/>
              </w:rPr>
              <w:t>Operational responsibilities</w:t>
            </w:r>
          </w:p>
        </w:tc>
        <w:tc>
          <w:tcPr>
            <w:tcW w:type="dxa" w:w="7257"/>
            <w:vAlign w:val="top"/>
          </w:tcPr>
          <w:p>
            <w:pPr>
              <w:spacing w:after="0"/>
            </w:pPr>
            <w:r>
              <w:rPr>
                <w:sz w:val="14"/>
              </w:rPr>
              <w:t>Platform DevSecOps owns golden paths; product teams own code/tests and release outcomes; security owns policy; SRE owns production rollout/rollback practice.</w:t>
            </w:r>
          </w:p>
        </w:tc>
      </w:tr>
      <w:tr>
        <w:tc>
          <w:tcPr>
            <w:tcW w:type="dxa" w:w="2381"/>
            <w:shd w:fill="F7F8F9"/>
            <w:vAlign w:val="top"/>
          </w:tcPr>
          <w:p>
            <w:pPr>
              <w:spacing w:after="0"/>
            </w:pPr>
            <w:r>
              <w:rPr>
                <w:sz w:val="14"/>
              </w:rPr>
              <w:t>Integration points</w:t>
            </w:r>
          </w:p>
        </w:tc>
        <w:tc>
          <w:tcPr>
            <w:tcW w:type="dxa" w:w="7257"/>
            <w:shd w:fill="F7F8F9"/>
            <w:vAlign w:val="top"/>
          </w:tcPr>
          <w:p>
            <w:pPr>
              <w:spacing w:after="0"/>
            </w:pPr>
            <w:r>
              <w:rPr>
                <w:sz w:val="14"/>
              </w:rPr>
              <w:t>GitHub, IAM/WIF, Cloud Build, Artifact Registry, Cloud Deploy, Binary Authorization, Security Command Center, Monitoring, Terraform and target services.</w:t>
            </w:r>
          </w:p>
        </w:tc>
      </w:tr>
      <w:tr>
        <w:tc>
          <w:tcPr>
            <w:tcW w:type="dxa" w:w="2381"/>
            <w:vAlign w:val="top"/>
          </w:tcPr>
          <w:p>
            <w:pPr>
              <w:spacing w:after="0"/>
            </w:pPr>
            <w:r>
              <w:rPr>
                <w:sz w:val="14"/>
              </w:rPr>
              <w:t>Alternatives</w:t>
            </w:r>
          </w:p>
        </w:tc>
        <w:tc>
          <w:tcPr>
            <w:tcW w:type="dxa" w:w="7257"/>
            <w:vAlign w:val="top"/>
          </w:tcPr>
          <w:p>
            <w:pPr>
              <w:spacing w:after="0"/>
            </w:pPr>
            <w:r>
              <w:rPr>
                <w:sz w:val="14"/>
              </w:rPr>
              <w:t>GitLab/Jenkins/Azure DevOps, third-party registries/deployment tools or custom pipelines when approved requirements are unmet.</w:t>
            </w:r>
          </w:p>
        </w:tc>
      </w:tr>
      <w:tr>
        <w:tc>
          <w:tcPr>
            <w:tcW w:type="dxa" w:w="2381"/>
            <w:shd w:fill="F7F8F9"/>
            <w:vAlign w:val="top"/>
          </w:tcPr>
          <w:p>
            <w:pPr>
              <w:spacing w:after="0"/>
            </w:pPr>
            <w:r>
              <w:rPr>
                <w:sz w:val="14"/>
              </w:rPr>
              <w:t>Selection criteria</w:t>
            </w:r>
          </w:p>
        </w:tc>
        <w:tc>
          <w:tcPr>
            <w:tcW w:type="dxa" w:w="7257"/>
            <w:shd w:fill="F7F8F9"/>
            <w:vAlign w:val="top"/>
          </w:tcPr>
          <w:p>
            <w:pPr>
              <w:spacing w:after="0"/>
            </w:pPr>
            <w:r>
              <w:rPr>
                <w:sz w:val="14"/>
              </w:rPr>
              <w:t>Source governance, identity, network, artifact type, target support, regulated evidence, progressive delivery, operability and cost.</w:t>
            </w:r>
          </w:p>
        </w:tc>
      </w:tr>
      <w:tr>
        <w:tc>
          <w:tcPr>
            <w:tcW w:type="dxa" w:w="2381"/>
            <w:vAlign w:val="top"/>
          </w:tcPr>
          <w:p>
            <w:pPr>
              <w:spacing w:after="0"/>
            </w:pPr>
            <w:r>
              <w:rPr>
                <w:sz w:val="14"/>
              </w:rPr>
              <w:t>Best practices</w:t>
            </w:r>
          </w:p>
        </w:tc>
        <w:tc>
          <w:tcPr>
            <w:tcW w:type="dxa" w:w="7257"/>
            <w:vAlign w:val="top"/>
          </w:tcPr>
          <w:p>
            <w:pPr>
              <w:spacing w:after="0"/>
            </w:pPr>
            <w:r>
              <w:rPr>
                <w:sz w:val="14"/>
              </w:rPr>
              <w:t>Keyless identity, immutable digests, pinned dependencies, isolated builds, policy gates, same-artifact promotion, independent approval and tested rollback.</w:t>
            </w:r>
          </w:p>
        </w:tc>
      </w:tr>
      <w:tr>
        <w:tc>
          <w:tcPr>
            <w:tcW w:type="dxa" w:w="2381"/>
            <w:shd w:fill="F7F8F9"/>
            <w:vAlign w:val="top"/>
          </w:tcPr>
          <w:p>
            <w:pPr>
              <w:spacing w:after="0"/>
            </w:pPr>
            <w:r>
              <w:rPr>
                <w:sz w:val="14"/>
              </w:rPr>
              <w:t>Reference architecture</w:t>
            </w:r>
          </w:p>
        </w:tc>
        <w:tc>
          <w:tcPr>
            <w:tcW w:type="dxa" w:w="7257"/>
            <w:shd w:fill="F7F8F9"/>
            <w:vAlign w:val="top"/>
          </w:tcPr>
          <w:p>
            <w:pPr>
              <w:spacing w:after="0"/>
            </w:pPr>
            <w:r>
              <w:rPr>
                <w:sz w:val="14"/>
              </w:rPr>
              <w:t>GitHub -&gt; PR checks -&gt; WIF -&gt; Cloud Build -&gt; Artifact Registry -&gt; policy/attestation -&gt; target-specific deployment -&gt; monitoring/rollback.</w:t>
            </w:r>
          </w:p>
        </w:tc>
      </w:tr>
      <w:tr>
        <w:tc>
          <w:tcPr>
            <w:tcW w:type="dxa" w:w="2381"/>
            <w:vAlign w:val="top"/>
          </w:tcPr>
          <w:p>
            <w:pPr>
              <w:spacing w:after="0"/>
            </w:pPr>
            <w:r>
              <w:rPr>
                <w:sz w:val="14"/>
              </w:rPr>
              <w:t>Sample configuration</w:t>
            </w:r>
          </w:p>
        </w:tc>
        <w:tc>
          <w:tcPr>
            <w:tcW w:type="dxa" w:w="7257"/>
            <w:vAlign w:val="top"/>
          </w:tcPr>
          <w:p>
            <w:pPr>
              <w:spacing w:after="0"/>
            </w:pPr>
            <w:r>
              <w:rPr>
                <w:sz w:val="14"/>
              </w:rPr>
              <w:t>See examples folders; validate exact action versions, API schema and provider arguments before production use.</w:t>
            </w:r>
          </w:p>
        </w:tc>
      </w:tr>
      <w:tr>
        <w:tc>
          <w:tcPr>
            <w:tcW w:type="dxa" w:w="2381"/>
            <w:shd w:fill="F7F8F9"/>
            <w:vAlign w:val="top"/>
          </w:tcPr>
          <w:p>
            <w:pPr>
              <w:spacing w:after="0"/>
            </w:pPr>
            <w:r>
              <w:rPr>
                <w:sz w:val="14"/>
              </w:rPr>
              <w:t>Common pitfalls</w:t>
            </w:r>
          </w:p>
        </w:tc>
        <w:tc>
          <w:tcPr>
            <w:tcW w:type="dxa" w:w="7257"/>
            <w:shd w:fill="F7F8F9"/>
            <w:vAlign w:val="top"/>
          </w:tcPr>
          <w:p>
            <w:pPr>
              <w:spacing w:after="0"/>
            </w:pPr>
            <w:r>
              <w:rPr>
                <w:sz w:val="14"/>
              </w:rPr>
              <w:t>Long-lived keys, mutable tags, unpinned actions, broad service accounts, rebuild per environment, unmanaged console deployment and absent rollback evidence.</w:t>
            </w:r>
          </w:p>
        </w:tc>
      </w:tr>
      <w:tr>
        <w:tc>
          <w:tcPr>
            <w:tcW w:type="dxa" w:w="2381"/>
            <w:vAlign w:val="top"/>
          </w:tcPr>
          <w:p>
            <w:pPr>
              <w:spacing w:after="0"/>
            </w:pPr>
            <w:r>
              <w:rPr>
                <w:sz w:val="14"/>
              </w:rPr>
              <w:t>Anti-patterns</w:t>
            </w:r>
          </w:p>
        </w:tc>
        <w:tc>
          <w:tcPr>
            <w:tcW w:type="dxa" w:w="7257"/>
            <w:vAlign w:val="top"/>
          </w:tcPr>
          <w:p>
            <w:pPr>
              <w:spacing w:after="0"/>
            </w:pPr>
            <w:r>
              <w:rPr>
                <w:sz w:val="14"/>
              </w:rPr>
              <w:t>CI identity is project owner; production deployment from developer laptop; secret in repository; latest tag; approval by code author only.</w:t>
            </w:r>
          </w:p>
        </w:tc>
      </w:tr>
      <w:tr>
        <w:tc>
          <w:tcPr>
            <w:tcW w:type="dxa" w:w="2381"/>
            <w:shd w:fill="F7F8F9"/>
            <w:vAlign w:val="top"/>
          </w:tcPr>
          <w:p>
            <w:pPr>
              <w:spacing w:after="0"/>
            </w:pPr>
            <w:r>
              <w:rPr>
                <w:sz w:val="14"/>
              </w:rPr>
              <w:t>Production-readiness checklist</w:t>
            </w:r>
          </w:p>
        </w:tc>
        <w:tc>
          <w:tcPr>
            <w:tcW w:type="dxa" w:w="7257"/>
            <w:shd w:fill="F7F8F9"/>
            <w:vAlign w:val="top"/>
          </w:tcPr>
          <w:p>
            <w:pPr>
              <w:spacing w:after="0"/>
            </w:pPr>
            <w:r>
              <w:rPr>
                <w:sz w:val="14"/>
              </w:rPr>
              <w:t>Repository controls; WIF; IAM separation; private build path; scans; immutable artifact; provenance; target approval; verification; rollback; metrics and retention.</w:t>
            </w:r>
          </w:p>
        </w:tc>
      </w:tr>
    </w:tbl>
    <w:p>
      <w:pPr>
        <w:spacing w:after="0"/>
      </w:pPr>
    </w:p>
    <w:p>
      <w:r>
        <w:br w:type="page"/>
      </w:r>
    </w:p>
    <w:p>
      <w:pPr>
        <w:pStyle w:val="Heading2"/>
      </w:pPr>
      <w:r>
        <w:t>28.3 Artifact Registry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Assessment field</w:t>
            </w:r>
          </w:p>
        </w:tc>
        <w:tc>
          <w:tcPr>
            <w:tcW w:type="dxa" w:w="7257"/>
            <w:shd w:fill="174EA6"/>
          </w:tcPr>
          <w:p>
            <w:pPr>
              <w:spacing w:after="0"/>
            </w:pPr>
            <w:r>
              <w:rPr>
                <w:b/>
                <w:color w:val="FFFFFF"/>
                <w:sz w:val="14"/>
              </w:rPr>
              <w:t>Enterprise guidance</w:t>
            </w:r>
          </w:p>
        </w:tc>
      </w:tr>
      <w:tr>
        <w:tc>
          <w:tcPr>
            <w:tcW w:type="dxa" w:w="2381"/>
            <w:vAlign w:val="top"/>
          </w:tcPr>
          <w:p>
            <w:pPr>
              <w:spacing w:after="0"/>
            </w:pPr>
            <w:r>
              <w:rPr>
                <w:sz w:val="14"/>
              </w:rPr>
              <w:t>Service name</w:t>
            </w:r>
          </w:p>
        </w:tc>
        <w:tc>
          <w:tcPr>
            <w:tcW w:type="dxa" w:w="7257"/>
            <w:vAlign w:val="top"/>
          </w:tcPr>
          <w:p>
            <w:pPr>
              <w:spacing w:after="0"/>
            </w:pPr>
            <w:r>
              <w:rPr>
                <w:sz w:val="14"/>
              </w:rPr>
              <w:t>Artifact Registry</w:t>
            </w:r>
          </w:p>
        </w:tc>
      </w:tr>
      <w:tr>
        <w:tc>
          <w:tcPr>
            <w:tcW w:type="dxa" w:w="2381"/>
            <w:shd w:fill="F7F8F9"/>
            <w:vAlign w:val="top"/>
          </w:tcPr>
          <w:p>
            <w:pPr>
              <w:spacing w:after="0"/>
            </w:pPr>
            <w:r>
              <w:rPr>
                <w:sz w:val="14"/>
              </w:rPr>
              <w:t>Purpose</w:t>
            </w:r>
          </w:p>
        </w:tc>
        <w:tc>
          <w:tcPr>
            <w:tcW w:type="dxa" w:w="7257"/>
            <w:shd w:fill="F7F8F9"/>
            <w:vAlign w:val="top"/>
          </w:tcPr>
          <w:p>
            <w:pPr>
              <w:spacing w:after="0"/>
            </w:pPr>
            <w:r>
              <w:rPr>
                <w:sz w:val="14"/>
              </w:rPr>
              <w:t>Artifact storage and distribution</w:t>
            </w:r>
          </w:p>
        </w:tc>
      </w:tr>
      <w:tr>
        <w:tc>
          <w:tcPr>
            <w:tcW w:type="dxa" w:w="2381"/>
            <w:vAlign w:val="top"/>
          </w:tcPr>
          <w:p>
            <w:pPr>
              <w:spacing w:after="0"/>
            </w:pPr>
            <w:r>
              <w:rPr>
                <w:sz w:val="14"/>
              </w:rPr>
              <w:t>Enterprise architecture role</w:t>
            </w:r>
          </w:p>
        </w:tc>
        <w:tc>
          <w:tcPr>
            <w:tcW w:type="dxa" w:w="7257"/>
            <w:vAlign w:val="top"/>
          </w:tcPr>
          <w:p>
            <w:pPr>
              <w:spacing w:after="0"/>
            </w:pPr>
            <w:r>
              <w:rPr>
                <w:sz w:val="14"/>
              </w:rPr>
              <w:t>System of record for immutable images, packages, modules and deployment inputs</w:t>
            </w:r>
          </w:p>
        </w:tc>
      </w:tr>
      <w:tr>
        <w:tc>
          <w:tcPr>
            <w:tcW w:type="dxa" w:w="2381"/>
            <w:shd w:fill="F7F8F9"/>
            <w:vAlign w:val="top"/>
          </w:tcPr>
          <w:p>
            <w:pPr>
              <w:spacing w:after="0"/>
            </w:pPr>
            <w:r>
              <w:rPr>
                <w:sz w:val="14"/>
              </w:rPr>
              <w:t>Business capabilities supported</w:t>
            </w:r>
          </w:p>
        </w:tc>
        <w:tc>
          <w:tcPr>
            <w:tcW w:type="dxa" w:w="7257"/>
            <w:shd w:fill="F7F8F9"/>
            <w:vAlign w:val="top"/>
          </w:tcPr>
          <w:p>
            <w:pPr>
              <w:spacing w:after="0"/>
            </w:pPr>
            <w:r>
              <w:rPr>
                <w:sz w:val="14"/>
              </w:rPr>
              <w:t>Secure software and data delivery, controlled change, auditability, platform engineering and regulated release evidence.</w:t>
            </w:r>
          </w:p>
        </w:tc>
      </w:tr>
      <w:tr>
        <w:tc>
          <w:tcPr>
            <w:tcW w:type="dxa" w:w="2381"/>
            <w:vAlign w:val="top"/>
          </w:tcPr>
          <w:p>
            <w:pPr>
              <w:spacing w:after="0"/>
            </w:pPr>
            <w:r>
              <w:rPr>
                <w:sz w:val="14"/>
              </w:rPr>
              <w:t>Technical capabilities</w:t>
            </w:r>
          </w:p>
        </w:tc>
        <w:tc>
          <w:tcPr>
            <w:tcW w:type="dxa" w:w="7257"/>
            <w:vAlign w:val="top"/>
          </w:tcPr>
          <w:p>
            <w:pPr>
              <w:spacing w:after="0"/>
            </w:pPr>
            <w:r>
              <w:rPr>
                <w:sz w:val="14"/>
              </w:rPr>
              <w:t>Artifact storage and distribution integrated with IAM, logging, monitoring and Google Cloud resource controls.</w:t>
            </w:r>
          </w:p>
        </w:tc>
      </w:tr>
      <w:tr>
        <w:tc>
          <w:tcPr>
            <w:tcW w:type="dxa" w:w="2381"/>
            <w:shd w:fill="F7F8F9"/>
            <w:vAlign w:val="top"/>
          </w:tcPr>
          <w:p>
            <w:pPr>
              <w:spacing w:after="0"/>
            </w:pPr>
            <w:r>
              <w:rPr>
                <w:sz w:val="14"/>
              </w:rPr>
              <w:t>Benefits</w:t>
            </w:r>
          </w:p>
        </w:tc>
        <w:tc>
          <w:tcPr>
            <w:tcW w:type="dxa" w:w="7257"/>
            <w:shd w:fill="F7F8F9"/>
            <w:vAlign w:val="top"/>
          </w:tcPr>
          <w:p>
            <w:pPr>
              <w:spacing w:after="0"/>
            </w:pPr>
            <w:r>
              <w:rPr>
                <w:sz w:val="14"/>
              </w:rPr>
              <w:t>Managed integration, reduced undifferentiated operations, standard evidence and alignment with the inherited Google Cloud platform.</w:t>
            </w:r>
          </w:p>
        </w:tc>
      </w:tr>
      <w:tr>
        <w:tc>
          <w:tcPr>
            <w:tcW w:type="dxa" w:w="2381"/>
            <w:vAlign w:val="top"/>
          </w:tcPr>
          <w:p>
            <w:pPr>
              <w:spacing w:after="0"/>
            </w:pPr>
            <w:r>
              <w:rPr>
                <w:sz w:val="14"/>
              </w:rPr>
              <w:t>Limitations</w:t>
            </w:r>
          </w:p>
        </w:tc>
        <w:tc>
          <w:tcPr>
            <w:tcW w:type="dxa" w:w="7257"/>
            <w:vAlign w:val="top"/>
          </w:tcPr>
          <w:p>
            <w:pPr>
              <w:spacing w:after="0"/>
            </w:pPr>
            <w:r>
              <w:rPr>
                <w:sz w:val="14"/>
              </w:rPr>
              <w:t>Features, targets, quotas, locations, integrations and launch stages vary; some data assets require dedicated deployment lanes rather than application CD.</w:t>
            </w:r>
          </w:p>
        </w:tc>
      </w:tr>
      <w:tr>
        <w:tc>
          <w:tcPr>
            <w:tcW w:type="dxa" w:w="2381"/>
            <w:shd w:fill="F7F8F9"/>
            <w:vAlign w:val="top"/>
          </w:tcPr>
          <w:p>
            <w:pPr>
              <w:spacing w:after="0"/>
            </w:pPr>
            <w:r>
              <w:rPr>
                <w:sz w:val="14"/>
              </w:rPr>
              <w:t>Service quotas</w:t>
            </w:r>
          </w:p>
        </w:tc>
        <w:tc>
          <w:tcPr>
            <w:tcW w:type="dxa" w:w="7257"/>
            <w:shd w:fill="F7F8F9"/>
            <w:vAlign w:val="top"/>
          </w:tcPr>
          <w:p>
            <w:pPr>
              <w:spacing w:after="0"/>
            </w:pPr>
            <w:r>
              <w:rPr>
                <w:sz w:val="14"/>
              </w:rPr>
              <w:t>Validate project, regional, API, concurrency, storage and throughput quotas before scale rollout.</w:t>
            </w:r>
          </w:p>
        </w:tc>
      </w:tr>
      <w:tr>
        <w:tc>
          <w:tcPr>
            <w:tcW w:type="dxa" w:w="2381"/>
            <w:vAlign w:val="top"/>
          </w:tcPr>
          <w:p>
            <w:pPr>
              <w:spacing w:after="0"/>
            </w:pPr>
            <w:r>
              <w:rPr>
                <w:sz w:val="14"/>
              </w:rPr>
              <w:t>Regional availability considerations</w:t>
            </w:r>
          </w:p>
        </w:tc>
        <w:tc>
          <w:tcPr>
            <w:tcW w:type="dxa" w:w="7257"/>
            <w:vAlign w:val="top"/>
          </w:tcPr>
          <w:p>
            <w:pPr>
              <w:spacing w:after="0"/>
            </w:pPr>
            <w:r>
              <w:rPr>
                <w:sz w:val="14"/>
              </w:rPr>
              <w:t>Place regional resources such as private pools and repositories with the approved delivery/data plane; validate cross-region access and residency.</w:t>
            </w:r>
          </w:p>
        </w:tc>
      </w:tr>
      <w:tr>
        <w:tc>
          <w:tcPr>
            <w:tcW w:type="dxa" w:w="2381"/>
            <w:shd w:fill="F7F8F9"/>
            <w:vAlign w:val="top"/>
          </w:tcPr>
          <w:p>
            <w:pPr>
              <w:spacing w:after="0"/>
            </w:pPr>
            <w:r>
              <w:rPr>
                <w:sz w:val="14"/>
              </w:rPr>
              <w:t>High-availability characteristics</w:t>
            </w:r>
          </w:p>
        </w:tc>
        <w:tc>
          <w:tcPr>
            <w:tcW w:type="dxa" w:w="7257"/>
            <w:shd w:fill="F7F8F9"/>
            <w:vAlign w:val="top"/>
          </w:tcPr>
          <w:p>
            <w:pPr>
              <w:spacing w:after="0"/>
            </w:pPr>
            <w:r>
              <w:rPr>
                <w:sz w:val="14"/>
              </w:rPr>
              <w:t>Managed control planes reduce infrastructure operations; delivery workflows must tolerate API/transient failures and preserve source/artifacts for replay.</w:t>
            </w:r>
          </w:p>
        </w:tc>
      </w:tr>
      <w:tr>
        <w:tc>
          <w:tcPr>
            <w:tcW w:type="dxa" w:w="2381"/>
            <w:vAlign w:val="top"/>
          </w:tcPr>
          <w:p>
            <w:pPr>
              <w:spacing w:after="0"/>
            </w:pPr>
            <w:r>
              <w:rPr>
                <w:sz w:val="14"/>
              </w:rPr>
              <w:t>Disaster-recovery considerations</w:t>
            </w:r>
          </w:p>
        </w:tc>
        <w:tc>
          <w:tcPr>
            <w:tcW w:type="dxa" w:w="7257"/>
            <w:vAlign w:val="top"/>
          </w:tcPr>
          <w:p>
            <w:pPr>
              <w:spacing w:after="0"/>
            </w:pPr>
            <w:r>
              <w:rPr>
                <w:sz w:val="14"/>
              </w:rPr>
              <w:t>Back up source/configuration, replicate or rebuild artifact repositories where required, preserve provenance and test alternate build/deploy paths.</w:t>
            </w:r>
          </w:p>
        </w:tc>
      </w:tr>
      <w:tr>
        <w:tc>
          <w:tcPr>
            <w:tcW w:type="dxa" w:w="2381"/>
            <w:shd w:fill="F7F8F9"/>
            <w:vAlign w:val="top"/>
          </w:tcPr>
          <w:p>
            <w:pPr>
              <w:spacing w:after="0"/>
            </w:pPr>
            <w:r>
              <w:rPr>
                <w:sz w:val="14"/>
              </w:rPr>
              <w:t>Security model</w:t>
            </w:r>
          </w:p>
        </w:tc>
        <w:tc>
          <w:tcPr>
            <w:tcW w:type="dxa" w:w="7257"/>
            <w:shd w:fill="F7F8F9"/>
            <w:vAlign w:val="top"/>
          </w:tcPr>
          <w:p>
            <w:pPr>
              <w:spacing w:after="0"/>
            </w:pPr>
            <w:r>
              <w:rPr>
                <w:sz w:val="14"/>
              </w:rPr>
              <w:t>IAM, workload identity, protected repositories/environments, least privilege, private network access and immutable audit evidence.</w:t>
            </w:r>
          </w:p>
        </w:tc>
      </w:tr>
      <w:tr>
        <w:tc>
          <w:tcPr>
            <w:tcW w:type="dxa" w:w="2381"/>
            <w:vAlign w:val="top"/>
          </w:tcPr>
          <w:p>
            <w:pPr>
              <w:spacing w:after="0"/>
            </w:pPr>
            <w:r>
              <w:rPr>
                <w:sz w:val="14"/>
              </w:rPr>
              <w:t>IAM requirements</w:t>
            </w:r>
          </w:p>
        </w:tc>
        <w:tc>
          <w:tcPr>
            <w:tcW w:type="dxa" w:w="7257"/>
            <w:vAlign w:val="top"/>
          </w:tcPr>
          <w:p>
            <w:pPr>
              <w:spacing w:after="0"/>
            </w:pPr>
            <w:r>
              <w:rPr>
                <w:sz w:val="14"/>
              </w:rPr>
              <w:t>Separate source admin, workflow identity, build identity, artifact writer, deployer, approver and runtime identities.</w:t>
            </w:r>
          </w:p>
        </w:tc>
      </w:tr>
      <w:tr>
        <w:tc>
          <w:tcPr>
            <w:tcW w:type="dxa" w:w="2381"/>
            <w:shd w:fill="F7F8F9"/>
            <w:vAlign w:val="top"/>
          </w:tcPr>
          <w:p>
            <w:pPr>
              <w:spacing w:after="0"/>
            </w:pPr>
            <w:r>
              <w:rPr>
                <w:sz w:val="14"/>
              </w:rPr>
              <w:t>Network requirements</w:t>
            </w:r>
          </w:p>
        </w:tc>
        <w:tc>
          <w:tcPr>
            <w:tcW w:type="dxa" w:w="7257"/>
            <w:shd w:fill="F7F8F9"/>
            <w:vAlign w:val="top"/>
          </w:tcPr>
          <w:p>
            <w:pPr>
              <w:spacing w:after="0"/>
            </w:pPr>
            <w:r>
              <w:rPr>
                <w:sz w:val="14"/>
              </w:rPr>
              <w:t>Private pools or approved runners, Private Google Access/PSC where supported and controlled egress for dependencies.</w:t>
            </w:r>
          </w:p>
        </w:tc>
      </w:tr>
      <w:tr>
        <w:tc>
          <w:tcPr>
            <w:tcW w:type="dxa" w:w="2381"/>
            <w:vAlign w:val="top"/>
          </w:tcPr>
          <w:p>
            <w:pPr>
              <w:spacing w:after="0"/>
            </w:pPr>
            <w:r>
              <w:rPr>
                <w:sz w:val="14"/>
              </w:rPr>
              <w:t>VPC Service Controls considerations</w:t>
            </w:r>
          </w:p>
        </w:tc>
        <w:tc>
          <w:tcPr>
            <w:tcW w:type="dxa" w:w="7257"/>
            <w:vAlign w:val="top"/>
          </w:tcPr>
          <w:p>
            <w:pPr>
              <w:spacing w:after="0"/>
            </w:pPr>
            <w:r>
              <w:rPr>
                <w:sz w:val="14"/>
              </w:rPr>
              <w:t>Validate service support and ingress/egress dependencies; GitHub is outside the perimeter and must use WIF and narrowly authorized APIs.</w:t>
            </w:r>
          </w:p>
        </w:tc>
      </w:tr>
      <w:tr>
        <w:tc>
          <w:tcPr>
            <w:tcW w:type="dxa" w:w="2381"/>
            <w:shd w:fill="F7F8F9"/>
            <w:vAlign w:val="top"/>
          </w:tcPr>
          <w:p>
            <w:pPr>
              <w:spacing w:after="0"/>
            </w:pPr>
            <w:r>
              <w:rPr>
                <w:sz w:val="14"/>
              </w:rPr>
              <w:t>Encryption capabilities</w:t>
            </w:r>
          </w:p>
        </w:tc>
        <w:tc>
          <w:tcPr>
            <w:tcW w:type="dxa" w:w="7257"/>
            <w:shd w:fill="F7F8F9"/>
            <w:vAlign w:val="top"/>
          </w:tcPr>
          <w:p>
            <w:pPr>
              <w:spacing w:after="0"/>
            </w:pPr>
            <w:r>
              <w:rPr>
                <w:sz w:val="14"/>
              </w:rPr>
              <w:t>Google-managed encryption by default and TLS in transit; protect evidence, artifacts and configuration.</w:t>
            </w:r>
          </w:p>
        </w:tc>
      </w:tr>
      <w:tr>
        <w:tc>
          <w:tcPr>
            <w:tcW w:type="dxa" w:w="2381"/>
            <w:vAlign w:val="top"/>
          </w:tcPr>
          <w:p>
            <w:pPr>
              <w:spacing w:after="0"/>
            </w:pPr>
            <w:r>
              <w:rPr>
                <w:sz w:val="14"/>
              </w:rPr>
              <w:t>CMEK support</w:t>
            </w:r>
          </w:p>
        </w:tc>
        <w:tc>
          <w:tcPr>
            <w:tcW w:type="dxa" w:w="7257"/>
            <w:vAlign w:val="top"/>
          </w:tcPr>
          <w:p>
            <w:pPr>
              <w:spacing w:after="0"/>
            </w:pPr>
            <w:r>
              <w:rPr>
                <w:sz w:val="14"/>
              </w:rPr>
              <w:t>Use where required and supported, especially repositories/build resources; validate resource/location and service-agent permissions.</w:t>
            </w:r>
          </w:p>
        </w:tc>
      </w:tr>
      <w:tr>
        <w:tc>
          <w:tcPr>
            <w:tcW w:type="dxa" w:w="2381"/>
            <w:shd w:fill="F7F8F9"/>
            <w:vAlign w:val="top"/>
          </w:tcPr>
          <w:p>
            <w:pPr>
              <w:spacing w:after="0"/>
            </w:pPr>
            <w:r>
              <w:rPr>
                <w:sz w:val="14"/>
              </w:rPr>
              <w:t>Logging</w:t>
            </w:r>
          </w:p>
        </w:tc>
        <w:tc>
          <w:tcPr>
            <w:tcW w:type="dxa" w:w="7257"/>
            <w:shd w:fill="F7F8F9"/>
            <w:vAlign w:val="top"/>
          </w:tcPr>
          <w:p>
            <w:pPr>
              <w:spacing w:after="0"/>
            </w:pPr>
            <w:r>
              <w:rPr>
                <w:sz w:val="14"/>
              </w:rPr>
              <w:t>Enable audit, workflow, build, artifact and rollout logs; exclude secrets and sensitive payloads.</w:t>
            </w:r>
          </w:p>
        </w:tc>
      </w:tr>
      <w:tr>
        <w:tc>
          <w:tcPr>
            <w:tcW w:type="dxa" w:w="2381"/>
            <w:vAlign w:val="top"/>
          </w:tcPr>
          <w:p>
            <w:pPr>
              <w:spacing w:after="0"/>
            </w:pPr>
            <w:r>
              <w:rPr>
                <w:sz w:val="14"/>
              </w:rPr>
              <w:t>Monitoring</w:t>
            </w:r>
          </w:p>
        </w:tc>
        <w:tc>
          <w:tcPr>
            <w:tcW w:type="dxa" w:w="7257"/>
            <w:vAlign w:val="top"/>
          </w:tcPr>
          <w:p>
            <w:pPr>
              <w:spacing w:after="0"/>
            </w:pPr>
            <w:r>
              <w:rPr>
                <w:sz w:val="14"/>
              </w:rPr>
              <w:t>Track workflow/build/rollout success, duration, queue, policy failures, artifact age, vulnerabilities and release outcomes.</w:t>
            </w:r>
          </w:p>
        </w:tc>
      </w:tr>
      <w:tr>
        <w:tc>
          <w:tcPr>
            <w:tcW w:type="dxa" w:w="2381"/>
            <w:shd w:fill="F7F8F9"/>
            <w:vAlign w:val="top"/>
          </w:tcPr>
          <w:p>
            <w:pPr>
              <w:spacing w:after="0"/>
            </w:pPr>
            <w:r>
              <w:rPr>
                <w:sz w:val="14"/>
              </w:rPr>
              <w:t>Alerting</w:t>
            </w:r>
          </w:p>
        </w:tc>
        <w:tc>
          <w:tcPr>
            <w:tcW w:type="dxa" w:w="7257"/>
            <w:shd w:fill="F7F8F9"/>
            <w:vAlign w:val="top"/>
          </w:tcPr>
          <w:p>
            <w:pPr>
              <w:spacing w:after="0"/>
            </w:pPr>
            <w:r>
              <w:rPr>
                <w:sz w:val="14"/>
              </w:rPr>
              <w:t>Page only for production-impacting or supply-chain security events; route failed builds and policy trends to owners.</w:t>
            </w:r>
          </w:p>
        </w:tc>
      </w:tr>
      <w:tr>
        <w:tc>
          <w:tcPr>
            <w:tcW w:type="dxa" w:w="2381"/>
            <w:vAlign w:val="top"/>
          </w:tcPr>
          <w:p>
            <w:pPr>
              <w:spacing w:after="0"/>
            </w:pPr>
            <w:r>
              <w:rPr>
                <w:sz w:val="14"/>
              </w:rPr>
              <w:t>Cost drivers</w:t>
            </w:r>
          </w:p>
        </w:tc>
        <w:tc>
          <w:tcPr>
            <w:tcW w:type="dxa" w:w="7257"/>
            <w:vAlign w:val="top"/>
          </w:tcPr>
          <w:p>
            <w:pPr>
              <w:spacing w:after="0"/>
            </w:pPr>
            <w:r>
              <w:rPr>
                <w:sz w:val="14"/>
              </w:rPr>
              <w:t>Workflow minutes/runners, private build workers, storage, scanning, network, verification jobs and logging.</w:t>
            </w:r>
          </w:p>
        </w:tc>
      </w:tr>
      <w:tr>
        <w:tc>
          <w:tcPr>
            <w:tcW w:type="dxa" w:w="2381"/>
            <w:shd w:fill="F7F8F9"/>
            <w:vAlign w:val="top"/>
          </w:tcPr>
          <w:p>
            <w:pPr>
              <w:spacing w:after="0"/>
            </w:pPr>
            <w:r>
              <w:rPr>
                <w:sz w:val="14"/>
              </w:rPr>
              <w:t>Cost-optimization techniques</w:t>
            </w:r>
          </w:p>
        </w:tc>
        <w:tc>
          <w:tcPr>
            <w:tcW w:type="dxa" w:w="7257"/>
            <w:shd w:fill="F7F8F9"/>
            <w:vAlign w:val="top"/>
          </w:tcPr>
          <w:p>
            <w:pPr>
              <w:spacing w:after="0"/>
            </w:pPr>
            <w:r>
              <w:rPr>
                <w:sz w:val="14"/>
              </w:rPr>
              <w:t>Cache safely, right-size private pools, avoid duplicate rebuilds, apply cleanup policies and limit noisy logs without weakening evidence.</w:t>
            </w:r>
          </w:p>
        </w:tc>
      </w:tr>
      <w:tr>
        <w:tc>
          <w:tcPr>
            <w:tcW w:type="dxa" w:w="2381"/>
            <w:vAlign w:val="top"/>
          </w:tcPr>
          <w:p>
            <w:pPr>
              <w:spacing w:after="0"/>
            </w:pPr>
            <w:r>
              <w:rPr>
                <w:sz w:val="14"/>
              </w:rPr>
              <w:t>Operational responsibilities</w:t>
            </w:r>
          </w:p>
        </w:tc>
        <w:tc>
          <w:tcPr>
            <w:tcW w:type="dxa" w:w="7257"/>
            <w:vAlign w:val="top"/>
          </w:tcPr>
          <w:p>
            <w:pPr>
              <w:spacing w:after="0"/>
            </w:pPr>
            <w:r>
              <w:rPr>
                <w:sz w:val="14"/>
              </w:rPr>
              <w:t>Platform DevSecOps owns golden paths; product teams own code/tests and release outcomes; security owns policy; SRE owns production rollout/rollback practice.</w:t>
            </w:r>
          </w:p>
        </w:tc>
      </w:tr>
      <w:tr>
        <w:tc>
          <w:tcPr>
            <w:tcW w:type="dxa" w:w="2381"/>
            <w:shd w:fill="F7F8F9"/>
            <w:vAlign w:val="top"/>
          </w:tcPr>
          <w:p>
            <w:pPr>
              <w:spacing w:after="0"/>
            </w:pPr>
            <w:r>
              <w:rPr>
                <w:sz w:val="14"/>
              </w:rPr>
              <w:t>Integration points</w:t>
            </w:r>
          </w:p>
        </w:tc>
        <w:tc>
          <w:tcPr>
            <w:tcW w:type="dxa" w:w="7257"/>
            <w:shd w:fill="F7F8F9"/>
            <w:vAlign w:val="top"/>
          </w:tcPr>
          <w:p>
            <w:pPr>
              <w:spacing w:after="0"/>
            </w:pPr>
            <w:r>
              <w:rPr>
                <w:sz w:val="14"/>
              </w:rPr>
              <w:t>GitHub, IAM/WIF, Cloud Build, Artifact Registry, Cloud Deploy, Binary Authorization, Security Command Center, Monitoring, Terraform and target services.</w:t>
            </w:r>
          </w:p>
        </w:tc>
      </w:tr>
      <w:tr>
        <w:tc>
          <w:tcPr>
            <w:tcW w:type="dxa" w:w="2381"/>
            <w:vAlign w:val="top"/>
          </w:tcPr>
          <w:p>
            <w:pPr>
              <w:spacing w:after="0"/>
            </w:pPr>
            <w:r>
              <w:rPr>
                <w:sz w:val="14"/>
              </w:rPr>
              <w:t>Alternatives</w:t>
            </w:r>
          </w:p>
        </w:tc>
        <w:tc>
          <w:tcPr>
            <w:tcW w:type="dxa" w:w="7257"/>
            <w:vAlign w:val="top"/>
          </w:tcPr>
          <w:p>
            <w:pPr>
              <w:spacing w:after="0"/>
            </w:pPr>
            <w:r>
              <w:rPr>
                <w:sz w:val="14"/>
              </w:rPr>
              <w:t>GitLab/Jenkins/Azure DevOps, third-party registries/deployment tools or custom pipelines when approved requirements are unmet.</w:t>
            </w:r>
          </w:p>
        </w:tc>
      </w:tr>
      <w:tr>
        <w:tc>
          <w:tcPr>
            <w:tcW w:type="dxa" w:w="2381"/>
            <w:shd w:fill="F7F8F9"/>
            <w:vAlign w:val="top"/>
          </w:tcPr>
          <w:p>
            <w:pPr>
              <w:spacing w:after="0"/>
            </w:pPr>
            <w:r>
              <w:rPr>
                <w:sz w:val="14"/>
              </w:rPr>
              <w:t>Selection criteria</w:t>
            </w:r>
          </w:p>
        </w:tc>
        <w:tc>
          <w:tcPr>
            <w:tcW w:type="dxa" w:w="7257"/>
            <w:shd w:fill="F7F8F9"/>
            <w:vAlign w:val="top"/>
          </w:tcPr>
          <w:p>
            <w:pPr>
              <w:spacing w:after="0"/>
            </w:pPr>
            <w:r>
              <w:rPr>
                <w:sz w:val="14"/>
              </w:rPr>
              <w:t>Source governance, identity, network, artifact type, target support, regulated evidence, progressive delivery, operability and cost.</w:t>
            </w:r>
          </w:p>
        </w:tc>
      </w:tr>
      <w:tr>
        <w:tc>
          <w:tcPr>
            <w:tcW w:type="dxa" w:w="2381"/>
            <w:vAlign w:val="top"/>
          </w:tcPr>
          <w:p>
            <w:pPr>
              <w:spacing w:after="0"/>
            </w:pPr>
            <w:r>
              <w:rPr>
                <w:sz w:val="14"/>
              </w:rPr>
              <w:t>Best practices</w:t>
            </w:r>
          </w:p>
        </w:tc>
        <w:tc>
          <w:tcPr>
            <w:tcW w:type="dxa" w:w="7257"/>
            <w:vAlign w:val="top"/>
          </w:tcPr>
          <w:p>
            <w:pPr>
              <w:spacing w:after="0"/>
            </w:pPr>
            <w:r>
              <w:rPr>
                <w:sz w:val="14"/>
              </w:rPr>
              <w:t>Keyless identity, immutable digests, pinned dependencies, isolated builds, policy gates, same-artifact promotion, independent approval and tested rollback.</w:t>
            </w:r>
          </w:p>
        </w:tc>
      </w:tr>
      <w:tr>
        <w:tc>
          <w:tcPr>
            <w:tcW w:type="dxa" w:w="2381"/>
            <w:shd w:fill="F7F8F9"/>
            <w:vAlign w:val="top"/>
          </w:tcPr>
          <w:p>
            <w:pPr>
              <w:spacing w:after="0"/>
            </w:pPr>
            <w:r>
              <w:rPr>
                <w:sz w:val="14"/>
              </w:rPr>
              <w:t>Reference architecture</w:t>
            </w:r>
          </w:p>
        </w:tc>
        <w:tc>
          <w:tcPr>
            <w:tcW w:type="dxa" w:w="7257"/>
            <w:shd w:fill="F7F8F9"/>
            <w:vAlign w:val="top"/>
          </w:tcPr>
          <w:p>
            <w:pPr>
              <w:spacing w:after="0"/>
            </w:pPr>
            <w:r>
              <w:rPr>
                <w:sz w:val="14"/>
              </w:rPr>
              <w:t>GitHub -&gt; PR checks -&gt; WIF -&gt; Cloud Build -&gt; Artifact Registry -&gt; policy/attestation -&gt; target-specific deployment -&gt; monitoring/rollback.</w:t>
            </w:r>
          </w:p>
        </w:tc>
      </w:tr>
      <w:tr>
        <w:tc>
          <w:tcPr>
            <w:tcW w:type="dxa" w:w="2381"/>
            <w:vAlign w:val="top"/>
          </w:tcPr>
          <w:p>
            <w:pPr>
              <w:spacing w:after="0"/>
            </w:pPr>
            <w:r>
              <w:rPr>
                <w:sz w:val="14"/>
              </w:rPr>
              <w:t>Sample configuration</w:t>
            </w:r>
          </w:p>
        </w:tc>
        <w:tc>
          <w:tcPr>
            <w:tcW w:type="dxa" w:w="7257"/>
            <w:vAlign w:val="top"/>
          </w:tcPr>
          <w:p>
            <w:pPr>
              <w:spacing w:after="0"/>
            </w:pPr>
            <w:r>
              <w:rPr>
                <w:sz w:val="14"/>
              </w:rPr>
              <w:t>See examples folders; validate exact action versions, API schema and provider arguments before production use.</w:t>
            </w:r>
          </w:p>
        </w:tc>
      </w:tr>
      <w:tr>
        <w:tc>
          <w:tcPr>
            <w:tcW w:type="dxa" w:w="2381"/>
            <w:shd w:fill="F7F8F9"/>
            <w:vAlign w:val="top"/>
          </w:tcPr>
          <w:p>
            <w:pPr>
              <w:spacing w:after="0"/>
            </w:pPr>
            <w:r>
              <w:rPr>
                <w:sz w:val="14"/>
              </w:rPr>
              <w:t>Common pitfalls</w:t>
            </w:r>
          </w:p>
        </w:tc>
        <w:tc>
          <w:tcPr>
            <w:tcW w:type="dxa" w:w="7257"/>
            <w:shd w:fill="F7F8F9"/>
            <w:vAlign w:val="top"/>
          </w:tcPr>
          <w:p>
            <w:pPr>
              <w:spacing w:after="0"/>
            </w:pPr>
            <w:r>
              <w:rPr>
                <w:sz w:val="14"/>
              </w:rPr>
              <w:t>Long-lived keys, mutable tags, unpinned actions, broad service accounts, rebuild per environment, unmanaged console deployment and absent rollback evidence.</w:t>
            </w:r>
          </w:p>
        </w:tc>
      </w:tr>
      <w:tr>
        <w:tc>
          <w:tcPr>
            <w:tcW w:type="dxa" w:w="2381"/>
            <w:vAlign w:val="top"/>
          </w:tcPr>
          <w:p>
            <w:pPr>
              <w:spacing w:after="0"/>
            </w:pPr>
            <w:r>
              <w:rPr>
                <w:sz w:val="14"/>
              </w:rPr>
              <w:t>Anti-patterns</w:t>
            </w:r>
          </w:p>
        </w:tc>
        <w:tc>
          <w:tcPr>
            <w:tcW w:type="dxa" w:w="7257"/>
            <w:vAlign w:val="top"/>
          </w:tcPr>
          <w:p>
            <w:pPr>
              <w:spacing w:after="0"/>
            </w:pPr>
            <w:r>
              <w:rPr>
                <w:sz w:val="14"/>
              </w:rPr>
              <w:t>CI identity is project owner; production deployment from developer laptop; secret in repository; latest tag; approval by code author only.</w:t>
            </w:r>
          </w:p>
        </w:tc>
      </w:tr>
      <w:tr>
        <w:tc>
          <w:tcPr>
            <w:tcW w:type="dxa" w:w="2381"/>
            <w:shd w:fill="F7F8F9"/>
            <w:vAlign w:val="top"/>
          </w:tcPr>
          <w:p>
            <w:pPr>
              <w:spacing w:after="0"/>
            </w:pPr>
            <w:r>
              <w:rPr>
                <w:sz w:val="14"/>
              </w:rPr>
              <w:t>Production-readiness checklist</w:t>
            </w:r>
          </w:p>
        </w:tc>
        <w:tc>
          <w:tcPr>
            <w:tcW w:type="dxa" w:w="7257"/>
            <w:shd w:fill="F7F8F9"/>
            <w:vAlign w:val="top"/>
          </w:tcPr>
          <w:p>
            <w:pPr>
              <w:spacing w:after="0"/>
            </w:pPr>
            <w:r>
              <w:rPr>
                <w:sz w:val="14"/>
              </w:rPr>
              <w:t>Repository controls; WIF; IAM separation; private build path; scans; immutable artifact; provenance; target approval; verification; rollback; metrics and retention.</w:t>
            </w:r>
          </w:p>
        </w:tc>
      </w:tr>
    </w:tbl>
    <w:p>
      <w:pPr>
        <w:spacing w:after="0"/>
      </w:pPr>
    </w:p>
    <w:p>
      <w:r>
        <w:br w:type="page"/>
      </w:r>
    </w:p>
    <w:p>
      <w:pPr>
        <w:pStyle w:val="Heading2"/>
      </w:pPr>
      <w:r>
        <w:t>28.4 Cloud Deploy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Assessment field</w:t>
            </w:r>
          </w:p>
        </w:tc>
        <w:tc>
          <w:tcPr>
            <w:tcW w:type="dxa" w:w="7257"/>
            <w:shd w:fill="174EA6"/>
          </w:tcPr>
          <w:p>
            <w:pPr>
              <w:spacing w:after="0"/>
            </w:pPr>
            <w:r>
              <w:rPr>
                <w:b/>
                <w:color w:val="FFFFFF"/>
                <w:sz w:val="14"/>
              </w:rPr>
              <w:t>Enterprise guidance</w:t>
            </w:r>
          </w:p>
        </w:tc>
      </w:tr>
      <w:tr>
        <w:tc>
          <w:tcPr>
            <w:tcW w:type="dxa" w:w="2381"/>
            <w:vAlign w:val="top"/>
          </w:tcPr>
          <w:p>
            <w:pPr>
              <w:spacing w:after="0"/>
            </w:pPr>
            <w:r>
              <w:rPr>
                <w:sz w:val="14"/>
              </w:rPr>
              <w:t>Service name</w:t>
            </w:r>
          </w:p>
        </w:tc>
        <w:tc>
          <w:tcPr>
            <w:tcW w:type="dxa" w:w="7257"/>
            <w:vAlign w:val="top"/>
          </w:tcPr>
          <w:p>
            <w:pPr>
              <w:spacing w:after="0"/>
            </w:pPr>
            <w:r>
              <w:rPr>
                <w:sz w:val="14"/>
              </w:rPr>
              <w:t>Cloud Deploy</w:t>
            </w:r>
          </w:p>
        </w:tc>
      </w:tr>
      <w:tr>
        <w:tc>
          <w:tcPr>
            <w:tcW w:type="dxa" w:w="2381"/>
            <w:shd w:fill="F7F8F9"/>
            <w:vAlign w:val="top"/>
          </w:tcPr>
          <w:p>
            <w:pPr>
              <w:spacing w:after="0"/>
            </w:pPr>
            <w:r>
              <w:rPr>
                <w:sz w:val="14"/>
              </w:rPr>
              <w:t>Purpose</w:t>
            </w:r>
          </w:p>
        </w:tc>
        <w:tc>
          <w:tcPr>
            <w:tcW w:type="dxa" w:w="7257"/>
            <w:shd w:fill="F7F8F9"/>
            <w:vAlign w:val="top"/>
          </w:tcPr>
          <w:p>
            <w:pPr>
              <w:spacing w:after="0"/>
            </w:pPr>
            <w:r>
              <w:rPr>
                <w:sz w:val="14"/>
              </w:rPr>
              <w:t>Managed continuous delivery</w:t>
            </w:r>
          </w:p>
        </w:tc>
      </w:tr>
      <w:tr>
        <w:tc>
          <w:tcPr>
            <w:tcW w:type="dxa" w:w="2381"/>
            <w:vAlign w:val="top"/>
          </w:tcPr>
          <w:p>
            <w:pPr>
              <w:spacing w:after="0"/>
            </w:pPr>
            <w:r>
              <w:rPr>
                <w:sz w:val="14"/>
              </w:rPr>
              <w:t>Enterprise architecture role</w:t>
            </w:r>
          </w:p>
        </w:tc>
        <w:tc>
          <w:tcPr>
            <w:tcW w:type="dxa" w:w="7257"/>
            <w:vAlign w:val="top"/>
          </w:tcPr>
          <w:p>
            <w:pPr>
              <w:spacing w:after="0"/>
            </w:pPr>
            <w:r>
              <w:rPr>
                <w:sz w:val="14"/>
              </w:rPr>
              <w:t>Application delivery to supported targets with approval, verification and progressive rollout</w:t>
            </w:r>
          </w:p>
        </w:tc>
      </w:tr>
      <w:tr>
        <w:tc>
          <w:tcPr>
            <w:tcW w:type="dxa" w:w="2381"/>
            <w:shd w:fill="F7F8F9"/>
            <w:vAlign w:val="top"/>
          </w:tcPr>
          <w:p>
            <w:pPr>
              <w:spacing w:after="0"/>
            </w:pPr>
            <w:r>
              <w:rPr>
                <w:sz w:val="14"/>
              </w:rPr>
              <w:t>Business capabilities supported</w:t>
            </w:r>
          </w:p>
        </w:tc>
        <w:tc>
          <w:tcPr>
            <w:tcW w:type="dxa" w:w="7257"/>
            <w:shd w:fill="F7F8F9"/>
            <w:vAlign w:val="top"/>
          </w:tcPr>
          <w:p>
            <w:pPr>
              <w:spacing w:after="0"/>
            </w:pPr>
            <w:r>
              <w:rPr>
                <w:sz w:val="14"/>
              </w:rPr>
              <w:t>Secure software and data delivery, controlled change, auditability, platform engineering and regulated release evidence.</w:t>
            </w:r>
          </w:p>
        </w:tc>
      </w:tr>
      <w:tr>
        <w:tc>
          <w:tcPr>
            <w:tcW w:type="dxa" w:w="2381"/>
            <w:vAlign w:val="top"/>
          </w:tcPr>
          <w:p>
            <w:pPr>
              <w:spacing w:after="0"/>
            </w:pPr>
            <w:r>
              <w:rPr>
                <w:sz w:val="14"/>
              </w:rPr>
              <w:t>Technical capabilities</w:t>
            </w:r>
          </w:p>
        </w:tc>
        <w:tc>
          <w:tcPr>
            <w:tcW w:type="dxa" w:w="7257"/>
            <w:vAlign w:val="top"/>
          </w:tcPr>
          <w:p>
            <w:pPr>
              <w:spacing w:after="0"/>
            </w:pPr>
            <w:r>
              <w:rPr>
                <w:sz w:val="14"/>
              </w:rPr>
              <w:t>Managed continuous delivery integrated with IAM, logging, monitoring and Google Cloud resource controls.</w:t>
            </w:r>
          </w:p>
        </w:tc>
      </w:tr>
      <w:tr>
        <w:tc>
          <w:tcPr>
            <w:tcW w:type="dxa" w:w="2381"/>
            <w:shd w:fill="F7F8F9"/>
            <w:vAlign w:val="top"/>
          </w:tcPr>
          <w:p>
            <w:pPr>
              <w:spacing w:after="0"/>
            </w:pPr>
            <w:r>
              <w:rPr>
                <w:sz w:val="14"/>
              </w:rPr>
              <w:t>Benefits</w:t>
            </w:r>
          </w:p>
        </w:tc>
        <w:tc>
          <w:tcPr>
            <w:tcW w:type="dxa" w:w="7257"/>
            <w:shd w:fill="F7F8F9"/>
            <w:vAlign w:val="top"/>
          </w:tcPr>
          <w:p>
            <w:pPr>
              <w:spacing w:after="0"/>
            </w:pPr>
            <w:r>
              <w:rPr>
                <w:sz w:val="14"/>
              </w:rPr>
              <w:t>Managed integration, reduced undifferentiated operations, standard evidence and alignment with the inherited Google Cloud platform.</w:t>
            </w:r>
          </w:p>
        </w:tc>
      </w:tr>
      <w:tr>
        <w:tc>
          <w:tcPr>
            <w:tcW w:type="dxa" w:w="2381"/>
            <w:vAlign w:val="top"/>
          </w:tcPr>
          <w:p>
            <w:pPr>
              <w:spacing w:after="0"/>
            </w:pPr>
            <w:r>
              <w:rPr>
                <w:sz w:val="14"/>
              </w:rPr>
              <w:t>Limitations</w:t>
            </w:r>
          </w:p>
        </w:tc>
        <w:tc>
          <w:tcPr>
            <w:tcW w:type="dxa" w:w="7257"/>
            <w:vAlign w:val="top"/>
          </w:tcPr>
          <w:p>
            <w:pPr>
              <w:spacing w:after="0"/>
            </w:pPr>
            <w:r>
              <w:rPr>
                <w:sz w:val="14"/>
              </w:rPr>
              <w:t>Features, targets, quotas, locations, integrations and launch stages vary; some data assets require dedicated deployment lanes rather than application CD.</w:t>
            </w:r>
          </w:p>
        </w:tc>
      </w:tr>
      <w:tr>
        <w:tc>
          <w:tcPr>
            <w:tcW w:type="dxa" w:w="2381"/>
            <w:shd w:fill="F7F8F9"/>
            <w:vAlign w:val="top"/>
          </w:tcPr>
          <w:p>
            <w:pPr>
              <w:spacing w:after="0"/>
            </w:pPr>
            <w:r>
              <w:rPr>
                <w:sz w:val="14"/>
              </w:rPr>
              <w:t>Service quotas</w:t>
            </w:r>
          </w:p>
        </w:tc>
        <w:tc>
          <w:tcPr>
            <w:tcW w:type="dxa" w:w="7257"/>
            <w:shd w:fill="F7F8F9"/>
            <w:vAlign w:val="top"/>
          </w:tcPr>
          <w:p>
            <w:pPr>
              <w:spacing w:after="0"/>
            </w:pPr>
            <w:r>
              <w:rPr>
                <w:sz w:val="14"/>
              </w:rPr>
              <w:t>Validate project, regional, API, concurrency, storage and throughput quotas before scale rollout.</w:t>
            </w:r>
          </w:p>
        </w:tc>
      </w:tr>
      <w:tr>
        <w:tc>
          <w:tcPr>
            <w:tcW w:type="dxa" w:w="2381"/>
            <w:vAlign w:val="top"/>
          </w:tcPr>
          <w:p>
            <w:pPr>
              <w:spacing w:after="0"/>
            </w:pPr>
            <w:r>
              <w:rPr>
                <w:sz w:val="14"/>
              </w:rPr>
              <w:t>Regional availability considerations</w:t>
            </w:r>
          </w:p>
        </w:tc>
        <w:tc>
          <w:tcPr>
            <w:tcW w:type="dxa" w:w="7257"/>
            <w:vAlign w:val="top"/>
          </w:tcPr>
          <w:p>
            <w:pPr>
              <w:spacing w:after="0"/>
            </w:pPr>
            <w:r>
              <w:rPr>
                <w:sz w:val="14"/>
              </w:rPr>
              <w:t>Place regional resources such as private pools and repositories with the approved delivery/data plane; validate cross-region access and residency.</w:t>
            </w:r>
          </w:p>
        </w:tc>
      </w:tr>
      <w:tr>
        <w:tc>
          <w:tcPr>
            <w:tcW w:type="dxa" w:w="2381"/>
            <w:shd w:fill="F7F8F9"/>
            <w:vAlign w:val="top"/>
          </w:tcPr>
          <w:p>
            <w:pPr>
              <w:spacing w:after="0"/>
            </w:pPr>
            <w:r>
              <w:rPr>
                <w:sz w:val="14"/>
              </w:rPr>
              <w:t>High-availability characteristics</w:t>
            </w:r>
          </w:p>
        </w:tc>
        <w:tc>
          <w:tcPr>
            <w:tcW w:type="dxa" w:w="7257"/>
            <w:shd w:fill="F7F8F9"/>
            <w:vAlign w:val="top"/>
          </w:tcPr>
          <w:p>
            <w:pPr>
              <w:spacing w:after="0"/>
            </w:pPr>
            <w:r>
              <w:rPr>
                <w:sz w:val="14"/>
              </w:rPr>
              <w:t>Managed control planes reduce infrastructure operations; delivery workflows must tolerate API/transient failures and preserve source/artifacts for replay.</w:t>
            </w:r>
          </w:p>
        </w:tc>
      </w:tr>
      <w:tr>
        <w:tc>
          <w:tcPr>
            <w:tcW w:type="dxa" w:w="2381"/>
            <w:vAlign w:val="top"/>
          </w:tcPr>
          <w:p>
            <w:pPr>
              <w:spacing w:after="0"/>
            </w:pPr>
            <w:r>
              <w:rPr>
                <w:sz w:val="14"/>
              </w:rPr>
              <w:t>Disaster-recovery considerations</w:t>
            </w:r>
          </w:p>
        </w:tc>
        <w:tc>
          <w:tcPr>
            <w:tcW w:type="dxa" w:w="7257"/>
            <w:vAlign w:val="top"/>
          </w:tcPr>
          <w:p>
            <w:pPr>
              <w:spacing w:after="0"/>
            </w:pPr>
            <w:r>
              <w:rPr>
                <w:sz w:val="14"/>
              </w:rPr>
              <w:t>Back up source/configuration, replicate or rebuild artifact repositories where required, preserve provenance and test alternate build/deploy paths.</w:t>
            </w:r>
          </w:p>
        </w:tc>
      </w:tr>
      <w:tr>
        <w:tc>
          <w:tcPr>
            <w:tcW w:type="dxa" w:w="2381"/>
            <w:shd w:fill="F7F8F9"/>
            <w:vAlign w:val="top"/>
          </w:tcPr>
          <w:p>
            <w:pPr>
              <w:spacing w:after="0"/>
            </w:pPr>
            <w:r>
              <w:rPr>
                <w:sz w:val="14"/>
              </w:rPr>
              <w:t>Security model</w:t>
            </w:r>
          </w:p>
        </w:tc>
        <w:tc>
          <w:tcPr>
            <w:tcW w:type="dxa" w:w="7257"/>
            <w:shd w:fill="F7F8F9"/>
            <w:vAlign w:val="top"/>
          </w:tcPr>
          <w:p>
            <w:pPr>
              <w:spacing w:after="0"/>
            </w:pPr>
            <w:r>
              <w:rPr>
                <w:sz w:val="14"/>
              </w:rPr>
              <w:t>IAM, workload identity, protected repositories/environments, least privilege, private network access and immutable audit evidence.</w:t>
            </w:r>
          </w:p>
        </w:tc>
      </w:tr>
      <w:tr>
        <w:tc>
          <w:tcPr>
            <w:tcW w:type="dxa" w:w="2381"/>
            <w:vAlign w:val="top"/>
          </w:tcPr>
          <w:p>
            <w:pPr>
              <w:spacing w:after="0"/>
            </w:pPr>
            <w:r>
              <w:rPr>
                <w:sz w:val="14"/>
              </w:rPr>
              <w:t>IAM requirements</w:t>
            </w:r>
          </w:p>
        </w:tc>
        <w:tc>
          <w:tcPr>
            <w:tcW w:type="dxa" w:w="7257"/>
            <w:vAlign w:val="top"/>
          </w:tcPr>
          <w:p>
            <w:pPr>
              <w:spacing w:after="0"/>
            </w:pPr>
            <w:r>
              <w:rPr>
                <w:sz w:val="14"/>
              </w:rPr>
              <w:t>Separate source admin, workflow identity, build identity, artifact writer, deployer, approver and runtime identities.</w:t>
            </w:r>
          </w:p>
        </w:tc>
      </w:tr>
      <w:tr>
        <w:tc>
          <w:tcPr>
            <w:tcW w:type="dxa" w:w="2381"/>
            <w:shd w:fill="F7F8F9"/>
            <w:vAlign w:val="top"/>
          </w:tcPr>
          <w:p>
            <w:pPr>
              <w:spacing w:after="0"/>
            </w:pPr>
            <w:r>
              <w:rPr>
                <w:sz w:val="14"/>
              </w:rPr>
              <w:t>Network requirements</w:t>
            </w:r>
          </w:p>
        </w:tc>
        <w:tc>
          <w:tcPr>
            <w:tcW w:type="dxa" w:w="7257"/>
            <w:shd w:fill="F7F8F9"/>
            <w:vAlign w:val="top"/>
          </w:tcPr>
          <w:p>
            <w:pPr>
              <w:spacing w:after="0"/>
            </w:pPr>
            <w:r>
              <w:rPr>
                <w:sz w:val="14"/>
              </w:rPr>
              <w:t>Private pools or approved runners, Private Google Access/PSC where supported and controlled egress for dependencies.</w:t>
            </w:r>
          </w:p>
        </w:tc>
      </w:tr>
      <w:tr>
        <w:tc>
          <w:tcPr>
            <w:tcW w:type="dxa" w:w="2381"/>
            <w:vAlign w:val="top"/>
          </w:tcPr>
          <w:p>
            <w:pPr>
              <w:spacing w:after="0"/>
            </w:pPr>
            <w:r>
              <w:rPr>
                <w:sz w:val="14"/>
              </w:rPr>
              <w:t>VPC Service Controls considerations</w:t>
            </w:r>
          </w:p>
        </w:tc>
        <w:tc>
          <w:tcPr>
            <w:tcW w:type="dxa" w:w="7257"/>
            <w:vAlign w:val="top"/>
          </w:tcPr>
          <w:p>
            <w:pPr>
              <w:spacing w:after="0"/>
            </w:pPr>
            <w:r>
              <w:rPr>
                <w:sz w:val="14"/>
              </w:rPr>
              <w:t>Validate service support and ingress/egress dependencies; GitHub is outside the perimeter and must use WIF and narrowly authorized APIs.</w:t>
            </w:r>
          </w:p>
        </w:tc>
      </w:tr>
      <w:tr>
        <w:tc>
          <w:tcPr>
            <w:tcW w:type="dxa" w:w="2381"/>
            <w:shd w:fill="F7F8F9"/>
            <w:vAlign w:val="top"/>
          </w:tcPr>
          <w:p>
            <w:pPr>
              <w:spacing w:after="0"/>
            </w:pPr>
            <w:r>
              <w:rPr>
                <w:sz w:val="14"/>
              </w:rPr>
              <w:t>Encryption capabilities</w:t>
            </w:r>
          </w:p>
        </w:tc>
        <w:tc>
          <w:tcPr>
            <w:tcW w:type="dxa" w:w="7257"/>
            <w:shd w:fill="F7F8F9"/>
            <w:vAlign w:val="top"/>
          </w:tcPr>
          <w:p>
            <w:pPr>
              <w:spacing w:after="0"/>
            </w:pPr>
            <w:r>
              <w:rPr>
                <w:sz w:val="14"/>
              </w:rPr>
              <w:t>Google-managed encryption by default and TLS in transit; protect evidence, artifacts and configuration.</w:t>
            </w:r>
          </w:p>
        </w:tc>
      </w:tr>
      <w:tr>
        <w:tc>
          <w:tcPr>
            <w:tcW w:type="dxa" w:w="2381"/>
            <w:vAlign w:val="top"/>
          </w:tcPr>
          <w:p>
            <w:pPr>
              <w:spacing w:after="0"/>
            </w:pPr>
            <w:r>
              <w:rPr>
                <w:sz w:val="14"/>
              </w:rPr>
              <w:t>CMEK support</w:t>
            </w:r>
          </w:p>
        </w:tc>
        <w:tc>
          <w:tcPr>
            <w:tcW w:type="dxa" w:w="7257"/>
            <w:vAlign w:val="top"/>
          </w:tcPr>
          <w:p>
            <w:pPr>
              <w:spacing w:after="0"/>
            </w:pPr>
            <w:r>
              <w:rPr>
                <w:sz w:val="14"/>
              </w:rPr>
              <w:t>Use where required and supported, especially repositories/build resources; validate resource/location and service-agent permissions.</w:t>
            </w:r>
          </w:p>
        </w:tc>
      </w:tr>
      <w:tr>
        <w:tc>
          <w:tcPr>
            <w:tcW w:type="dxa" w:w="2381"/>
            <w:shd w:fill="F7F8F9"/>
            <w:vAlign w:val="top"/>
          </w:tcPr>
          <w:p>
            <w:pPr>
              <w:spacing w:after="0"/>
            </w:pPr>
            <w:r>
              <w:rPr>
                <w:sz w:val="14"/>
              </w:rPr>
              <w:t>Logging</w:t>
            </w:r>
          </w:p>
        </w:tc>
        <w:tc>
          <w:tcPr>
            <w:tcW w:type="dxa" w:w="7257"/>
            <w:shd w:fill="F7F8F9"/>
            <w:vAlign w:val="top"/>
          </w:tcPr>
          <w:p>
            <w:pPr>
              <w:spacing w:after="0"/>
            </w:pPr>
            <w:r>
              <w:rPr>
                <w:sz w:val="14"/>
              </w:rPr>
              <w:t>Enable audit, workflow, build, artifact and rollout logs; exclude secrets and sensitive payloads.</w:t>
            </w:r>
          </w:p>
        </w:tc>
      </w:tr>
      <w:tr>
        <w:tc>
          <w:tcPr>
            <w:tcW w:type="dxa" w:w="2381"/>
            <w:vAlign w:val="top"/>
          </w:tcPr>
          <w:p>
            <w:pPr>
              <w:spacing w:after="0"/>
            </w:pPr>
            <w:r>
              <w:rPr>
                <w:sz w:val="14"/>
              </w:rPr>
              <w:t>Monitoring</w:t>
            </w:r>
          </w:p>
        </w:tc>
        <w:tc>
          <w:tcPr>
            <w:tcW w:type="dxa" w:w="7257"/>
            <w:vAlign w:val="top"/>
          </w:tcPr>
          <w:p>
            <w:pPr>
              <w:spacing w:after="0"/>
            </w:pPr>
            <w:r>
              <w:rPr>
                <w:sz w:val="14"/>
              </w:rPr>
              <w:t>Track workflow/build/rollout success, duration, queue, policy failures, artifact age, vulnerabilities and release outcomes.</w:t>
            </w:r>
          </w:p>
        </w:tc>
      </w:tr>
      <w:tr>
        <w:tc>
          <w:tcPr>
            <w:tcW w:type="dxa" w:w="2381"/>
            <w:shd w:fill="F7F8F9"/>
            <w:vAlign w:val="top"/>
          </w:tcPr>
          <w:p>
            <w:pPr>
              <w:spacing w:after="0"/>
            </w:pPr>
            <w:r>
              <w:rPr>
                <w:sz w:val="14"/>
              </w:rPr>
              <w:t>Alerting</w:t>
            </w:r>
          </w:p>
        </w:tc>
        <w:tc>
          <w:tcPr>
            <w:tcW w:type="dxa" w:w="7257"/>
            <w:shd w:fill="F7F8F9"/>
            <w:vAlign w:val="top"/>
          </w:tcPr>
          <w:p>
            <w:pPr>
              <w:spacing w:after="0"/>
            </w:pPr>
            <w:r>
              <w:rPr>
                <w:sz w:val="14"/>
              </w:rPr>
              <w:t>Page only for production-impacting or supply-chain security events; route failed builds and policy trends to owners.</w:t>
            </w:r>
          </w:p>
        </w:tc>
      </w:tr>
      <w:tr>
        <w:tc>
          <w:tcPr>
            <w:tcW w:type="dxa" w:w="2381"/>
            <w:vAlign w:val="top"/>
          </w:tcPr>
          <w:p>
            <w:pPr>
              <w:spacing w:after="0"/>
            </w:pPr>
            <w:r>
              <w:rPr>
                <w:sz w:val="14"/>
              </w:rPr>
              <w:t>Cost drivers</w:t>
            </w:r>
          </w:p>
        </w:tc>
        <w:tc>
          <w:tcPr>
            <w:tcW w:type="dxa" w:w="7257"/>
            <w:vAlign w:val="top"/>
          </w:tcPr>
          <w:p>
            <w:pPr>
              <w:spacing w:after="0"/>
            </w:pPr>
            <w:r>
              <w:rPr>
                <w:sz w:val="14"/>
              </w:rPr>
              <w:t>Workflow minutes/runners, private build workers, storage, scanning, network, verification jobs and logging.</w:t>
            </w:r>
          </w:p>
        </w:tc>
      </w:tr>
      <w:tr>
        <w:tc>
          <w:tcPr>
            <w:tcW w:type="dxa" w:w="2381"/>
            <w:shd w:fill="F7F8F9"/>
            <w:vAlign w:val="top"/>
          </w:tcPr>
          <w:p>
            <w:pPr>
              <w:spacing w:after="0"/>
            </w:pPr>
            <w:r>
              <w:rPr>
                <w:sz w:val="14"/>
              </w:rPr>
              <w:t>Cost-optimization techniques</w:t>
            </w:r>
          </w:p>
        </w:tc>
        <w:tc>
          <w:tcPr>
            <w:tcW w:type="dxa" w:w="7257"/>
            <w:shd w:fill="F7F8F9"/>
            <w:vAlign w:val="top"/>
          </w:tcPr>
          <w:p>
            <w:pPr>
              <w:spacing w:after="0"/>
            </w:pPr>
            <w:r>
              <w:rPr>
                <w:sz w:val="14"/>
              </w:rPr>
              <w:t>Cache safely, right-size private pools, avoid duplicate rebuilds, apply cleanup policies and limit noisy logs without weakening evidence.</w:t>
            </w:r>
          </w:p>
        </w:tc>
      </w:tr>
      <w:tr>
        <w:tc>
          <w:tcPr>
            <w:tcW w:type="dxa" w:w="2381"/>
            <w:vAlign w:val="top"/>
          </w:tcPr>
          <w:p>
            <w:pPr>
              <w:spacing w:after="0"/>
            </w:pPr>
            <w:r>
              <w:rPr>
                <w:sz w:val="14"/>
              </w:rPr>
              <w:t>Operational responsibilities</w:t>
            </w:r>
          </w:p>
        </w:tc>
        <w:tc>
          <w:tcPr>
            <w:tcW w:type="dxa" w:w="7257"/>
            <w:vAlign w:val="top"/>
          </w:tcPr>
          <w:p>
            <w:pPr>
              <w:spacing w:after="0"/>
            </w:pPr>
            <w:r>
              <w:rPr>
                <w:sz w:val="14"/>
              </w:rPr>
              <w:t>Platform DevSecOps owns golden paths; product teams own code/tests and release outcomes; security owns policy; SRE owns production rollout/rollback practice.</w:t>
            </w:r>
          </w:p>
        </w:tc>
      </w:tr>
      <w:tr>
        <w:tc>
          <w:tcPr>
            <w:tcW w:type="dxa" w:w="2381"/>
            <w:shd w:fill="F7F8F9"/>
            <w:vAlign w:val="top"/>
          </w:tcPr>
          <w:p>
            <w:pPr>
              <w:spacing w:after="0"/>
            </w:pPr>
            <w:r>
              <w:rPr>
                <w:sz w:val="14"/>
              </w:rPr>
              <w:t>Integration points</w:t>
            </w:r>
          </w:p>
        </w:tc>
        <w:tc>
          <w:tcPr>
            <w:tcW w:type="dxa" w:w="7257"/>
            <w:shd w:fill="F7F8F9"/>
            <w:vAlign w:val="top"/>
          </w:tcPr>
          <w:p>
            <w:pPr>
              <w:spacing w:after="0"/>
            </w:pPr>
            <w:r>
              <w:rPr>
                <w:sz w:val="14"/>
              </w:rPr>
              <w:t>GitHub, IAM/WIF, Cloud Build, Artifact Registry, Cloud Deploy, Binary Authorization, Security Command Center, Monitoring, Terraform and target services.</w:t>
            </w:r>
          </w:p>
        </w:tc>
      </w:tr>
      <w:tr>
        <w:tc>
          <w:tcPr>
            <w:tcW w:type="dxa" w:w="2381"/>
            <w:vAlign w:val="top"/>
          </w:tcPr>
          <w:p>
            <w:pPr>
              <w:spacing w:after="0"/>
            </w:pPr>
            <w:r>
              <w:rPr>
                <w:sz w:val="14"/>
              </w:rPr>
              <w:t>Alternatives</w:t>
            </w:r>
          </w:p>
        </w:tc>
        <w:tc>
          <w:tcPr>
            <w:tcW w:type="dxa" w:w="7257"/>
            <w:vAlign w:val="top"/>
          </w:tcPr>
          <w:p>
            <w:pPr>
              <w:spacing w:after="0"/>
            </w:pPr>
            <w:r>
              <w:rPr>
                <w:sz w:val="14"/>
              </w:rPr>
              <w:t>GitLab/Jenkins/Azure DevOps, third-party registries/deployment tools or custom pipelines when approved requirements are unmet.</w:t>
            </w:r>
          </w:p>
        </w:tc>
      </w:tr>
      <w:tr>
        <w:tc>
          <w:tcPr>
            <w:tcW w:type="dxa" w:w="2381"/>
            <w:shd w:fill="F7F8F9"/>
            <w:vAlign w:val="top"/>
          </w:tcPr>
          <w:p>
            <w:pPr>
              <w:spacing w:after="0"/>
            </w:pPr>
            <w:r>
              <w:rPr>
                <w:sz w:val="14"/>
              </w:rPr>
              <w:t>Selection criteria</w:t>
            </w:r>
          </w:p>
        </w:tc>
        <w:tc>
          <w:tcPr>
            <w:tcW w:type="dxa" w:w="7257"/>
            <w:shd w:fill="F7F8F9"/>
            <w:vAlign w:val="top"/>
          </w:tcPr>
          <w:p>
            <w:pPr>
              <w:spacing w:after="0"/>
            </w:pPr>
            <w:r>
              <w:rPr>
                <w:sz w:val="14"/>
              </w:rPr>
              <w:t>Source governance, identity, network, artifact type, target support, regulated evidence, progressive delivery, operability and cost.</w:t>
            </w:r>
          </w:p>
        </w:tc>
      </w:tr>
      <w:tr>
        <w:tc>
          <w:tcPr>
            <w:tcW w:type="dxa" w:w="2381"/>
            <w:vAlign w:val="top"/>
          </w:tcPr>
          <w:p>
            <w:pPr>
              <w:spacing w:after="0"/>
            </w:pPr>
            <w:r>
              <w:rPr>
                <w:sz w:val="14"/>
              </w:rPr>
              <w:t>Best practices</w:t>
            </w:r>
          </w:p>
        </w:tc>
        <w:tc>
          <w:tcPr>
            <w:tcW w:type="dxa" w:w="7257"/>
            <w:vAlign w:val="top"/>
          </w:tcPr>
          <w:p>
            <w:pPr>
              <w:spacing w:after="0"/>
            </w:pPr>
            <w:r>
              <w:rPr>
                <w:sz w:val="14"/>
              </w:rPr>
              <w:t>Keyless identity, immutable digests, pinned dependencies, isolated builds, policy gates, same-artifact promotion, independent approval and tested rollback.</w:t>
            </w:r>
          </w:p>
        </w:tc>
      </w:tr>
      <w:tr>
        <w:tc>
          <w:tcPr>
            <w:tcW w:type="dxa" w:w="2381"/>
            <w:shd w:fill="F7F8F9"/>
            <w:vAlign w:val="top"/>
          </w:tcPr>
          <w:p>
            <w:pPr>
              <w:spacing w:after="0"/>
            </w:pPr>
            <w:r>
              <w:rPr>
                <w:sz w:val="14"/>
              </w:rPr>
              <w:t>Reference architecture</w:t>
            </w:r>
          </w:p>
        </w:tc>
        <w:tc>
          <w:tcPr>
            <w:tcW w:type="dxa" w:w="7257"/>
            <w:shd w:fill="F7F8F9"/>
            <w:vAlign w:val="top"/>
          </w:tcPr>
          <w:p>
            <w:pPr>
              <w:spacing w:after="0"/>
            </w:pPr>
            <w:r>
              <w:rPr>
                <w:sz w:val="14"/>
              </w:rPr>
              <w:t>GitHub -&gt; PR checks -&gt; WIF -&gt; Cloud Build -&gt; Artifact Registry -&gt; policy/attestation -&gt; target-specific deployment -&gt; monitoring/rollback.</w:t>
            </w:r>
          </w:p>
        </w:tc>
      </w:tr>
      <w:tr>
        <w:tc>
          <w:tcPr>
            <w:tcW w:type="dxa" w:w="2381"/>
            <w:vAlign w:val="top"/>
          </w:tcPr>
          <w:p>
            <w:pPr>
              <w:spacing w:after="0"/>
            </w:pPr>
            <w:r>
              <w:rPr>
                <w:sz w:val="14"/>
              </w:rPr>
              <w:t>Sample configuration</w:t>
            </w:r>
          </w:p>
        </w:tc>
        <w:tc>
          <w:tcPr>
            <w:tcW w:type="dxa" w:w="7257"/>
            <w:vAlign w:val="top"/>
          </w:tcPr>
          <w:p>
            <w:pPr>
              <w:spacing w:after="0"/>
            </w:pPr>
            <w:r>
              <w:rPr>
                <w:sz w:val="14"/>
              </w:rPr>
              <w:t>See examples folders; validate exact action versions, API schema and provider arguments before production use.</w:t>
            </w:r>
          </w:p>
        </w:tc>
      </w:tr>
      <w:tr>
        <w:tc>
          <w:tcPr>
            <w:tcW w:type="dxa" w:w="2381"/>
            <w:shd w:fill="F7F8F9"/>
            <w:vAlign w:val="top"/>
          </w:tcPr>
          <w:p>
            <w:pPr>
              <w:spacing w:after="0"/>
            </w:pPr>
            <w:r>
              <w:rPr>
                <w:sz w:val="14"/>
              </w:rPr>
              <w:t>Common pitfalls</w:t>
            </w:r>
          </w:p>
        </w:tc>
        <w:tc>
          <w:tcPr>
            <w:tcW w:type="dxa" w:w="7257"/>
            <w:shd w:fill="F7F8F9"/>
            <w:vAlign w:val="top"/>
          </w:tcPr>
          <w:p>
            <w:pPr>
              <w:spacing w:after="0"/>
            </w:pPr>
            <w:r>
              <w:rPr>
                <w:sz w:val="14"/>
              </w:rPr>
              <w:t>Long-lived keys, mutable tags, unpinned actions, broad service accounts, rebuild per environment, unmanaged console deployment and absent rollback evidence.</w:t>
            </w:r>
          </w:p>
        </w:tc>
      </w:tr>
      <w:tr>
        <w:tc>
          <w:tcPr>
            <w:tcW w:type="dxa" w:w="2381"/>
            <w:vAlign w:val="top"/>
          </w:tcPr>
          <w:p>
            <w:pPr>
              <w:spacing w:after="0"/>
            </w:pPr>
            <w:r>
              <w:rPr>
                <w:sz w:val="14"/>
              </w:rPr>
              <w:t>Anti-patterns</w:t>
            </w:r>
          </w:p>
        </w:tc>
        <w:tc>
          <w:tcPr>
            <w:tcW w:type="dxa" w:w="7257"/>
            <w:vAlign w:val="top"/>
          </w:tcPr>
          <w:p>
            <w:pPr>
              <w:spacing w:after="0"/>
            </w:pPr>
            <w:r>
              <w:rPr>
                <w:sz w:val="14"/>
              </w:rPr>
              <w:t>CI identity is project owner; production deployment from developer laptop; secret in repository; latest tag; approval by code author only.</w:t>
            </w:r>
          </w:p>
        </w:tc>
      </w:tr>
      <w:tr>
        <w:tc>
          <w:tcPr>
            <w:tcW w:type="dxa" w:w="2381"/>
            <w:shd w:fill="F7F8F9"/>
            <w:vAlign w:val="top"/>
          </w:tcPr>
          <w:p>
            <w:pPr>
              <w:spacing w:after="0"/>
            </w:pPr>
            <w:r>
              <w:rPr>
                <w:sz w:val="14"/>
              </w:rPr>
              <w:t>Production-readiness checklist</w:t>
            </w:r>
          </w:p>
        </w:tc>
        <w:tc>
          <w:tcPr>
            <w:tcW w:type="dxa" w:w="7257"/>
            <w:shd w:fill="F7F8F9"/>
            <w:vAlign w:val="top"/>
          </w:tcPr>
          <w:p>
            <w:pPr>
              <w:spacing w:after="0"/>
            </w:pPr>
            <w:r>
              <w:rPr>
                <w:sz w:val="14"/>
              </w:rPr>
              <w:t>Repository controls; WIF; IAM separation; private build path; scans; immutable artifact; provenance; target approval; verification; rollback; metrics and retention.</w:t>
            </w:r>
          </w:p>
        </w:tc>
      </w:tr>
    </w:tbl>
    <w:p>
      <w:pPr>
        <w:spacing w:after="0"/>
      </w:pPr>
    </w:p>
    <w:p>
      <w:r>
        <w:br w:type="page"/>
      </w:r>
    </w:p>
    <w:p>
      <w:pPr>
        <w:pStyle w:val="Heading2"/>
      </w:pPr>
      <w:r>
        <w:t>28.5 Workload Identity Federation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Assessment field</w:t>
            </w:r>
          </w:p>
        </w:tc>
        <w:tc>
          <w:tcPr>
            <w:tcW w:type="dxa" w:w="7257"/>
            <w:shd w:fill="174EA6"/>
          </w:tcPr>
          <w:p>
            <w:pPr>
              <w:spacing w:after="0"/>
            </w:pPr>
            <w:r>
              <w:rPr>
                <w:b/>
                <w:color w:val="FFFFFF"/>
                <w:sz w:val="14"/>
              </w:rPr>
              <w:t>Enterprise guidance</w:t>
            </w:r>
          </w:p>
        </w:tc>
      </w:tr>
      <w:tr>
        <w:tc>
          <w:tcPr>
            <w:tcW w:type="dxa" w:w="2381"/>
            <w:vAlign w:val="top"/>
          </w:tcPr>
          <w:p>
            <w:pPr>
              <w:spacing w:after="0"/>
            </w:pPr>
            <w:r>
              <w:rPr>
                <w:sz w:val="14"/>
              </w:rPr>
              <w:t>Service name</w:t>
            </w:r>
          </w:p>
        </w:tc>
        <w:tc>
          <w:tcPr>
            <w:tcW w:type="dxa" w:w="7257"/>
            <w:vAlign w:val="top"/>
          </w:tcPr>
          <w:p>
            <w:pPr>
              <w:spacing w:after="0"/>
            </w:pPr>
            <w:r>
              <w:rPr>
                <w:sz w:val="14"/>
              </w:rPr>
              <w:t>Workload Identity Federation</w:t>
            </w:r>
          </w:p>
        </w:tc>
      </w:tr>
      <w:tr>
        <w:tc>
          <w:tcPr>
            <w:tcW w:type="dxa" w:w="2381"/>
            <w:shd w:fill="F7F8F9"/>
            <w:vAlign w:val="top"/>
          </w:tcPr>
          <w:p>
            <w:pPr>
              <w:spacing w:after="0"/>
            </w:pPr>
            <w:r>
              <w:rPr>
                <w:sz w:val="14"/>
              </w:rPr>
              <w:t>Purpose</w:t>
            </w:r>
          </w:p>
        </w:tc>
        <w:tc>
          <w:tcPr>
            <w:tcW w:type="dxa" w:w="7257"/>
            <w:shd w:fill="F7F8F9"/>
            <w:vAlign w:val="top"/>
          </w:tcPr>
          <w:p>
            <w:pPr>
              <w:spacing w:after="0"/>
            </w:pPr>
            <w:r>
              <w:rPr>
                <w:sz w:val="14"/>
              </w:rPr>
              <w:t>Keyless external workload authentication</w:t>
            </w:r>
          </w:p>
        </w:tc>
      </w:tr>
      <w:tr>
        <w:tc>
          <w:tcPr>
            <w:tcW w:type="dxa" w:w="2381"/>
            <w:vAlign w:val="top"/>
          </w:tcPr>
          <w:p>
            <w:pPr>
              <w:spacing w:after="0"/>
            </w:pPr>
            <w:r>
              <w:rPr>
                <w:sz w:val="14"/>
              </w:rPr>
              <w:t>Enterprise architecture role</w:t>
            </w:r>
          </w:p>
        </w:tc>
        <w:tc>
          <w:tcPr>
            <w:tcW w:type="dxa" w:w="7257"/>
            <w:vAlign w:val="top"/>
          </w:tcPr>
          <w:p>
            <w:pPr>
              <w:spacing w:after="0"/>
            </w:pPr>
            <w:r>
              <w:rPr>
                <w:sz w:val="14"/>
              </w:rPr>
              <w:t>Trust bridge from GitHub and other CI systems to short-lived Google Cloud credentials</w:t>
            </w:r>
          </w:p>
        </w:tc>
      </w:tr>
      <w:tr>
        <w:tc>
          <w:tcPr>
            <w:tcW w:type="dxa" w:w="2381"/>
            <w:shd w:fill="F7F8F9"/>
            <w:vAlign w:val="top"/>
          </w:tcPr>
          <w:p>
            <w:pPr>
              <w:spacing w:after="0"/>
            </w:pPr>
            <w:r>
              <w:rPr>
                <w:sz w:val="14"/>
              </w:rPr>
              <w:t>Business capabilities supported</w:t>
            </w:r>
          </w:p>
        </w:tc>
        <w:tc>
          <w:tcPr>
            <w:tcW w:type="dxa" w:w="7257"/>
            <w:shd w:fill="F7F8F9"/>
            <w:vAlign w:val="top"/>
          </w:tcPr>
          <w:p>
            <w:pPr>
              <w:spacing w:after="0"/>
            </w:pPr>
            <w:r>
              <w:rPr>
                <w:sz w:val="14"/>
              </w:rPr>
              <w:t>Secure software and data delivery, controlled change, auditability, platform engineering and regulated release evidence.</w:t>
            </w:r>
          </w:p>
        </w:tc>
      </w:tr>
      <w:tr>
        <w:tc>
          <w:tcPr>
            <w:tcW w:type="dxa" w:w="2381"/>
            <w:vAlign w:val="top"/>
          </w:tcPr>
          <w:p>
            <w:pPr>
              <w:spacing w:after="0"/>
            </w:pPr>
            <w:r>
              <w:rPr>
                <w:sz w:val="14"/>
              </w:rPr>
              <w:t>Technical capabilities</w:t>
            </w:r>
          </w:p>
        </w:tc>
        <w:tc>
          <w:tcPr>
            <w:tcW w:type="dxa" w:w="7257"/>
            <w:vAlign w:val="top"/>
          </w:tcPr>
          <w:p>
            <w:pPr>
              <w:spacing w:after="0"/>
            </w:pPr>
            <w:r>
              <w:rPr>
                <w:sz w:val="14"/>
              </w:rPr>
              <w:t>Keyless external workload authentication integrated with IAM, logging, monitoring and Google Cloud resource controls.</w:t>
            </w:r>
          </w:p>
        </w:tc>
      </w:tr>
      <w:tr>
        <w:tc>
          <w:tcPr>
            <w:tcW w:type="dxa" w:w="2381"/>
            <w:shd w:fill="F7F8F9"/>
            <w:vAlign w:val="top"/>
          </w:tcPr>
          <w:p>
            <w:pPr>
              <w:spacing w:after="0"/>
            </w:pPr>
            <w:r>
              <w:rPr>
                <w:sz w:val="14"/>
              </w:rPr>
              <w:t>Benefits</w:t>
            </w:r>
          </w:p>
        </w:tc>
        <w:tc>
          <w:tcPr>
            <w:tcW w:type="dxa" w:w="7257"/>
            <w:shd w:fill="F7F8F9"/>
            <w:vAlign w:val="top"/>
          </w:tcPr>
          <w:p>
            <w:pPr>
              <w:spacing w:after="0"/>
            </w:pPr>
            <w:r>
              <w:rPr>
                <w:sz w:val="14"/>
              </w:rPr>
              <w:t>Managed integration, reduced undifferentiated operations, standard evidence and alignment with the inherited Google Cloud platform.</w:t>
            </w:r>
          </w:p>
        </w:tc>
      </w:tr>
      <w:tr>
        <w:tc>
          <w:tcPr>
            <w:tcW w:type="dxa" w:w="2381"/>
            <w:vAlign w:val="top"/>
          </w:tcPr>
          <w:p>
            <w:pPr>
              <w:spacing w:after="0"/>
            </w:pPr>
            <w:r>
              <w:rPr>
                <w:sz w:val="14"/>
              </w:rPr>
              <w:t>Limitations</w:t>
            </w:r>
          </w:p>
        </w:tc>
        <w:tc>
          <w:tcPr>
            <w:tcW w:type="dxa" w:w="7257"/>
            <w:vAlign w:val="top"/>
          </w:tcPr>
          <w:p>
            <w:pPr>
              <w:spacing w:after="0"/>
            </w:pPr>
            <w:r>
              <w:rPr>
                <w:sz w:val="14"/>
              </w:rPr>
              <w:t>Features, targets, quotas, locations, integrations and launch stages vary; some data assets require dedicated deployment lanes rather than application CD.</w:t>
            </w:r>
          </w:p>
        </w:tc>
      </w:tr>
      <w:tr>
        <w:tc>
          <w:tcPr>
            <w:tcW w:type="dxa" w:w="2381"/>
            <w:shd w:fill="F7F8F9"/>
            <w:vAlign w:val="top"/>
          </w:tcPr>
          <w:p>
            <w:pPr>
              <w:spacing w:after="0"/>
            </w:pPr>
            <w:r>
              <w:rPr>
                <w:sz w:val="14"/>
              </w:rPr>
              <w:t>Service quotas</w:t>
            </w:r>
          </w:p>
        </w:tc>
        <w:tc>
          <w:tcPr>
            <w:tcW w:type="dxa" w:w="7257"/>
            <w:shd w:fill="F7F8F9"/>
            <w:vAlign w:val="top"/>
          </w:tcPr>
          <w:p>
            <w:pPr>
              <w:spacing w:after="0"/>
            </w:pPr>
            <w:r>
              <w:rPr>
                <w:sz w:val="14"/>
              </w:rPr>
              <w:t>Validate project, regional, API, concurrency, storage and throughput quotas before scale rollout.</w:t>
            </w:r>
          </w:p>
        </w:tc>
      </w:tr>
      <w:tr>
        <w:tc>
          <w:tcPr>
            <w:tcW w:type="dxa" w:w="2381"/>
            <w:vAlign w:val="top"/>
          </w:tcPr>
          <w:p>
            <w:pPr>
              <w:spacing w:after="0"/>
            </w:pPr>
            <w:r>
              <w:rPr>
                <w:sz w:val="14"/>
              </w:rPr>
              <w:t>Regional availability considerations</w:t>
            </w:r>
          </w:p>
        </w:tc>
        <w:tc>
          <w:tcPr>
            <w:tcW w:type="dxa" w:w="7257"/>
            <w:vAlign w:val="top"/>
          </w:tcPr>
          <w:p>
            <w:pPr>
              <w:spacing w:after="0"/>
            </w:pPr>
            <w:r>
              <w:rPr>
                <w:sz w:val="14"/>
              </w:rPr>
              <w:t>Place regional resources such as private pools and repositories with the approved delivery/data plane; validate cross-region access and residency.</w:t>
            </w:r>
          </w:p>
        </w:tc>
      </w:tr>
      <w:tr>
        <w:tc>
          <w:tcPr>
            <w:tcW w:type="dxa" w:w="2381"/>
            <w:shd w:fill="F7F8F9"/>
            <w:vAlign w:val="top"/>
          </w:tcPr>
          <w:p>
            <w:pPr>
              <w:spacing w:after="0"/>
            </w:pPr>
            <w:r>
              <w:rPr>
                <w:sz w:val="14"/>
              </w:rPr>
              <w:t>High-availability characteristics</w:t>
            </w:r>
          </w:p>
        </w:tc>
        <w:tc>
          <w:tcPr>
            <w:tcW w:type="dxa" w:w="7257"/>
            <w:shd w:fill="F7F8F9"/>
            <w:vAlign w:val="top"/>
          </w:tcPr>
          <w:p>
            <w:pPr>
              <w:spacing w:after="0"/>
            </w:pPr>
            <w:r>
              <w:rPr>
                <w:sz w:val="14"/>
              </w:rPr>
              <w:t>Managed control planes reduce infrastructure operations; delivery workflows must tolerate API/transient failures and preserve source/artifacts for replay.</w:t>
            </w:r>
          </w:p>
        </w:tc>
      </w:tr>
      <w:tr>
        <w:tc>
          <w:tcPr>
            <w:tcW w:type="dxa" w:w="2381"/>
            <w:vAlign w:val="top"/>
          </w:tcPr>
          <w:p>
            <w:pPr>
              <w:spacing w:after="0"/>
            </w:pPr>
            <w:r>
              <w:rPr>
                <w:sz w:val="14"/>
              </w:rPr>
              <w:t>Disaster-recovery considerations</w:t>
            </w:r>
          </w:p>
        </w:tc>
        <w:tc>
          <w:tcPr>
            <w:tcW w:type="dxa" w:w="7257"/>
            <w:vAlign w:val="top"/>
          </w:tcPr>
          <w:p>
            <w:pPr>
              <w:spacing w:after="0"/>
            </w:pPr>
            <w:r>
              <w:rPr>
                <w:sz w:val="14"/>
              </w:rPr>
              <w:t>Back up source/configuration, replicate or rebuild artifact repositories where required, preserve provenance and test alternate build/deploy paths.</w:t>
            </w:r>
          </w:p>
        </w:tc>
      </w:tr>
      <w:tr>
        <w:tc>
          <w:tcPr>
            <w:tcW w:type="dxa" w:w="2381"/>
            <w:shd w:fill="F7F8F9"/>
            <w:vAlign w:val="top"/>
          </w:tcPr>
          <w:p>
            <w:pPr>
              <w:spacing w:after="0"/>
            </w:pPr>
            <w:r>
              <w:rPr>
                <w:sz w:val="14"/>
              </w:rPr>
              <w:t>Security model</w:t>
            </w:r>
          </w:p>
        </w:tc>
        <w:tc>
          <w:tcPr>
            <w:tcW w:type="dxa" w:w="7257"/>
            <w:shd w:fill="F7F8F9"/>
            <w:vAlign w:val="top"/>
          </w:tcPr>
          <w:p>
            <w:pPr>
              <w:spacing w:after="0"/>
            </w:pPr>
            <w:r>
              <w:rPr>
                <w:sz w:val="14"/>
              </w:rPr>
              <w:t>IAM, workload identity, protected repositories/environments, least privilege, private network access and immutable audit evidence.</w:t>
            </w:r>
          </w:p>
        </w:tc>
      </w:tr>
      <w:tr>
        <w:tc>
          <w:tcPr>
            <w:tcW w:type="dxa" w:w="2381"/>
            <w:vAlign w:val="top"/>
          </w:tcPr>
          <w:p>
            <w:pPr>
              <w:spacing w:after="0"/>
            </w:pPr>
            <w:r>
              <w:rPr>
                <w:sz w:val="14"/>
              </w:rPr>
              <w:t>IAM requirements</w:t>
            </w:r>
          </w:p>
        </w:tc>
        <w:tc>
          <w:tcPr>
            <w:tcW w:type="dxa" w:w="7257"/>
            <w:vAlign w:val="top"/>
          </w:tcPr>
          <w:p>
            <w:pPr>
              <w:spacing w:after="0"/>
            </w:pPr>
            <w:r>
              <w:rPr>
                <w:sz w:val="14"/>
              </w:rPr>
              <w:t>Separate source admin, workflow identity, build identity, artifact writer, deployer, approver and runtime identities.</w:t>
            </w:r>
          </w:p>
        </w:tc>
      </w:tr>
      <w:tr>
        <w:tc>
          <w:tcPr>
            <w:tcW w:type="dxa" w:w="2381"/>
            <w:shd w:fill="F7F8F9"/>
            <w:vAlign w:val="top"/>
          </w:tcPr>
          <w:p>
            <w:pPr>
              <w:spacing w:after="0"/>
            </w:pPr>
            <w:r>
              <w:rPr>
                <w:sz w:val="14"/>
              </w:rPr>
              <w:t>Network requirements</w:t>
            </w:r>
          </w:p>
        </w:tc>
        <w:tc>
          <w:tcPr>
            <w:tcW w:type="dxa" w:w="7257"/>
            <w:shd w:fill="F7F8F9"/>
            <w:vAlign w:val="top"/>
          </w:tcPr>
          <w:p>
            <w:pPr>
              <w:spacing w:after="0"/>
            </w:pPr>
            <w:r>
              <w:rPr>
                <w:sz w:val="14"/>
              </w:rPr>
              <w:t>Private pools or approved runners, Private Google Access/PSC where supported and controlled egress for dependencies.</w:t>
            </w:r>
          </w:p>
        </w:tc>
      </w:tr>
      <w:tr>
        <w:tc>
          <w:tcPr>
            <w:tcW w:type="dxa" w:w="2381"/>
            <w:vAlign w:val="top"/>
          </w:tcPr>
          <w:p>
            <w:pPr>
              <w:spacing w:after="0"/>
            </w:pPr>
            <w:r>
              <w:rPr>
                <w:sz w:val="14"/>
              </w:rPr>
              <w:t>VPC Service Controls considerations</w:t>
            </w:r>
          </w:p>
        </w:tc>
        <w:tc>
          <w:tcPr>
            <w:tcW w:type="dxa" w:w="7257"/>
            <w:vAlign w:val="top"/>
          </w:tcPr>
          <w:p>
            <w:pPr>
              <w:spacing w:after="0"/>
            </w:pPr>
            <w:r>
              <w:rPr>
                <w:sz w:val="14"/>
              </w:rPr>
              <w:t>Validate service support and ingress/egress dependencies; GitHub is outside the perimeter and must use WIF and narrowly authorized APIs.</w:t>
            </w:r>
          </w:p>
        </w:tc>
      </w:tr>
      <w:tr>
        <w:tc>
          <w:tcPr>
            <w:tcW w:type="dxa" w:w="2381"/>
            <w:shd w:fill="F7F8F9"/>
            <w:vAlign w:val="top"/>
          </w:tcPr>
          <w:p>
            <w:pPr>
              <w:spacing w:after="0"/>
            </w:pPr>
            <w:r>
              <w:rPr>
                <w:sz w:val="14"/>
              </w:rPr>
              <w:t>Encryption capabilities</w:t>
            </w:r>
          </w:p>
        </w:tc>
        <w:tc>
          <w:tcPr>
            <w:tcW w:type="dxa" w:w="7257"/>
            <w:shd w:fill="F7F8F9"/>
            <w:vAlign w:val="top"/>
          </w:tcPr>
          <w:p>
            <w:pPr>
              <w:spacing w:after="0"/>
            </w:pPr>
            <w:r>
              <w:rPr>
                <w:sz w:val="14"/>
              </w:rPr>
              <w:t>Google-managed encryption by default and TLS in transit; protect evidence, artifacts and configuration.</w:t>
            </w:r>
          </w:p>
        </w:tc>
      </w:tr>
      <w:tr>
        <w:tc>
          <w:tcPr>
            <w:tcW w:type="dxa" w:w="2381"/>
            <w:vAlign w:val="top"/>
          </w:tcPr>
          <w:p>
            <w:pPr>
              <w:spacing w:after="0"/>
            </w:pPr>
            <w:r>
              <w:rPr>
                <w:sz w:val="14"/>
              </w:rPr>
              <w:t>CMEK support</w:t>
            </w:r>
          </w:p>
        </w:tc>
        <w:tc>
          <w:tcPr>
            <w:tcW w:type="dxa" w:w="7257"/>
            <w:vAlign w:val="top"/>
          </w:tcPr>
          <w:p>
            <w:pPr>
              <w:spacing w:after="0"/>
            </w:pPr>
            <w:r>
              <w:rPr>
                <w:sz w:val="14"/>
              </w:rPr>
              <w:t>Use where required and supported, especially repositories/build resources; validate resource/location and service-agent permissions.</w:t>
            </w:r>
          </w:p>
        </w:tc>
      </w:tr>
      <w:tr>
        <w:tc>
          <w:tcPr>
            <w:tcW w:type="dxa" w:w="2381"/>
            <w:shd w:fill="F7F8F9"/>
            <w:vAlign w:val="top"/>
          </w:tcPr>
          <w:p>
            <w:pPr>
              <w:spacing w:after="0"/>
            </w:pPr>
            <w:r>
              <w:rPr>
                <w:sz w:val="14"/>
              </w:rPr>
              <w:t>Logging</w:t>
            </w:r>
          </w:p>
        </w:tc>
        <w:tc>
          <w:tcPr>
            <w:tcW w:type="dxa" w:w="7257"/>
            <w:shd w:fill="F7F8F9"/>
            <w:vAlign w:val="top"/>
          </w:tcPr>
          <w:p>
            <w:pPr>
              <w:spacing w:after="0"/>
            </w:pPr>
            <w:r>
              <w:rPr>
                <w:sz w:val="14"/>
              </w:rPr>
              <w:t>Enable audit, workflow, build, artifact and rollout logs; exclude secrets and sensitive payloads.</w:t>
            </w:r>
          </w:p>
        </w:tc>
      </w:tr>
      <w:tr>
        <w:tc>
          <w:tcPr>
            <w:tcW w:type="dxa" w:w="2381"/>
            <w:vAlign w:val="top"/>
          </w:tcPr>
          <w:p>
            <w:pPr>
              <w:spacing w:after="0"/>
            </w:pPr>
            <w:r>
              <w:rPr>
                <w:sz w:val="14"/>
              </w:rPr>
              <w:t>Monitoring</w:t>
            </w:r>
          </w:p>
        </w:tc>
        <w:tc>
          <w:tcPr>
            <w:tcW w:type="dxa" w:w="7257"/>
            <w:vAlign w:val="top"/>
          </w:tcPr>
          <w:p>
            <w:pPr>
              <w:spacing w:after="0"/>
            </w:pPr>
            <w:r>
              <w:rPr>
                <w:sz w:val="14"/>
              </w:rPr>
              <w:t>Track workflow/build/rollout success, duration, queue, policy failures, artifact age, vulnerabilities and release outcomes.</w:t>
            </w:r>
          </w:p>
        </w:tc>
      </w:tr>
      <w:tr>
        <w:tc>
          <w:tcPr>
            <w:tcW w:type="dxa" w:w="2381"/>
            <w:shd w:fill="F7F8F9"/>
            <w:vAlign w:val="top"/>
          </w:tcPr>
          <w:p>
            <w:pPr>
              <w:spacing w:after="0"/>
            </w:pPr>
            <w:r>
              <w:rPr>
                <w:sz w:val="14"/>
              </w:rPr>
              <w:t>Alerting</w:t>
            </w:r>
          </w:p>
        </w:tc>
        <w:tc>
          <w:tcPr>
            <w:tcW w:type="dxa" w:w="7257"/>
            <w:shd w:fill="F7F8F9"/>
            <w:vAlign w:val="top"/>
          </w:tcPr>
          <w:p>
            <w:pPr>
              <w:spacing w:after="0"/>
            </w:pPr>
            <w:r>
              <w:rPr>
                <w:sz w:val="14"/>
              </w:rPr>
              <w:t>Page only for production-impacting or supply-chain security events; route failed builds and policy trends to owners.</w:t>
            </w:r>
          </w:p>
        </w:tc>
      </w:tr>
      <w:tr>
        <w:tc>
          <w:tcPr>
            <w:tcW w:type="dxa" w:w="2381"/>
            <w:vAlign w:val="top"/>
          </w:tcPr>
          <w:p>
            <w:pPr>
              <w:spacing w:after="0"/>
            </w:pPr>
            <w:r>
              <w:rPr>
                <w:sz w:val="14"/>
              </w:rPr>
              <w:t>Cost drivers</w:t>
            </w:r>
          </w:p>
        </w:tc>
        <w:tc>
          <w:tcPr>
            <w:tcW w:type="dxa" w:w="7257"/>
            <w:vAlign w:val="top"/>
          </w:tcPr>
          <w:p>
            <w:pPr>
              <w:spacing w:after="0"/>
            </w:pPr>
            <w:r>
              <w:rPr>
                <w:sz w:val="14"/>
              </w:rPr>
              <w:t>Workflow minutes/runners, private build workers, storage, scanning, network, verification jobs and logging.</w:t>
            </w:r>
          </w:p>
        </w:tc>
      </w:tr>
      <w:tr>
        <w:tc>
          <w:tcPr>
            <w:tcW w:type="dxa" w:w="2381"/>
            <w:shd w:fill="F7F8F9"/>
            <w:vAlign w:val="top"/>
          </w:tcPr>
          <w:p>
            <w:pPr>
              <w:spacing w:after="0"/>
            </w:pPr>
            <w:r>
              <w:rPr>
                <w:sz w:val="14"/>
              </w:rPr>
              <w:t>Cost-optimization techniques</w:t>
            </w:r>
          </w:p>
        </w:tc>
        <w:tc>
          <w:tcPr>
            <w:tcW w:type="dxa" w:w="7257"/>
            <w:shd w:fill="F7F8F9"/>
            <w:vAlign w:val="top"/>
          </w:tcPr>
          <w:p>
            <w:pPr>
              <w:spacing w:after="0"/>
            </w:pPr>
            <w:r>
              <w:rPr>
                <w:sz w:val="14"/>
              </w:rPr>
              <w:t>Cache safely, right-size private pools, avoid duplicate rebuilds, apply cleanup policies and limit noisy logs without weakening evidence.</w:t>
            </w:r>
          </w:p>
        </w:tc>
      </w:tr>
      <w:tr>
        <w:tc>
          <w:tcPr>
            <w:tcW w:type="dxa" w:w="2381"/>
            <w:vAlign w:val="top"/>
          </w:tcPr>
          <w:p>
            <w:pPr>
              <w:spacing w:after="0"/>
            </w:pPr>
            <w:r>
              <w:rPr>
                <w:sz w:val="14"/>
              </w:rPr>
              <w:t>Operational responsibilities</w:t>
            </w:r>
          </w:p>
        </w:tc>
        <w:tc>
          <w:tcPr>
            <w:tcW w:type="dxa" w:w="7257"/>
            <w:vAlign w:val="top"/>
          </w:tcPr>
          <w:p>
            <w:pPr>
              <w:spacing w:after="0"/>
            </w:pPr>
            <w:r>
              <w:rPr>
                <w:sz w:val="14"/>
              </w:rPr>
              <w:t>Platform DevSecOps owns golden paths; product teams own code/tests and release outcomes; security owns policy; SRE owns production rollout/rollback practice.</w:t>
            </w:r>
          </w:p>
        </w:tc>
      </w:tr>
      <w:tr>
        <w:tc>
          <w:tcPr>
            <w:tcW w:type="dxa" w:w="2381"/>
            <w:shd w:fill="F7F8F9"/>
            <w:vAlign w:val="top"/>
          </w:tcPr>
          <w:p>
            <w:pPr>
              <w:spacing w:after="0"/>
            </w:pPr>
            <w:r>
              <w:rPr>
                <w:sz w:val="14"/>
              </w:rPr>
              <w:t>Integration points</w:t>
            </w:r>
          </w:p>
        </w:tc>
        <w:tc>
          <w:tcPr>
            <w:tcW w:type="dxa" w:w="7257"/>
            <w:shd w:fill="F7F8F9"/>
            <w:vAlign w:val="top"/>
          </w:tcPr>
          <w:p>
            <w:pPr>
              <w:spacing w:after="0"/>
            </w:pPr>
            <w:r>
              <w:rPr>
                <w:sz w:val="14"/>
              </w:rPr>
              <w:t>GitHub, IAM/WIF, Cloud Build, Artifact Registry, Cloud Deploy, Binary Authorization, Security Command Center, Monitoring, Terraform and target services.</w:t>
            </w:r>
          </w:p>
        </w:tc>
      </w:tr>
      <w:tr>
        <w:tc>
          <w:tcPr>
            <w:tcW w:type="dxa" w:w="2381"/>
            <w:vAlign w:val="top"/>
          </w:tcPr>
          <w:p>
            <w:pPr>
              <w:spacing w:after="0"/>
            </w:pPr>
            <w:r>
              <w:rPr>
                <w:sz w:val="14"/>
              </w:rPr>
              <w:t>Alternatives</w:t>
            </w:r>
          </w:p>
        </w:tc>
        <w:tc>
          <w:tcPr>
            <w:tcW w:type="dxa" w:w="7257"/>
            <w:vAlign w:val="top"/>
          </w:tcPr>
          <w:p>
            <w:pPr>
              <w:spacing w:after="0"/>
            </w:pPr>
            <w:r>
              <w:rPr>
                <w:sz w:val="14"/>
              </w:rPr>
              <w:t>GitLab/Jenkins/Azure DevOps, third-party registries/deployment tools or custom pipelines when approved requirements are unmet.</w:t>
            </w:r>
          </w:p>
        </w:tc>
      </w:tr>
      <w:tr>
        <w:tc>
          <w:tcPr>
            <w:tcW w:type="dxa" w:w="2381"/>
            <w:shd w:fill="F7F8F9"/>
            <w:vAlign w:val="top"/>
          </w:tcPr>
          <w:p>
            <w:pPr>
              <w:spacing w:after="0"/>
            </w:pPr>
            <w:r>
              <w:rPr>
                <w:sz w:val="14"/>
              </w:rPr>
              <w:t>Selection criteria</w:t>
            </w:r>
          </w:p>
        </w:tc>
        <w:tc>
          <w:tcPr>
            <w:tcW w:type="dxa" w:w="7257"/>
            <w:shd w:fill="F7F8F9"/>
            <w:vAlign w:val="top"/>
          </w:tcPr>
          <w:p>
            <w:pPr>
              <w:spacing w:after="0"/>
            </w:pPr>
            <w:r>
              <w:rPr>
                <w:sz w:val="14"/>
              </w:rPr>
              <w:t>Source governance, identity, network, artifact type, target support, regulated evidence, progressive delivery, operability and cost.</w:t>
            </w:r>
          </w:p>
        </w:tc>
      </w:tr>
      <w:tr>
        <w:tc>
          <w:tcPr>
            <w:tcW w:type="dxa" w:w="2381"/>
            <w:vAlign w:val="top"/>
          </w:tcPr>
          <w:p>
            <w:pPr>
              <w:spacing w:after="0"/>
            </w:pPr>
            <w:r>
              <w:rPr>
                <w:sz w:val="14"/>
              </w:rPr>
              <w:t>Best practices</w:t>
            </w:r>
          </w:p>
        </w:tc>
        <w:tc>
          <w:tcPr>
            <w:tcW w:type="dxa" w:w="7257"/>
            <w:vAlign w:val="top"/>
          </w:tcPr>
          <w:p>
            <w:pPr>
              <w:spacing w:after="0"/>
            </w:pPr>
            <w:r>
              <w:rPr>
                <w:sz w:val="14"/>
              </w:rPr>
              <w:t>Keyless identity, immutable digests, pinned dependencies, isolated builds, policy gates, same-artifact promotion, independent approval and tested rollback.</w:t>
            </w:r>
          </w:p>
        </w:tc>
      </w:tr>
      <w:tr>
        <w:tc>
          <w:tcPr>
            <w:tcW w:type="dxa" w:w="2381"/>
            <w:shd w:fill="F7F8F9"/>
            <w:vAlign w:val="top"/>
          </w:tcPr>
          <w:p>
            <w:pPr>
              <w:spacing w:after="0"/>
            </w:pPr>
            <w:r>
              <w:rPr>
                <w:sz w:val="14"/>
              </w:rPr>
              <w:t>Reference architecture</w:t>
            </w:r>
          </w:p>
        </w:tc>
        <w:tc>
          <w:tcPr>
            <w:tcW w:type="dxa" w:w="7257"/>
            <w:shd w:fill="F7F8F9"/>
            <w:vAlign w:val="top"/>
          </w:tcPr>
          <w:p>
            <w:pPr>
              <w:spacing w:after="0"/>
            </w:pPr>
            <w:r>
              <w:rPr>
                <w:sz w:val="14"/>
              </w:rPr>
              <w:t>GitHub -&gt; PR checks -&gt; WIF -&gt; Cloud Build -&gt; Artifact Registry -&gt; policy/attestation -&gt; target-specific deployment -&gt; monitoring/rollback.</w:t>
            </w:r>
          </w:p>
        </w:tc>
      </w:tr>
      <w:tr>
        <w:tc>
          <w:tcPr>
            <w:tcW w:type="dxa" w:w="2381"/>
            <w:vAlign w:val="top"/>
          </w:tcPr>
          <w:p>
            <w:pPr>
              <w:spacing w:after="0"/>
            </w:pPr>
            <w:r>
              <w:rPr>
                <w:sz w:val="14"/>
              </w:rPr>
              <w:t>Sample configuration</w:t>
            </w:r>
          </w:p>
        </w:tc>
        <w:tc>
          <w:tcPr>
            <w:tcW w:type="dxa" w:w="7257"/>
            <w:vAlign w:val="top"/>
          </w:tcPr>
          <w:p>
            <w:pPr>
              <w:spacing w:after="0"/>
            </w:pPr>
            <w:r>
              <w:rPr>
                <w:sz w:val="14"/>
              </w:rPr>
              <w:t>See examples folders; validate exact action versions, API schema and provider arguments before production use.</w:t>
            </w:r>
          </w:p>
        </w:tc>
      </w:tr>
      <w:tr>
        <w:tc>
          <w:tcPr>
            <w:tcW w:type="dxa" w:w="2381"/>
            <w:shd w:fill="F7F8F9"/>
            <w:vAlign w:val="top"/>
          </w:tcPr>
          <w:p>
            <w:pPr>
              <w:spacing w:after="0"/>
            </w:pPr>
            <w:r>
              <w:rPr>
                <w:sz w:val="14"/>
              </w:rPr>
              <w:t>Common pitfalls</w:t>
            </w:r>
          </w:p>
        </w:tc>
        <w:tc>
          <w:tcPr>
            <w:tcW w:type="dxa" w:w="7257"/>
            <w:shd w:fill="F7F8F9"/>
            <w:vAlign w:val="top"/>
          </w:tcPr>
          <w:p>
            <w:pPr>
              <w:spacing w:after="0"/>
            </w:pPr>
            <w:r>
              <w:rPr>
                <w:sz w:val="14"/>
              </w:rPr>
              <w:t>Long-lived keys, mutable tags, unpinned actions, broad service accounts, rebuild per environment, unmanaged console deployment and absent rollback evidence.</w:t>
            </w:r>
          </w:p>
        </w:tc>
      </w:tr>
      <w:tr>
        <w:tc>
          <w:tcPr>
            <w:tcW w:type="dxa" w:w="2381"/>
            <w:vAlign w:val="top"/>
          </w:tcPr>
          <w:p>
            <w:pPr>
              <w:spacing w:after="0"/>
            </w:pPr>
            <w:r>
              <w:rPr>
                <w:sz w:val="14"/>
              </w:rPr>
              <w:t>Anti-patterns</w:t>
            </w:r>
          </w:p>
        </w:tc>
        <w:tc>
          <w:tcPr>
            <w:tcW w:type="dxa" w:w="7257"/>
            <w:vAlign w:val="top"/>
          </w:tcPr>
          <w:p>
            <w:pPr>
              <w:spacing w:after="0"/>
            </w:pPr>
            <w:r>
              <w:rPr>
                <w:sz w:val="14"/>
              </w:rPr>
              <w:t>CI identity is project owner; production deployment from developer laptop; secret in repository; latest tag; approval by code author only.</w:t>
            </w:r>
          </w:p>
        </w:tc>
      </w:tr>
      <w:tr>
        <w:tc>
          <w:tcPr>
            <w:tcW w:type="dxa" w:w="2381"/>
            <w:shd w:fill="F7F8F9"/>
            <w:vAlign w:val="top"/>
          </w:tcPr>
          <w:p>
            <w:pPr>
              <w:spacing w:after="0"/>
            </w:pPr>
            <w:r>
              <w:rPr>
                <w:sz w:val="14"/>
              </w:rPr>
              <w:t>Production-readiness checklist</w:t>
            </w:r>
          </w:p>
        </w:tc>
        <w:tc>
          <w:tcPr>
            <w:tcW w:type="dxa" w:w="7257"/>
            <w:shd w:fill="F7F8F9"/>
            <w:vAlign w:val="top"/>
          </w:tcPr>
          <w:p>
            <w:pPr>
              <w:spacing w:after="0"/>
            </w:pPr>
            <w:r>
              <w:rPr>
                <w:sz w:val="14"/>
              </w:rPr>
              <w:t>Repository controls; WIF; IAM separation; private build path; scans; immutable artifact; provenance; target approval; verification; rollback; metrics and retention.</w:t>
            </w:r>
          </w:p>
        </w:tc>
      </w:tr>
    </w:tbl>
    <w:p>
      <w:pPr>
        <w:spacing w:after="0"/>
      </w:pPr>
    </w:p>
    <w:p>
      <w:r>
        <w:br w:type="page"/>
      </w:r>
    </w:p>
    <w:p>
      <w:pPr>
        <w:pStyle w:val="Heading2"/>
      </w:pPr>
      <w:r>
        <w:t>28.6 Artifact Analysis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Assessment field</w:t>
            </w:r>
          </w:p>
        </w:tc>
        <w:tc>
          <w:tcPr>
            <w:tcW w:type="dxa" w:w="7257"/>
            <w:shd w:fill="174EA6"/>
          </w:tcPr>
          <w:p>
            <w:pPr>
              <w:spacing w:after="0"/>
            </w:pPr>
            <w:r>
              <w:rPr>
                <w:b/>
                <w:color w:val="FFFFFF"/>
                <w:sz w:val="14"/>
              </w:rPr>
              <w:t>Enterprise guidance</w:t>
            </w:r>
          </w:p>
        </w:tc>
      </w:tr>
      <w:tr>
        <w:tc>
          <w:tcPr>
            <w:tcW w:type="dxa" w:w="2381"/>
            <w:vAlign w:val="top"/>
          </w:tcPr>
          <w:p>
            <w:pPr>
              <w:spacing w:after="0"/>
            </w:pPr>
            <w:r>
              <w:rPr>
                <w:sz w:val="14"/>
              </w:rPr>
              <w:t>Service name</w:t>
            </w:r>
          </w:p>
        </w:tc>
        <w:tc>
          <w:tcPr>
            <w:tcW w:type="dxa" w:w="7257"/>
            <w:vAlign w:val="top"/>
          </w:tcPr>
          <w:p>
            <w:pPr>
              <w:spacing w:after="0"/>
            </w:pPr>
            <w:r>
              <w:rPr>
                <w:sz w:val="14"/>
              </w:rPr>
              <w:t>Artifact Analysis</w:t>
            </w:r>
          </w:p>
        </w:tc>
      </w:tr>
      <w:tr>
        <w:tc>
          <w:tcPr>
            <w:tcW w:type="dxa" w:w="2381"/>
            <w:shd w:fill="F7F8F9"/>
            <w:vAlign w:val="top"/>
          </w:tcPr>
          <w:p>
            <w:pPr>
              <w:spacing w:after="0"/>
            </w:pPr>
            <w:r>
              <w:rPr>
                <w:sz w:val="14"/>
              </w:rPr>
              <w:t>Purpose</w:t>
            </w:r>
          </w:p>
        </w:tc>
        <w:tc>
          <w:tcPr>
            <w:tcW w:type="dxa" w:w="7257"/>
            <w:shd w:fill="F7F8F9"/>
            <w:vAlign w:val="top"/>
          </w:tcPr>
          <w:p>
            <w:pPr>
              <w:spacing w:after="0"/>
            </w:pPr>
            <w:r>
              <w:rPr>
                <w:sz w:val="14"/>
              </w:rPr>
              <w:t>Vulnerability and package analysis</w:t>
            </w:r>
          </w:p>
        </w:tc>
      </w:tr>
      <w:tr>
        <w:tc>
          <w:tcPr>
            <w:tcW w:type="dxa" w:w="2381"/>
            <w:vAlign w:val="top"/>
          </w:tcPr>
          <w:p>
            <w:pPr>
              <w:spacing w:after="0"/>
            </w:pPr>
            <w:r>
              <w:rPr>
                <w:sz w:val="14"/>
              </w:rPr>
              <w:t>Enterprise architecture role</w:t>
            </w:r>
          </w:p>
        </w:tc>
        <w:tc>
          <w:tcPr>
            <w:tcW w:type="dxa" w:w="7257"/>
            <w:vAlign w:val="top"/>
          </w:tcPr>
          <w:p>
            <w:pPr>
              <w:spacing w:after="0"/>
            </w:pPr>
            <w:r>
              <w:rPr>
                <w:sz w:val="14"/>
              </w:rPr>
              <w:t>Automated vulnerability evidence for artifacts in Artifact Registry</w:t>
            </w:r>
          </w:p>
        </w:tc>
      </w:tr>
      <w:tr>
        <w:tc>
          <w:tcPr>
            <w:tcW w:type="dxa" w:w="2381"/>
            <w:shd w:fill="F7F8F9"/>
            <w:vAlign w:val="top"/>
          </w:tcPr>
          <w:p>
            <w:pPr>
              <w:spacing w:after="0"/>
            </w:pPr>
            <w:r>
              <w:rPr>
                <w:sz w:val="14"/>
              </w:rPr>
              <w:t>Business capabilities supported</w:t>
            </w:r>
          </w:p>
        </w:tc>
        <w:tc>
          <w:tcPr>
            <w:tcW w:type="dxa" w:w="7257"/>
            <w:shd w:fill="F7F8F9"/>
            <w:vAlign w:val="top"/>
          </w:tcPr>
          <w:p>
            <w:pPr>
              <w:spacing w:after="0"/>
            </w:pPr>
            <w:r>
              <w:rPr>
                <w:sz w:val="14"/>
              </w:rPr>
              <w:t>Secure software and data delivery, controlled change, auditability, platform engineering and regulated release evidence.</w:t>
            </w:r>
          </w:p>
        </w:tc>
      </w:tr>
      <w:tr>
        <w:tc>
          <w:tcPr>
            <w:tcW w:type="dxa" w:w="2381"/>
            <w:vAlign w:val="top"/>
          </w:tcPr>
          <w:p>
            <w:pPr>
              <w:spacing w:after="0"/>
            </w:pPr>
            <w:r>
              <w:rPr>
                <w:sz w:val="14"/>
              </w:rPr>
              <w:t>Technical capabilities</w:t>
            </w:r>
          </w:p>
        </w:tc>
        <w:tc>
          <w:tcPr>
            <w:tcW w:type="dxa" w:w="7257"/>
            <w:vAlign w:val="top"/>
          </w:tcPr>
          <w:p>
            <w:pPr>
              <w:spacing w:after="0"/>
            </w:pPr>
            <w:r>
              <w:rPr>
                <w:sz w:val="14"/>
              </w:rPr>
              <w:t>Vulnerability and package analysis integrated with IAM, logging, monitoring and Google Cloud resource controls.</w:t>
            </w:r>
          </w:p>
        </w:tc>
      </w:tr>
      <w:tr>
        <w:tc>
          <w:tcPr>
            <w:tcW w:type="dxa" w:w="2381"/>
            <w:shd w:fill="F7F8F9"/>
            <w:vAlign w:val="top"/>
          </w:tcPr>
          <w:p>
            <w:pPr>
              <w:spacing w:after="0"/>
            </w:pPr>
            <w:r>
              <w:rPr>
                <w:sz w:val="14"/>
              </w:rPr>
              <w:t>Benefits</w:t>
            </w:r>
          </w:p>
        </w:tc>
        <w:tc>
          <w:tcPr>
            <w:tcW w:type="dxa" w:w="7257"/>
            <w:shd w:fill="F7F8F9"/>
            <w:vAlign w:val="top"/>
          </w:tcPr>
          <w:p>
            <w:pPr>
              <w:spacing w:after="0"/>
            </w:pPr>
            <w:r>
              <w:rPr>
                <w:sz w:val="14"/>
              </w:rPr>
              <w:t>Managed integration, reduced undifferentiated operations, standard evidence and alignment with the inherited Google Cloud platform.</w:t>
            </w:r>
          </w:p>
        </w:tc>
      </w:tr>
      <w:tr>
        <w:tc>
          <w:tcPr>
            <w:tcW w:type="dxa" w:w="2381"/>
            <w:vAlign w:val="top"/>
          </w:tcPr>
          <w:p>
            <w:pPr>
              <w:spacing w:after="0"/>
            </w:pPr>
            <w:r>
              <w:rPr>
                <w:sz w:val="14"/>
              </w:rPr>
              <w:t>Limitations</w:t>
            </w:r>
          </w:p>
        </w:tc>
        <w:tc>
          <w:tcPr>
            <w:tcW w:type="dxa" w:w="7257"/>
            <w:vAlign w:val="top"/>
          </w:tcPr>
          <w:p>
            <w:pPr>
              <w:spacing w:after="0"/>
            </w:pPr>
            <w:r>
              <w:rPr>
                <w:sz w:val="14"/>
              </w:rPr>
              <w:t>Features, targets, quotas, locations, integrations and launch stages vary; some data assets require dedicated deployment lanes rather than application CD.</w:t>
            </w:r>
          </w:p>
        </w:tc>
      </w:tr>
      <w:tr>
        <w:tc>
          <w:tcPr>
            <w:tcW w:type="dxa" w:w="2381"/>
            <w:shd w:fill="F7F8F9"/>
            <w:vAlign w:val="top"/>
          </w:tcPr>
          <w:p>
            <w:pPr>
              <w:spacing w:after="0"/>
            </w:pPr>
            <w:r>
              <w:rPr>
                <w:sz w:val="14"/>
              </w:rPr>
              <w:t>Service quotas</w:t>
            </w:r>
          </w:p>
        </w:tc>
        <w:tc>
          <w:tcPr>
            <w:tcW w:type="dxa" w:w="7257"/>
            <w:shd w:fill="F7F8F9"/>
            <w:vAlign w:val="top"/>
          </w:tcPr>
          <w:p>
            <w:pPr>
              <w:spacing w:after="0"/>
            </w:pPr>
            <w:r>
              <w:rPr>
                <w:sz w:val="14"/>
              </w:rPr>
              <w:t>Validate project, regional, API, concurrency, storage and throughput quotas before scale rollout.</w:t>
            </w:r>
          </w:p>
        </w:tc>
      </w:tr>
      <w:tr>
        <w:tc>
          <w:tcPr>
            <w:tcW w:type="dxa" w:w="2381"/>
            <w:vAlign w:val="top"/>
          </w:tcPr>
          <w:p>
            <w:pPr>
              <w:spacing w:after="0"/>
            </w:pPr>
            <w:r>
              <w:rPr>
                <w:sz w:val="14"/>
              </w:rPr>
              <w:t>Regional availability considerations</w:t>
            </w:r>
          </w:p>
        </w:tc>
        <w:tc>
          <w:tcPr>
            <w:tcW w:type="dxa" w:w="7257"/>
            <w:vAlign w:val="top"/>
          </w:tcPr>
          <w:p>
            <w:pPr>
              <w:spacing w:after="0"/>
            </w:pPr>
            <w:r>
              <w:rPr>
                <w:sz w:val="14"/>
              </w:rPr>
              <w:t>Place regional resources such as private pools and repositories with the approved delivery/data plane; validate cross-region access and residency.</w:t>
            </w:r>
          </w:p>
        </w:tc>
      </w:tr>
      <w:tr>
        <w:tc>
          <w:tcPr>
            <w:tcW w:type="dxa" w:w="2381"/>
            <w:shd w:fill="F7F8F9"/>
            <w:vAlign w:val="top"/>
          </w:tcPr>
          <w:p>
            <w:pPr>
              <w:spacing w:after="0"/>
            </w:pPr>
            <w:r>
              <w:rPr>
                <w:sz w:val="14"/>
              </w:rPr>
              <w:t>High-availability characteristics</w:t>
            </w:r>
          </w:p>
        </w:tc>
        <w:tc>
          <w:tcPr>
            <w:tcW w:type="dxa" w:w="7257"/>
            <w:shd w:fill="F7F8F9"/>
            <w:vAlign w:val="top"/>
          </w:tcPr>
          <w:p>
            <w:pPr>
              <w:spacing w:after="0"/>
            </w:pPr>
            <w:r>
              <w:rPr>
                <w:sz w:val="14"/>
              </w:rPr>
              <w:t>Managed control planes reduce infrastructure operations; delivery workflows must tolerate API/transient failures and preserve source/artifacts for replay.</w:t>
            </w:r>
          </w:p>
        </w:tc>
      </w:tr>
      <w:tr>
        <w:tc>
          <w:tcPr>
            <w:tcW w:type="dxa" w:w="2381"/>
            <w:vAlign w:val="top"/>
          </w:tcPr>
          <w:p>
            <w:pPr>
              <w:spacing w:after="0"/>
            </w:pPr>
            <w:r>
              <w:rPr>
                <w:sz w:val="14"/>
              </w:rPr>
              <w:t>Disaster-recovery considerations</w:t>
            </w:r>
          </w:p>
        </w:tc>
        <w:tc>
          <w:tcPr>
            <w:tcW w:type="dxa" w:w="7257"/>
            <w:vAlign w:val="top"/>
          </w:tcPr>
          <w:p>
            <w:pPr>
              <w:spacing w:after="0"/>
            </w:pPr>
            <w:r>
              <w:rPr>
                <w:sz w:val="14"/>
              </w:rPr>
              <w:t>Back up source/configuration, replicate or rebuild artifact repositories where required, preserve provenance and test alternate build/deploy paths.</w:t>
            </w:r>
          </w:p>
        </w:tc>
      </w:tr>
      <w:tr>
        <w:tc>
          <w:tcPr>
            <w:tcW w:type="dxa" w:w="2381"/>
            <w:shd w:fill="F7F8F9"/>
            <w:vAlign w:val="top"/>
          </w:tcPr>
          <w:p>
            <w:pPr>
              <w:spacing w:after="0"/>
            </w:pPr>
            <w:r>
              <w:rPr>
                <w:sz w:val="14"/>
              </w:rPr>
              <w:t>Security model</w:t>
            </w:r>
          </w:p>
        </w:tc>
        <w:tc>
          <w:tcPr>
            <w:tcW w:type="dxa" w:w="7257"/>
            <w:shd w:fill="F7F8F9"/>
            <w:vAlign w:val="top"/>
          </w:tcPr>
          <w:p>
            <w:pPr>
              <w:spacing w:after="0"/>
            </w:pPr>
            <w:r>
              <w:rPr>
                <w:sz w:val="14"/>
              </w:rPr>
              <w:t>IAM, workload identity, protected repositories/environments, least privilege, private network access and immutable audit evidence.</w:t>
            </w:r>
          </w:p>
        </w:tc>
      </w:tr>
      <w:tr>
        <w:tc>
          <w:tcPr>
            <w:tcW w:type="dxa" w:w="2381"/>
            <w:vAlign w:val="top"/>
          </w:tcPr>
          <w:p>
            <w:pPr>
              <w:spacing w:after="0"/>
            </w:pPr>
            <w:r>
              <w:rPr>
                <w:sz w:val="14"/>
              </w:rPr>
              <w:t>IAM requirements</w:t>
            </w:r>
          </w:p>
        </w:tc>
        <w:tc>
          <w:tcPr>
            <w:tcW w:type="dxa" w:w="7257"/>
            <w:vAlign w:val="top"/>
          </w:tcPr>
          <w:p>
            <w:pPr>
              <w:spacing w:after="0"/>
            </w:pPr>
            <w:r>
              <w:rPr>
                <w:sz w:val="14"/>
              </w:rPr>
              <w:t>Separate source admin, workflow identity, build identity, artifact writer, deployer, approver and runtime identities.</w:t>
            </w:r>
          </w:p>
        </w:tc>
      </w:tr>
      <w:tr>
        <w:tc>
          <w:tcPr>
            <w:tcW w:type="dxa" w:w="2381"/>
            <w:shd w:fill="F7F8F9"/>
            <w:vAlign w:val="top"/>
          </w:tcPr>
          <w:p>
            <w:pPr>
              <w:spacing w:after="0"/>
            </w:pPr>
            <w:r>
              <w:rPr>
                <w:sz w:val="14"/>
              </w:rPr>
              <w:t>Network requirements</w:t>
            </w:r>
          </w:p>
        </w:tc>
        <w:tc>
          <w:tcPr>
            <w:tcW w:type="dxa" w:w="7257"/>
            <w:shd w:fill="F7F8F9"/>
            <w:vAlign w:val="top"/>
          </w:tcPr>
          <w:p>
            <w:pPr>
              <w:spacing w:after="0"/>
            </w:pPr>
            <w:r>
              <w:rPr>
                <w:sz w:val="14"/>
              </w:rPr>
              <w:t>Private pools or approved runners, Private Google Access/PSC where supported and controlled egress for dependencies.</w:t>
            </w:r>
          </w:p>
        </w:tc>
      </w:tr>
      <w:tr>
        <w:tc>
          <w:tcPr>
            <w:tcW w:type="dxa" w:w="2381"/>
            <w:vAlign w:val="top"/>
          </w:tcPr>
          <w:p>
            <w:pPr>
              <w:spacing w:after="0"/>
            </w:pPr>
            <w:r>
              <w:rPr>
                <w:sz w:val="14"/>
              </w:rPr>
              <w:t>VPC Service Controls considerations</w:t>
            </w:r>
          </w:p>
        </w:tc>
        <w:tc>
          <w:tcPr>
            <w:tcW w:type="dxa" w:w="7257"/>
            <w:vAlign w:val="top"/>
          </w:tcPr>
          <w:p>
            <w:pPr>
              <w:spacing w:after="0"/>
            </w:pPr>
            <w:r>
              <w:rPr>
                <w:sz w:val="14"/>
              </w:rPr>
              <w:t>Validate service support and ingress/egress dependencies; GitHub is outside the perimeter and must use WIF and narrowly authorized APIs.</w:t>
            </w:r>
          </w:p>
        </w:tc>
      </w:tr>
      <w:tr>
        <w:tc>
          <w:tcPr>
            <w:tcW w:type="dxa" w:w="2381"/>
            <w:shd w:fill="F7F8F9"/>
            <w:vAlign w:val="top"/>
          </w:tcPr>
          <w:p>
            <w:pPr>
              <w:spacing w:after="0"/>
            </w:pPr>
            <w:r>
              <w:rPr>
                <w:sz w:val="14"/>
              </w:rPr>
              <w:t>Encryption capabilities</w:t>
            </w:r>
          </w:p>
        </w:tc>
        <w:tc>
          <w:tcPr>
            <w:tcW w:type="dxa" w:w="7257"/>
            <w:shd w:fill="F7F8F9"/>
            <w:vAlign w:val="top"/>
          </w:tcPr>
          <w:p>
            <w:pPr>
              <w:spacing w:after="0"/>
            </w:pPr>
            <w:r>
              <w:rPr>
                <w:sz w:val="14"/>
              </w:rPr>
              <w:t>Google-managed encryption by default and TLS in transit; protect evidence, artifacts and configuration.</w:t>
            </w:r>
          </w:p>
        </w:tc>
      </w:tr>
      <w:tr>
        <w:tc>
          <w:tcPr>
            <w:tcW w:type="dxa" w:w="2381"/>
            <w:vAlign w:val="top"/>
          </w:tcPr>
          <w:p>
            <w:pPr>
              <w:spacing w:after="0"/>
            </w:pPr>
            <w:r>
              <w:rPr>
                <w:sz w:val="14"/>
              </w:rPr>
              <w:t>CMEK support</w:t>
            </w:r>
          </w:p>
        </w:tc>
        <w:tc>
          <w:tcPr>
            <w:tcW w:type="dxa" w:w="7257"/>
            <w:vAlign w:val="top"/>
          </w:tcPr>
          <w:p>
            <w:pPr>
              <w:spacing w:after="0"/>
            </w:pPr>
            <w:r>
              <w:rPr>
                <w:sz w:val="14"/>
              </w:rPr>
              <w:t>Use where required and supported, especially repositories/build resources; validate resource/location and service-agent permissions.</w:t>
            </w:r>
          </w:p>
        </w:tc>
      </w:tr>
      <w:tr>
        <w:tc>
          <w:tcPr>
            <w:tcW w:type="dxa" w:w="2381"/>
            <w:shd w:fill="F7F8F9"/>
            <w:vAlign w:val="top"/>
          </w:tcPr>
          <w:p>
            <w:pPr>
              <w:spacing w:after="0"/>
            </w:pPr>
            <w:r>
              <w:rPr>
                <w:sz w:val="14"/>
              </w:rPr>
              <w:t>Logging</w:t>
            </w:r>
          </w:p>
        </w:tc>
        <w:tc>
          <w:tcPr>
            <w:tcW w:type="dxa" w:w="7257"/>
            <w:shd w:fill="F7F8F9"/>
            <w:vAlign w:val="top"/>
          </w:tcPr>
          <w:p>
            <w:pPr>
              <w:spacing w:after="0"/>
            </w:pPr>
            <w:r>
              <w:rPr>
                <w:sz w:val="14"/>
              </w:rPr>
              <w:t>Enable audit, workflow, build, artifact and rollout logs; exclude secrets and sensitive payloads.</w:t>
            </w:r>
          </w:p>
        </w:tc>
      </w:tr>
      <w:tr>
        <w:tc>
          <w:tcPr>
            <w:tcW w:type="dxa" w:w="2381"/>
            <w:vAlign w:val="top"/>
          </w:tcPr>
          <w:p>
            <w:pPr>
              <w:spacing w:after="0"/>
            </w:pPr>
            <w:r>
              <w:rPr>
                <w:sz w:val="14"/>
              </w:rPr>
              <w:t>Monitoring</w:t>
            </w:r>
          </w:p>
        </w:tc>
        <w:tc>
          <w:tcPr>
            <w:tcW w:type="dxa" w:w="7257"/>
            <w:vAlign w:val="top"/>
          </w:tcPr>
          <w:p>
            <w:pPr>
              <w:spacing w:after="0"/>
            </w:pPr>
            <w:r>
              <w:rPr>
                <w:sz w:val="14"/>
              </w:rPr>
              <w:t>Track workflow/build/rollout success, duration, queue, policy failures, artifact age, vulnerabilities and release outcomes.</w:t>
            </w:r>
          </w:p>
        </w:tc>
      </w:tr>
      <w:tr>
        <w:tc>
          <w:tcPr>
            <w:tcW w:type="dxa" w:w="2381"/>
            <w:shd w:fill="F7F8F9"/>
            <w:vAlign w:val="top"/>
          </w:tcPr>
          <w:p>
            <w:pPr>
              <w:spacing w:after="0"/>
            </w:pPr>
            <w:r>
              <w:rPr>
                <w:sz w:val="14"/>
              </w:rPr>
              <w:t>Alerting</w:t>
            </w:r>
          </w:p>
        </w:tc>
        <w:tc>
          <w:tcPr>
            <w:tcW w:type="dxa" w:w="7257"/>
            <w:shd w:fill="F7F8F9"/>
            <w:vAlign w:val="top"/>
          </w:tcPr>
          <w:p>
            <w:pPr>
              <w:spacing w:after="0"/>
            </w:pPr>
            <w:r>
              <w:rPr>
                <w:sz w:val="14"/>
              </w:rPr>
              <w:t>Page only for production-impacting or supply-chain security events; route failed builds and policy trends to owners.</w:t>
            </w:r>
          </w:p>
        </w:tc>
      </w:tr>
      <w:tr>
        <w:tc>
          <w:tcPr>
            <w:tcW w:type="dxa" w:w="2381"/>
            <w:vAlign w:val="top"/>
          </w:tcPr>
          <w:p>
            <w:pPr>
              <w:spacing w:after="0"/>
            </w:pPr>
            <w:r>
              <w:rPr>
                <w:sz w:val="14"/>
              </w:rPr>
              <w:t>Cost drivers</w:t>
            </w:r>
          </w:p>
        </w:tc>
        <w:tc>
          <w:tcPr>
            <w:tcW w:type="dxa" w:w="7257"/>
            <w:vAlign w:val="top"/>
          </w:tcPr>
          <w:p>
            <w:pPr>
              <w:spacing w:after="0"/>
            </w:pPr>
            <w:r>
              <w:rPr>
                <w:sz w:val="14"/>
              </w:rPr>
              <w:t>Workflow minutes/runners, private build workers, storage, scanning, network, verification jobs and logging.</w:t>
            </w:r>
          </w:p>
        </w:tc>
      </w:tr>
      <w:tr>
        <w:tc>
          <w:tcPr>
            <w:tcW w:type="dxa" w:w="2381"/>
            <w:shd w:fill="F7F8F9"/>
            <w:vAlign w:val="top"/>
          </w:tcPr>
          <w:p>
            <w:pPr>
              <w:spacing w:after="0"/>
            </w:pPr>
            <w:r>
              <w:rPr>
                <w:sz w:val="14"/>
              </w:rPr>
              <w:t>Cost-optimization techniques</w:t>
            </w:r>
          </w:p>
        </w:tc>
        <w:tc>
          <w:tcPr>
            <w:tcW w:type="dxa" w:w="7257"/>
            <w:shd w:fill="F7F8F9"/>
            <w:vAlign w:val="top"/>
          </w:tcPr>
          <w:p>
            <w:pPr>
              <w:spacing w:after="0"/>
            </w:pPr>
            <w:r>
              <w:rPr>
                <w:sz w:val="14"/>
              </w:rPr>
              <w:t>Cache safely, right-size private pools, avoid duplicate rebuilds, apply cleanup policies and limit noisy logs without weakening evidence.</w:t>
            </w:r>
          </w:p>
        </w:tc>
      </w:tr>
      <w:tr>
        <w:tc>
          <w:tcPr>
            <w:tcW w:type="dxa" w:w="2381"/>
            <w:vAlign w:val="top"/>
          </w:tcPr>
          <w:p>
            <w:pPr>
              <w:spacing w:after="0"/>
            </w:pPr>
            <w:r>
              <w:rPr>
                <w:sz w:val="14"/>
              </w:rPr>
              <w:t>Operational responsibilities</w:t>
            </w:r>
          </w:p>
        </w:tc>
        <w:tc>
          <w:tcPr>
            <w:tcW w:type="dxa" w:w="7257"/>
            <w:vAlign w:val="top"/>
          </w:tcPr>
          <w:p>
            <w:pPr>
              <w:spacing w:after="0"/>
            </w:pPr>
            <w:r>
              <w:rPr>
                <w:sz w:val="14"/>
              </w:rPr>
              <w:t>Platform DevSecOps owns golden paths; product teams own code/tests and release outcomes; security owns policy; SRE owns production rollout/rollback practice.</w:t>
            </w:r>
          </w:p>
        </w:tc>
      </w:tr>
      <w:tr>
        <w:tc>
          <w:tcPr>
            <w:tcW w:type="dxa" w:w="2381"/>
            <w:shd w:fill="F7F8F9"/>
            <w:vAlign w:val="top"/>
          </w:tcPr>
          <w:p>
            <w:pPr>
              <w:spacing w:after="0"/>
            </w:pPr>
            <w:r>
              <w:rPr>
                <w:sz w:val="14"/>
              </w:rPr>
              <w:t>Integration points</w:t>
            </w:r>
          </w:p>
        </w:tc>
        <w:tc>
          <w:tcPr>
            <w:tcW w:type="dxa" w:w="7257"/>
            <w:shd w:fill="F7F8F9"/>
            <w:vAlign w:val="top"/>
          </w:tcPr>
          <w:p>
            <w:pPr>
              <w:spacing w:after="0"/>
            </w:pPr>
            <w:r>
              <w:rPr>
                <w:sz w:val="14"/>
              </w:rPr>
              <w:t>GitHub, IAM/WIF, Cloud Build, Artifact Registry, Cloud Deploy, Binary Authorization, Security Command Center, Monitoring, Terraform and target services.</w:t>
            </w:r>
          </w:p>
        </w:tc>
      </w:tr>
      <w:tr>
        <w:tc>
          <w:tcPr>
            <w:tcW w:type="dxa" w:w="2381"/>
            <w:vAlign w:val="top"/>
          </w:tcPr>
          <w:p>
            <w:pPr>
              <w:spacing w:after="0"/>
            </w:pPr>
            <w:r>
              <w:rPr>
                <w:sz w:val="14"/>
              </w:rPr>
              <w:t>Alternatives</w:t>
            </w:r>
          </w:p>
        </w:tc>
        <w:tc>
          <w:tcPr>
            <w:tcW w:type="dxa" w:w="7257"/>
            <w:vAlign w:val="top"/>
          </w:tcPr>
          <w:p>
            <w:pPr>
              <w:spacing w:after="0"/>
            </w:pPr>
            <w:r>
              <w:rPr>
                <w:sz w:val="14"/>
              </w:rPr>
              <w:t>GitLab/Jenkins/Azure DevOps, third-party registries/deployment tools or custom pipelines when approved requirements are unmet.</w:t>
            </w:r>
          </w:p>
        </w:tc>
      </w:tr>
      <w:tr>
        <w:tc>
          <w:tcPr>
            <w:tcW w:type="dxa" w:w="2381"/>
            <w:shd w:fill="F7F8F9"/>
            <w:vAlign w:val="top"/>
          </w:tcPr>
          <w:p>
            <w:pPr>
              <w:spacing w:after="0"/>
            </w:pPr>
            <w:r>
              <w:rPr>
                <w:sz w:val="14"/>
              </w:rPr>
              <w:t>Selection criteria</w:t>
            </w:r>
          </w:p>
        </w:tc>
        <w:tc>
          <w:tcPr>
            <w:tcW w:type="dxa" w:w="7257"/>
            <w:shd w:fill="F7F8F9"/>
            <w:vAlign w:val="top"/>
          </w:tcPr>
          <w:p>
            <w:pPr>
              <w:spacing w:after="0"/>
            </w:pPr>
            <w:r>
              <w:rPr>
                <w:sz w:val="14"/>
              </w:rPr>
              <w:t>Source governance, identity, network, artifact type, target support, regulated evidence, progressive delivery, operability and cost.</w:t>
            </w:r>
          </w:p>
        </w:tc>
      </w:tr>
      <w:tr>
        <w:tc>
          <w:tcPr>
            <w:tcW w:type="dxa" w:w="2381"/>
            <w:vAlign w:val="top"/>
          </w:tcPr>
          <w:p>
            <w:pPr>
              <w:spacing w:after="0"/>
            </w:pPr>
            <w:r>
              <w:rPr>
                <w:sz w:val="14"/>
              </w:rPr>
              <w:t>Best practices</w:t>
            </w:r>
          </w:p>
        </w:tc>
        <w:tc>
          <w:tcPr>
            <w:tcW w:type="dxa" w:w="7257"/>
            <w:vAlign w:val="top"/>
          </w:tcPr>
          <w:p>
            <w:pPr>
              <w:spacing w:after="0"/>
            </w:pPr>
            <w:r>
              <w:rPr>
                <w:sz w:val="14"/>
              </w:rPr>
              <w:t>Keyless identity, immutable digests, pinned dependencies, isolated builds, policy gates, same-artifact promotion, independent approval and tested rollback.</w:t>
            </w:r>
          </w:p>
        </w:tc>
      </w:tr>
      <w:tr>
        <w:tc>
          <w:tcPr>
            <w:tcW w:type="dxa" w:w="2381"/>
            <w:shd w:fill="F7F8F9"/>
            <w:vAlign w:val="top"/>
          </w:tcPr>
          <w:p>
            <w:pPr>
              <w:spacing w:after="0"/>
            </w:pPr>
            <w:r>
              <w:rPr>
                <w:sz w:val="14"/>
              </w:rPr>
              <w:t>Reference architecture</w:t>
            </w:r>
          </w:p>
        </w:tc>
        <w:tc>
          <w:tcPr>
            <w:tcW w:type="dxa" w:w="7257"/>
            <w:shd w:fill="F7F8F9"/>
            <w:vAlign w:val="top"/>
          </w:tcPr>
          <w:p>
            <w:pPr>
              <w:spacing w:after="0"/>
            </w:pPr>
            <w:r>
              <w:rPr>
                <w:sz w:val="14"/>
              </w:rPr>
              <w:t>GitHub -&gt; PR checks -&gt; WIF -&gt; Cloud Build -&gt; Artifact Registry -&gt; policy/attestation -&gt; target-specific deployment -&gt; monitoring/rollback.</w:t>
            </w:r>
          </w:p>
        </w:tc>
      </w:tr>
      <w:tr>
        <w:tc>
          <w:tcPr>
            <w:tcW w:type="dxa" w:w="2381"/>
            <w:vAlign w:val="top"/>
          </w:tcPr>
          <w:p>
            <w:pPr>
              <w:spacing w:after="0"/>
            </w:pPr>
            <w:r>
              <w:rPr>
                <w:sz w:val="14"/>
              </w:rPr>
              <w:t>Sample configuration</w:t>
            </w:r>
          </w:p>
        </w:tc>
        <w:tc>
          <w:tcPr>
            <w:tcW w:type="dxa" w:w="7257"/>
            <w:vAlign w:val="top"/>
          </w:tcPr>
          <w:p>
            <w:pPr>
              <w:spacing w:after="0"/>
            </w:pPr>
            <w:r>
              <w:rPr>
                <w:sz w:val="14"/>
              </w:rPr>
              <w:t>See examples folders; validate exact action versions, API schema and provider arguments before production use.</w:t>
            </w:r>
          </w:p>
        </w:tc>
      </w:tr>
      <w:tr>
        <w:tc>
          <w:tcPr>
            <w:tcW w:type="dxa" w:w="2381"/>
            <w:shd w:fill="F7F8F9"/>
            <w:vAlign w:val="top"/>
          </w:tcPr>
          <w:p>
            <w:pPr>
              <w:spacing w:after="0"/>
            </w:pPr>
            <w:r>
              <w:rPr>
                <w:sz w:val="14"/>
              </w:rPr>
              <w:t>Common pitfalls</w:t>
            </w:r>
          </w:p>
        </w:tc>
        <w:tc>
          <w:tcPr>
            <w:tcW w:type="dxa" w:w="7257"/>
            <w:shd w:fill="F7F8F9"/>
            <w:vAlign w:val="top"/>
          </w:tcPr>
          <w:p>
            <w:pPr>
              <w:spacing w:after="0"/>
            </w:pPr>
            <w:r>
              <w:rPr>
                <w:sz w:val="14"/>
              </w:rPr>
              <w:t>Long-lived keys, mutable tags, unpinned actions, broad service accounts, rebuild per environment, unmanaged console deployment and absent rollback evidence.</w:t>
            </w:r>
          </w:p>
        </w:tc>
      </w:tr>
      <w:tr>
        <w:tc>
          <w:tcPr>
            <w:tcW w:type="dxa" w:w="2381"/>
            <w:vAlign w:val="top"/>
          </w:tcPr>
          <w:p>
            <w:pPr>
              <w:spacing w:after="0"/>
            </w:pPr>
            <w:r>
              <w:rPr>
                <w:sz w:val="14"/>
              </w:rPr>
              <w:t>Anti-patterns</w:t>
            </w:r>
          </w:p>
        </w:tc>
        <w:tc>
          <w:tcPr>
            <w:tcW w:type="dxa" w:w="7257"/>
            <w:vAlign w:val="top"/>
          </w:tcPr>
          <w:p>
            <w:pPr>
              <w:spacing w:after="0"/>
            </w:pPr>
            <w:r>
              <w:rPr>
                <w:sz w:val="14"/>
              </w:rPr>
              <w:t>CI identity is project owner; production deployment from developer laptop; secret in repository; latest tag; approval by code author only.</w:t>
            </w:r>
          </w:p>
        </w:tc>
      </w:tr>
      <w:tr>
        <w:tc>
          <w:tcPr>
            <w:tcW w:type="dxa" w:w="2381"/>
            <w:shd w:fill="F7F8F9"/>
            <w:vAlign w:val="top"/>
          </w:tcPr>
          <w:p>
            <w:pPr>
              <w:spacing w:after="0"/>
            </w:pPr>
            <w:r>
              <w:rPr>
                <w:sz w:val="14"/>
              </w:rPr>
              <w:t>Production-readiness checklist</w:t>
            </w:r>
          </w:p>
        </w:tc>
        <w:tc>
          <w:tcPr>
            <w:tcW w:type="dxa" w:w="7257"/>
            <w:shd w:fill="F7F8F9"/>
            <w:vAlign w:val="top"/>
          </w:tcPr>
          <w:p>
            <w:pPr>
              <w:spacing w:after="0"/>
            </w:pPr>
            <w:r>
              <w:rPr>
                <w:sz w:val="14"/>
              </w:rPr>
              <w:t>Repository controls; WIF; IAM separation; private build path; scans; immutable artifact; provenance; target approval; verification; rollback; metrics and retention.</w:t>
            </w:r>
          </w:p>
        </w:tc>
      </w:tr>
    </w:tbl>
    <w:p>
      <w:pPr>
        <w:spacing w:after="0"/>
      </w:pPr>
    </w:p>
    <w:p>
      <w:r>
        <w:br w:type="page"/>
      </w:r>
    </w:p>
    <w:p>
      <w:pPr>
        <w:pStyle w:val="Heading2"/>
      </w:pPr>
      <w:r>
        <w:t>28.7 Binary Authorization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Assessment field</w:t>
            </w:r>
          </w:p>
        </w:tc>
        <w:tc>
          <w:tcPr>
            <w:tcW w:type="dxa" w:w="7257"/>
            <w:shd w:fill="174EA6"/>
          </w:tcPr>
          <w:p>
            <w:pPr>
              <w:spacing w:after="0"/>
            </w:pPr>
            <w:r>
              <w:rPr>
                <w:b/>
                <w:color w:val="FFFFFF"/>
                <w:sz w:val="14"/>
              </w:rPr>
              <w:t>Enterprise guidance</w:t>
            </w:r>
          </w:p>
        </w:tc>
      </w:tr>
      <w:tr>
        <w:tc>
          <w:tcPr>
            <w:tcW w:type="dxa" w:w="2381"/>
            <w:vAlign w:val="top"/>
          </w:tcPr>
          <w:p>
            <w:pPr>
              <w:spacing w:after="0"/>
            </w:pPr>
            <w:r>
              <w:rPr>
                <w:sz w:val="14"/>
              </w:rPr>
              <w:t>Service name</w:t>
            </w:r>
          </w:p>
        </w:tc>
        <w:tc>
          <w:tcPr>
            <w:tcW w:type="dxa" w:w="7257"/>
            <w:vAlign w:val="top"/>
          </w:tcPr>
          <w:p>
            <w:pPr>
              <w:spacing w:after="0"/>
            </w:pPr>
            <w:r>
              <w:rPr>
                <w:sz w:val="14"/>
              </w:rPr>
              <w:t>Binary Authorization</w:t>
            </w:r>
          </w:p>
        </w:tc>
      </w:tr>
      <w:tr>
        <w:tc>
          <w:tcPr>
            <w:tcW w:type="dxa" w:w="2381"/>
            <w:shd w:fill="F7F8F9"/>
            <w:vAlign w:val="top"/>
          </w:tcPr>
          <w:p>
            <w:pPr>
              <w:spacing w:after="0"/>
            </w:pPr>
            <w:r>
              <w:rPr>
                <w:sz w:val="14"/>
              </w:rPr>
              <w:t>Purpose</w:t>
            </w:r>
          </w:p>
        </w:tc>
        <w:tc>
          <w:tcPr>
            <w:tcW w:type="dxa" w:w="7257"/>
            <w:shd w:fill="F7F8F9"/>
            <w:vAlign w:val="top"/>
          </w:tcPr>
          <w:p>
            <w:pPr>
              <w:spacing w:after="0"/>
            </w:pPr>
            <w:r>
              <w:rPr>
                <w:sz w:val="14"/>
              </w:rPr>
              <w:t>Deployment policy enforcement</w:t>
            </w:r>
          </w:p>
        </w:tc>
      </w:tr>
      <w:tr>
        <w:tc>
          <w:tcPr>
            <w:tcW w:type="dxa" w:w="2381"/>
            <w:vAlign w:val="top"/>
          </w:tcPr>
          <w:p>
            <w:pPr>
              <w:spacing w:after="0"/>
            </w:pPr>
            <w:r>
              <w:rPr>
                <w:sz w:val="14"/>
              </w:rPr>
              <w:t>Enterprise architecture role</w:t>
            </w:r>
          </w:p>
        </w:tc>
        <w:tc>
          <w:tcPr>
            <w:tcW w:type="dxa" w:w="7257"/>
            <w:vAlign w:val="top"/>
          </w:tcPr>
          <w:p>
            <w:pPr>
              <w:spacing w:after="0"/>
            </w:pPr>
            <w:r>
              <w:rPr>
                <w:sz w:val="14"/>
              </w:rPr>
              <w:t>Admission and continuous validation of container deployment policy</w:t>
            </w:r>
          </w:p>
        </w:tc>
      </w:tr>
      <w:tr>
        <w:tc>
          <w:tcPr>
            <w:tcW w:type="dxa" w:w="2381"/>
            <w:shd w:fill="F7F8F9"/>
            <w:vAlign w:val="top"/>
          </w:tcPr>
          <w:p>
            <w:pPr>
              <w:spacing w:after="0"/>
            </w:pPr>
            <w:r>
              <w:rPr>
                <w:sz w:val="14"/>
              </w:rPr>
              <w:t>Business capabilities supported</w:t>
            </w:r>
          </w:p>
        </w:tc>
        <w:tc>
          <w:tcPr>
            <w:tcW w:type="dxa" w:w="7257"/>
            <w:shd w:fill="F7F8F9"/>
            <w:vAlign w:val="top"/>
          </w:tcPr>
          <w:p>
            <w:pPr>
              <w:spacing w:after="0"/>
            </w:pPr>
            <w:r>
              <w:rPr>
                <w:sz w:val="14"/>
              </w:rPr>
              <w:t>Secure software and data delivery, controlled change, auditability, platform engineering and regulated release evidence.</w:t>
            </w:r>
          </w:p>
        </w:tc>
      </w:tr>
      <w:tr>
        <w:tc>
          <w:tcPr>
            <w:tcW w:type="dxa" w:w="2381"/>
            <w:vAlign w:val="top"/>
          </w:tcPr>
          <w:p>
            <w:pPr>
              <w:spacing w:after="0"/>
            </w:pPr>
            <w:r>
              <w:rPr>
                <w:sz w:val="14"/>
              </w:rPr>
              <w:t>Technical capabilities</w:t>
            </w:r>
          </w:p>
        </w:tc>
        <w:tc>
          <w:tcPr>
            <w:tcW w:type="dxa" w:w="7257"/>
            <w:vAlign w:val="top"/>
          </w:tcPr>
          <w:p>
            <w:pPr>
              <w:spacing w:after="0"/>
            </w:pPr>
            <w:r>
              <w:rPr>
                <w:sz w:val="14"/>
              </w:rPr>
              <w:t>Deployment policy enforcement integrated with IAM, logging, monitoring and Google Cloud resource controls.</w:t>
            </w:r>
          </w:p>
        </w:tc>
      </w:tr>
      <w:tr>
        <w:tc>
          <w:tcPr>
            <w:tcW w:type="dxa" w:w="2381"/>
            <w:shd w:fill="F7F8F9"/>
            <w:vAlign w:val="top"/>
          </w:tcPr>
          <w:p>
            <w:pPr>
              <w:spacing w:after="0"/>
            </w:pPr>
            <w:r>
              <w:rPr>
                <w:sz w:val="14"/>
              </w:rPr>
              <w:t>Benefits</w:t>
            </w:r>
          </w:p>
        </w:tc>
        <w:tc>
          <w:tcPr>
            <w:tcW w:type="dxa" w:w="7257"/>
            <w:shd w:fill="F7F8F9"/>
            <w:vAlign w:val="top"/>
          </w:tcPr>
          <w:p>
            <w:pPr>
              <w:spacing w:after="0"/>
            </w:pPr>
            <w:r>
              <w:rPr>
                <w:sz w:val="14"/>
              </w:rPr>
              <w:t>Managed integration, reduced undifferentiated operations, standard evidence and alignment with the inherited Google Cloud platform.</w:t>
            </w:r>
          </w:p>
        </w:tc>
      </w:tr>
      <w:tr>
        <w:tc>
          <w:tcPr>
            <w:tcW w:type="dxa" w:w="2381"/>
            <w:vAlign w:val="top"/>
          </w:tcPr>
          <w:p>
            <w:pPr>
              <w:spacing w:after="0"/>
            </w:pPr>
            <w:r>
              <w:rPr>
                <w:sz w:val="14"/>
              </w:rPr>
              <w:t>Limitations</w:t>
            </w:r>
          </w:p>
        </w:tc>
        <w:tc>
          <w:tcPr>
            <w:tcW w:type="dxa" w:w="7257"/>
            <w:vAlign w:val="top"/>
          </w:tcPr>
          <w:p>
            <w:pPr>
              <w:spacing w:after="0"/>
            </w:pPr>
            <w:r>
              <w:rPr>
                <w:sz w:val="14"/>
              </w:rPr>
              <w:t>Features, targets, quotas, locations, integrations and launch stages vary; some data assets require dedicated deployment lanes rather than application CD.</w:t>
            </w:r>
          </w:p>
        </w:tc>
      </w:tr>
      <w:tr>
        <w:tc>
          <w:tcPr>
            <w:tcW w:type="dxa" w:w="2381"/>
            <w:shd w:fill="F7F8F9"/>
            <w:vAlign w:val="top"/>
          </w:tcPr>
          <w:p>
            <w:pPr>
              <w:spacing w:after="0"/>
            </w:pPr>
            <w:r>
              <w:rPr>
                <w:sz w:val="14"/>
              </w:rPr>
              <w:t>Service quotas</w:t>
            </w:r>
          </w:p>
        </w:tc>
        <w:tc>
          <w:tcPr>
            <w:tcW w:type="dxa" w:w="7257"/>
            <w:shd w:fill="F7F8F9"/>
            <w:vAlign w:val="top"/>
          </w:tcPr>
          <w:p>
            <w:pPr>
              <w:spacing w:after="0"/>
            </w:pPr>
            <w:r>
              <w:rPr>
                <w:sz w:val="14"/>
              </w:rPr>
              <w:t>Validate project, regional, API, concurrency, storage and throughput quotas before scale rollout.</w:t>
            </w:r>
          </w:p>
        </w:tc>
      </w:tr>
      <w:tr>
        <w:tc>
          <w:tcPr>
            <w:tcW w:type="dxa" w:w="2381"/>
            <w:vAlign w:val="top"/>
          </w:tcPr>
          <w:p>
            <w:pPr>
              <w:spacing w:after="0"/>
            </w:pPr>
            <w:r>
              <w:rPr>
                <w:sz w:val="14"/>
              </w:rPr>
              <w:t>Regional availability considerations</w:t>
            </w:r>
          </w:p>
        </w:tc>
        <w:tc>
          <w:tcPr>
            <w:tcW w:type="dxa" w:w="7257"/>
            <w:vAlign w:val="top"/>
          </w:tcPr>
          <w:p>
            <w:pPr>
              <w:spacing w:after="0"/>
            </w:pPr>
            <w:r>
              <w:rPr>
                <w:sz w:val="14"/>
              </w:rPr>
              <w:t>Place regional resources such as private pools and repositories with the approved delivery/data plane; validate cross-region access and residency.</w:t>
            </w:r>
          </w:p>
        </w:tc>
      </w:tr>
      <w:tr>
        <w:tc>
          <w:tcPr>
            <w:tcW w:type="dxa" w:w="2381"/>
            <w:shd w:fill="F7F8F9"/>
            <w:vAlign w:val="top"/>
          </w:tcPr>
          <w:p>
            <w:pPr>
              <w:spacing w:after="0"/>
            </w:pPr>
            <w:r>
              <w:rPr>
                <w:sz w:val="14"/>
              </w:rPr>
              <w:t>High-availability characteristics</w:t>
            </w:r>
          </w:p>
        </w:tc>
        <w:tc>
          <w:tcPr>
            <w:tcW w:type="dxa" w:w="7257"/>
            <w:shd w:fill="F7F8F9"/>
            <w:vAlign w:val="top"/>
          </w:tcPr>
          <w:p>
            <w:pPr>
              <w:spacing w:after="0"/>
            </w:pPr>
            <w:r>
              <w:rPr>
                <w:sz w:val="14"/>
              </w:rPr>
              <w:t>Managed control planes reduce infrastructure operations; delivery workflows must tolerate API/transient failures and preserve source/artifacts for replay.</w:t>
            </w:r>
          </w:p>
        </w:tc>
      </w:tr>
      <w:tr>
        <w:tc>
          <w:tcPr>
            <w:tcW w:type="dxa" w:w="2381"/>
            <w:vAlign w:val="top"/>
          </w:tcPr>
          <w:p>
            <w:pPr>
              <w:spacing w:after="0"/>
            </w:pPr>
            <w:r>
              <w:rPr>
                <w:sz w:val="14"/>
              </w:rPr>
              <w:t>Disaster-recovery considerations</w:t>
            </w:r>
          </w:p>
        </w:tc>
        <w:tc>
          <w:tcPr>
            <w:tcW w:type="dxa" w:w="7257"/>
            <w:vAlign w:val="top"/>
          </w:tcPr>
          <w:p>
            <w:pPr>
              <w:spacing w:after="0"/>
            </w:pPr>
            <w:r>
              <w:rPr>
                <w:sz w:val="14"/>
              </w:rPr>
              <w:t>Back up source/configuration, replicate or rebuild artifact repositories where required, preserve provenance and test alternate build/deploy paths.</w:t>
            </w:r>
          </w:p>
        </w:tc>
      </w:tr>
      <w:tr>
        <w:tc>
          <w:tcPr>
            <w:tcW w:type="dxa" w:w="2381"/>
            <w:shd w:fill="F7F8F9"/>
            <w:vAlign w:val="top"/>
          </w:tcPr>
          <w:p>
            <w:pPr>
              <w:spacing w:after="0"/>
            </w:pPr>
            <w:r>
              <w:rPr>
                <w:sz w:val="14"/>
              </w:rPr>
              <w:t>Security model</w:t>
            </w:r>
          </w:p>
        </w:tc>
        <w:tc>
          <w:tcPr>
            <w:tcW w:type="dxa" w:w="7257"/>
            <w:shd w:fill="F7F8F9"/>
            <w:vAlign w:val="top"/>
          </w:tcPr>
          <w:p>
            <w:pPr>
              <w:spacing w:after="0"/>
            </w:pPr>
            <w:r>
              <w:rPr>
                <w:sz w:val="14"/>
              </w:rPr>
              <w:t>IAM, workload identity, protected repositories/environments, least privilege, private network access and immutable audit evidence.</w:t>
            </w:r>
          </w:p>
        </w:tc>
      </w:tr>
      <w:tr>
        <w:tc>
          <w:tcPr>
            <w:tcW w:type="dxa" w:w="2381"/>
            <w:vAlign w:val="top"/>
          </w:tcPr>
          <w:p>
            <w:pPr>
              <w:spacing w:after="0"/>
            </w:pPr>
            <w:r>
              <w:rPr>
                <w:sz w:val="14"/>
              </w:rPr>
              <w:t>IAM requirements</w:t>
            </w:r>
          </w:p>
        </w:tc>
        <w:tc>
          <w:tcPr>
            <w:tcW w:type="dxa" w:w="7257"/>
            <w:vAlign w:val="top"/>
          </w:tcPr>
          <w:p>
            <w:pPr>
              <w:spacing w:after="0"/>
            </w:pPr>
            <w:r>
              <w:rPr>
                <w:sz w:val="14"/>
              </w:rPr>
              <w:t>Separate source admin, workflow identity, build identity, artifact writer, deployer, approver and runtime identities.</w:t>
            </w:r>
          </w:p>
        </w:tc>
      </w:tr>
      <w:tr>
        <w:tc>
          <w:tcPr>
            <w:tcW w:type="dxa" w:w="2381"/>
            <w:shd w:fill="F7F8F9"/>
            <w:vAlign w:val="top"/>
          </w:tcPr>
          <w:p>
            <w:pPr>
              <w:spacing w:after="0"/>
            </w:pPr>
            <w:r>
              <w:rPr>
                <w:sz w:val="14"/>
              </w:rPr>
              <w:t>Network requirements</w:t>
            </w:r>
          </w:p>
        </w:tc>
        <w:tc>
          <w:tcPr>
            <w:tcW w:type="dxa" w:w="7257"/>
            <w:shd w:fill="F7F8F9"/>
            <w:vAlign w:val="top"/>
          </w:tcPr>
          <w:p>
            <w:pPr>
              <w:spacing w:after="0"/>
            </w:pPr>
            <w:r>
              <w:rPr>
                <w:sz w:val="14"/>
              </w:rPr>
              <w:t>Private pools or approved runners, Private Google Access/PSC where supported and controlled egress for dependencies.</w:t>
            </w:r>
          </w:p>
        </w:tc>
      </w:tr>
      <w:tr>
        <w:tc>
          <w:tcPr>
            <w:tcW w:type="dxa" w:w="2381"/>
            <w:vAlign w:val="top"/>
          </w:tcPr>
          <w:p>
            <w:pPr>
              <w:spacing w:after="0"/>
            </w:pPr>
            <w:r>
              <w:rPr>
                <w:sz w:val="14"/>
              </w:rPr>
              <w:t>VPC Service Controls considerations</w:t>
            </w:r>
          </w:p>
        </w:tc>
        <w:tc>
          <w:tcPr>
            <w:tcW w:type="dxa" w:w="7257"/>
            <w:vAlign w:val="top"/>
          </w:tcPr>
          <w:p>
            <w:pPr>
              <w:spacing w:after="0"/>
            </w:pPr>
            <w:r>
              <w:rPr>
                <w:sz w:val="14"/>
              </w:rPr>
              <w:t>Validate service support and ingress/egress dependencies; GitHub is outside the perimeter and must use WIF and narrowly authorized APIs.</w:t>
            </w:r>
          </w:p>
        </w:tc>
      </w:tr>
      <w:tr>
        <w:tc>
          <w:tcPr>
            <w:tcW w:type="dxa" w:w="2381"/>
            <w:shd w:fill="F7F8F9"/>
            <w:vAlign w:val="top"/>
          </w:tcPr>
          <w:p>
            <w:pPr>
              <w:spacing w:after="0"/>
            </w:pPr>
            <w:r>
              <w:rPr>
                <w:sz w:val="14"/>
              </w:rPr>
              <w:t>Encryption capabilities</w:t>
            </w:r>
          </w:p>
        </w:tc>
        <w:tc>
          <w:tcPr>
            <w:tcW w:type="dxa" w:w="7257"/>
            <w:shd w:fill="F7F8F9"/>
            <w:vAlign w:val="top"/>
          </w:tcPr>
          <w:p>
            <w:pPr>
              <w:spacing w:after="0"/>
            </w:pPr>
            <w:r>
              <w:rPr>
                <w:sz w:val="14"/>
              </w:rPr>
              <w:t>Google-managed encryption by default and TLS in transit; protect evidence, artifacts and configuration.</w:t>
            </w:r>
          </w:p>
        </w:tc>
      </w:tr>
      <w:tr>
        <w:tc>
          <w:tcPr>
            <w:tcW w:type="dxa" w:w="2381"/>
            <w:vAlign w:val="top"/>
          </w:tcPr>
          <w:p>
            <w:pPr>
              <w:spacing w:after="0"/>
            </w:pPr>
            <w:r>
              <w:rPr>
                <w:sz w:val="14"/>
              </w:rPr>
              <w:t>CMEK support</w:t>
            </w:r>
          </w:p>
        </w:tc>
        <w:tc>
          <w:tcPr>
            <w:tcW w:type="dxa" w:w="7257"/>
            <w:vAlign w:val="top"/>
          </w:tcPr>
          <w:p>
            <w:pPr>
              <w:spacing w:after="0"/>
            </w:pPr>
            <w:r>
              <w:rPr>
                <w:sz w:val="14"/>
              </w:rPr>
              <w:t>Use where required and supported, especially repositories/build resources; validate resource/location and service-agent permissions.</w:t>
            </w:r>
          </w:p>
        </w:tc>
      </w:tr>
      <w:tr>
        <w:tc>
          <w:tcPr>
            <w:tcW w:type="dxa" w:w="2381"/>
            <w:shd w:fill="F7F8F9"/>
            <w:vAlign w:val="top"/>
          </w:tcPr>
          <w:p>
            <w:pPr>
              <w:spacing w:after="0"/>
            </w:pPr>
            <w:r>
              <w:rPr>
                <w:sz w:val="14"/>
              </w:rPr>
              <w:t>Logging</w:t>
            </w:r>
          </w:p>
        </w:tc>
        <w:tc>
          <w:tcPr>
            <w:tcW w:type="dxa" w:w="7257"/>
            <w:shd w:fill="F7F8F9"/>
            <w:vAlign w:val="top"/>
          </w:tcPr>
          <w:p>
            <w:pPr>
              <w:spacing w:after="0"/>
            </w:pPr>
            <w:r>
              <w:rPr>
                <w:sz w:val="14"/>
              </w:rPr>
              <w:t>Enable audit, workflow, build, artifact and rollout logs; exclude secrets and sensitive payloads.</w:t>
            </w:r>
          </w:p>
        </w:tc>
      </w:tr>
      <w:tr>
        <w:tc>
          <w:tcPr>
            <w:tcW w:type="dxa" w:w="2381"/>
            <w:vAlign w:val="top"/>
          </w:tcPr>
          <w:p>
            <w:pPr>
              <w:spacing w:after="0"/>
            </w:pPr>
            <w:r>
              <w:rPr>
                <w:sz w:val="14"/>
              </w:rPr>
              <w:t>Monitoring</w:t>
            </w:r>
          </w:p>
        </w:tc>
        <w:tc>
          <w:tcPr>
            <w:tcW w:type="dxa" w:w="7257"/>
            <w:vAlign w:val="top"/>
          </w:tcPr>
          <w:p>
            <w:pPr>
              <w:spacing w:after="0"/>
            </w:pPr>
            <w:r>
              <w:rPr>
                <w:sz w:val="14"/>
              </w:rPr>
              <w:t>Track workflow/build/rollout success, duration, queue, policy failures, artifact age, vulnerabilities and release outcomes.</w:t>
            </w:r>
          </w:p>
        </w:tc>
      </w:tr>
      <w:tr>
        <w:tc>
          <w:tcPr>
            <w:tcW w:type="dxa" w:w="2381"/>
            <w:shd w:fill="F7F8F9"/>
            <w:vAlign w:val="top"/>
          </w:tcPr>
          <w:p>
            <w:pPr>
              <w:spacing w:after="0"/>
            </w:pPr>
            <w:r>
              <w:rPr>
                <w:sz w:val="14"/>
              </w:rPr>
              <w:t>Alerting</w:t>
            </w:r>
          </w:p>
        </w:tc>
        <w:tc>
          <w:tcPr>
            <w:tcW w:type="dxa" w:w="7257"/>
            <w:shd w:fill="F7F8F9"/>
            <w:vAlign w:val="top"/>
          </w:tcPr>
          <w:p>
            <w:pPr>
              <w:spacing w:after="0"/>
            </w:pPr>
            <w:r>
              <w:rPr>
                <w:sz w:val="14"/>
              </w:rPr>
              <w:t>Page only for production-impacting or supply-chain security events; route failed builds and policy trends to owners.</w:t>
            </w:r>
          </w:p>
        </w:tc>
      </w:tr>
      <w:tr>
        <w:tc>
          <w:tcPr>
            <w:tcW w:type="dxa" w:w="2381"/>
            <w:vAlign w:val="top"/>
          </w:tcPr>
          <w:p>
            <w:pPr>
              <w:spacing w:after="0"/>
            </w:pPr>
            <w:r>
              <w:rPr>
                <w:sz w:val="14"/>
              </w:rPr>
              <w:t>Cost drivers</w:t>
            </w:r>
          </w:p>
        </w:tc>
        <w:tc>
          <w:tcPr>
            <w:tcW w:type="dxa" w:w="7257"/>
            <w:vAlign w:val="top"/>
          </w:tcPr>
          <w:p>
            <w:pPr>
              <w:spacing w:after="0"/>
            </w:pPr>
            <w:r>
              <w:rPr>
                <w:sz w:val="14"/>
              </w:rPr>
              <w:t>Workflow minutes/runners, private build workers, storage, scanning, network, verification jobs and logging.</w:t>
            </w:r>
          </w:p>
        </w:tc>
      </w:tr>
      <w:tr>
        <w:tc>
          <w:tcPr>
            <w:tcW w:type="dxa" w:w="2381"/>
            <w:shd w:fill="F7F8F9"/>
            <w:vAlign w:val="top"/>
          </w:tcPr>
          <w:p>
            <w:pPr>
              <w:spacing w:after="0"/>
            </w:pPr>
            <w:r>
              <w:rPr>
                <w:sz w:val="14"/>
              </w:rPr>
              <w:t>Cost-optimization techniques</w:t>
            </w:r>
          </w:p>
        </w:tc>
        <w:tc>
          <w:tcPr>
            <w:tcW w:type="dxa" w:w="7257"/>
            <w:shd w:fill="F7F8F9"/>
            <w:vAlign w:val="top"/>
          </w:tcPr>
          <w:p>
            <w:pPr>
              <w:spacing w:after="0"/>
            </w:pPr>
            <w:r>
              <w:rPr>
                <w:sz w:val="14"/>
              </w:rPr>
              <w:t>Cache safely, right-size private pools, avoid duplicate rebuilds, apply cleanup policies and limit noisy logs without weakening evidence.</w:t>
            </w:r>
          </w:p>
        </w:tc>
      </w:tr>
      <w:tr>
        <w:tc>
          <w:tcPr>
            <w:tcW w:type="dxa" w:w="2381"/>
            <w:vAlign w:val="top"/>
          </w:tcPr>
          <w:p>
            <w:pPr>
              <w:spacing w:after="0"/>
            </w:pPr>
            <w:r>
              <w:rPr>
                <w:sz w:val="14"/>
              </w:rPr>
              <w:t>Operational responsibilities</w:t>
            </w:r>
          </w:p>
        </w:tc>
        <w:tc>
          <w:tcPr>
            <w:tcW w:type="dxa" w:w="7257"/>
            <w:vAlign w:val="top"/>
          </w:tcPr>
          <w:p>
            <w:pPr>
              <w:spacing w:after="0"/>
            </w:pPr>
            <w:r>
              <w:rPr>
                <w:sz w:val="14"/>
              </w:rPr>
              <w:t>Platform DevSecOps owns golden paths; product teams own code/tests and release outcomes; security owns policy; SRE owns production rollout/rollback practice.</w:t>
            </w:r>
          </w:p>
        </w:tc>
      </w:tr>
      <w:tr>
        <w:tc>
          <w:tcPr>
            <w:tcW w:type="dxa" w:w="2381"/>
            <w:shd w:fill="F7F8F9"/>
            <w:vAlign w:val="top"/>
          </w:tcPr>
          <w:p>
            <w:pPr>
              <w:spacing w:after="0"/>
            </w:pPr>
            <w:r>
              <w:rPr>
                <w:sz w:val="14"/>
              </w:rPr>
              <w:t>Integration points</w:t>
            </w:r>
          </w:p>
        </w:tc>
        <w:tc>
          <w:tcPr>
            <w:tcW w:type="dxa" w:w="7257"/>
            <w:shd w:fill="F7F8F9"/>
            <w:vAlign w:val="top"/>
          </w:tcPr>
          <w:p>
            <w:pPr>
              <w:spacing w:after="0"/>
            </w:pPr>
            <w:r>
              <w:rPr>
                <w:sz w:val="14"/>
              </w:rPr>
              <w:t>GitHub, IAM/WIF, Cloud Build, Artifact Registry, Cloud Deploy, Binary Authorization, Security Command Center, Monitoring, Terraform and target services.</w:t>
            </w:r>
          </w:p>
        </w:tc>
      </w:tr>
      <w:tr>
        <w:tc>
          <w:tcPr>
            <w:tcW w:type="dxa" w:w="2381"/>
            <w:vAlign w:val="top"/>
          </w:tcPr>
          <w:p>
            <w:pPr>
              <w:spacing w:after="0"/>
            </w:pPr>
            <w:r>
              <w:rPr>
                <w:sz w:val="14"/>
              </w:rPr>
              <w:t>Alternatives</w:t>
            </w:r>
          </w:p>
        </w:tc>
        <w:tc>
          <w:tcPr>
            <w:tcW w:type="dxa" w:w="7257"/>
            <w:vAlign w:val="top"/>
          </w:tcPr>
          <w:p>
            <w:pPr>
              <w:spacing w:after="0"/>
            </w:pPr>
            <w:r>
              <w:rPr>
                <w:sz w:val="14"/>
              </w:rPr>
              <w:t>GitLab/Jenkins/Azure DevOps, third-party registries/deployment tools or custom pipelines when approved requirements are unmet.</w:t>
            </w:r>
          </w:p>
        </w:tc>
      </w:tr>
      <w:tr>
        <w:tc>
          <w:tcPr>
            <w:tcW w:type="dxa" w:w="2381"/>
            <w:shd w:fill="F7F8F9"/>
            <w:vAlign w:val="top"/>
          </w:tcPr>
          <w:p>
            <w:pPr>
              <w:spacing w:after="0"/>
            </w:pPr>
            <w:r>
              <w:rPr>
                <w:sz w:val="14"/>
              </w:rPr>
              <w:t>Selection criteria</w:t>
            </w:r>
          </w:p>
        </w:tc>
        <w:tc>
          <w:tcPr>
            <w:tcW w:type="dxa" w:w="7257"/>
            <w:shd w:fill="F7F8F9"/>
            <w:vAlign w:val="top"/>
          </w:tcPr>
          <w:p>
            <w:pPr>
              <w:spacing w:after="0"/>
            </w:pPr>
            <w:r>
              <w:rPr>
                <w:sz w:val="14"/>
              </w:rPr>
              <w:t>Source governance, identity, network, artifact type, target support, regulated evidence, progressive delivery, operability and cost.</w:t>
            </w:r>
          </w:p>
        </w:tc>
      </w:tr>
      <w:tr>
        <w:tc>
          <w:tcPr>
            <w:tcW w:type="dxa" w:w="2381"/>
            <w:vAlign w:val="top"/>
          </w:tcPr>
          <w:p>
            <w:pPr>
              <w:spacing w:after="0"/>
            </w:pPr>
            <w:r>
              <w:rPr>
                <w:sz w:val="14"/>
              </w:rPr>
              <w:t>Best practices</w:t>
            </w:r>
          </w:p>
        </w:tc>
        <w:tc>
          <w:tcPr>
            <w:tcW w:type="dxa" w:w="7257"/>
            <w:vAlign w:val="top"/>
          </w:tcPr>
          <w:p>
            <w:pPr>
              <w:spacing w:after="0"/>
            </w:pPr>
            <w:r>
              <w:rPr>
                <w:sz w:val="14"/>
              </w:rPr>
              <w:t>Keyless identity, immutable digests, pinned dependencies, isolated builds, policy gates, same-artifact promotion, independent approval and tested rollback.</w:t>
            </w:r>
          </w:p>
        </w:tc>
      </w:tr>
      <w:tr>
        <w:tc>
          <w:tcPr>
            <w:tcW w:type="dxa" w:w="2381"/>
            <w:shd w:fill="F7F8F9"/>
            <w:vAlign w:val="top"/>
          </w:tcPr>
          <w:p>
            <w:pPr>
              <w:spacing w:after="0"/>
            </w:pPr>
            <w:r>
              <w:rPr>
                <w:sz w:val="14"/>
              </w:rPr>
              <w:t>Reference architecture</w:t>
            </w:r>
          </w:p>
        </w:tc>
        <w:tc>
          <w:tcPr>
            <w:tcW w:type="dxa" w:w="7257"/>
            <w:shd w:fill="F7F8F9"/>
            <w:vAlign w:val="top"/>
          </w:tcPr>
          <w:p>
            <w:pPr>
              <w:spacing w:after="0"/>
            </w:pPr>
            <w:r>
              <w:rPr>
                <w:sz w:val="14"/>
              </w:rPr>
              <w:t>GitHub -&gt; PR checks -&gt; WIF -&gt; Cloud Build -&gt; Artifact Registry -&gt; policy/attestation -&gt; target-specific deployment -&gt; monitoring/rollback.</w:t>
            </w:r>
          </w:p>
        </w:tc>
      </w:tr>
      <w:tr>
        <w:tc>
          <w:tcPr>
            <w:tcW w:type="dxa" w:w="2381"/>
            <w:vAlign w:val="top"/>
          </w:tcPr>
          <w:p>
            <w:pPr>
              <w:spacing w:after="0"/>
            </w:pPr>
            <w:r>
              <w:rPr>
                <w:sz w:val="14"/>
              </w:rPr>
              <w:t>Sample configuration</w:t>
            </w:r>
          </w:p>
        </w:tc>
        <w:tc>
          <w:tcPr>
            <w:tcW w:type="dxa" w:w="7257"/>
            <w:vAlign w:val="top"/>
          </w:tcPr>
          <w:p>
            <w:pPr>
              <w:spacing w:after="0"/>
            </w:pPr>
            <w:r>
              <w:rPr>
                <w:sz w:val="14"/>
              </w:rPr>
              <w:t>See examples folders; validate exact action versions, API schema and provider arguments before production use.</w:t>
            </w:r>
          </w:p>
        </w:tc>
      </w:tr>
      <w:tr>
        <w:tc>
          <w:tcPr>
            <w:tcW w:type="dxa" w:w="2381"/>
            <w:shd w:fill="F7F8F9"/>
            <w:vAlign w:val="top"/>
          </w:tcPr>
          <w:p>
            <w:pPr>
              <w:spacing w:after="0"/>
            </w:pPr>
            <w:r>
              <w:rPr>
                <w:sz w:val="14"/>
              </w:rPr>
              <w:t>Common pitfalls</w:t>
            </w:r>
          </w:p>
        </w:tc>
        <w:tc>
          <w:tcPr>
            <w:tcW w:type="dxa" w:w="7257"/>
            <w:shd w:fill="F7F8F9"/>
            <w:vAlign w:val="top"/>
          </w:tcPr>
          <w:p>
            <w:pPr>
              <w:spacing w:after="0"/>
            </w:pPr>
            <w:r>
              <w:rPr>
                <w:sz w:val="14"/>
              </w:rPr>
              <w:t>Long-lived keys, mutable tags, unpinned actions, broad service accounts, rebuild per environment, unmanaged console deployment and absent rollback evidence.</w:t>
            </w:r>
          </w:p>
        </w:tc>
      </w:tr>
      <w:tr>
        <w:tc>
          <w:tcPr>
            <w:tcW w:type="dxa" w:w="2381"/>
            <w:vAlign w:val="top"/>
          </w:tcPr>
          <w:p>
            <w:pPr>
              <w:spacing w:after="0"/>
            </w:pPr>
            <w:r>
              <w:rPr>
                <w:sz w:val="14"/>
              </w:rPr>
              <w:t>Anti-patterns</w:t>
            </w:r>
          </w:p>
        </w:tc>
        <w:tc>
          <w:tcPr>
            <w:tcW w:type="dxa" w:w="7257"/>
            <w:vAlign w:val="top"/>
          </w:tcPr>
          <w:p>
            <w:pPr>
              <w:spacing w:after="0"/>
            </w:pPr>
            <w:r>
              <w:rPr>
                <w:sz w:val="14"/>
              </w:rPr>
              <w:t>CI identity is project owner; production deployment from developer laptop; secret in repository; latest tag; approval by code author only.</w:t>
            </w:r>
          </w:p>
        </w:tc>
      </w:tr>
      <w:tr>
        <w:tc>
          <w:tcPr>
            <w:tcW w:type="dxa" w:w="2381"/>
            <w:shd w:fill="F7F8F9"/>
            <w:vAlign w:val="top"/>
          </w:tcPr>
          <w:p>
            <w:pPr>
              <w:spacing w:after="0"/>
            </w:pPr>
            <w:r>
              <w:rPr>
                <w:sz w:val="14"/>
              </w:rPr>
              <w:t>Production-readiness checklist</w:t>
            </w:r>
          </w:p>
        </w:tc>
        <w:tc>
          <w:tcPr>
            <w:tcW w:type="dxa" w:w="7257"/>
            <w:shd w:fill="F7F8F9"/>
            <w:vAlign w:val="top"/>
          </w:tcPr>
          <w:p>
            <w:pPr>
              <w:spacing w:after="0"/>
            </w:pPr>
            <w:r>
              <w:rPr>
                <w:sz w:val="14"/>
              </w:rPr>
              <w:t>Repository controls; WIF; IAM separation; private build path; scans; immutable artifact; provenance; target approval; verification; rollback; metrics and retention.</w:t>
            </w:r>
          </w:p>
        </w:tc>
      </w:tr>
    </w:tbl>
    <w:p>
      <w:pPr>
        <w:spacing w:after="0"/>
      </w:pPr>
    </w:p>
    <w:p>
      <w:r>
        <w:br w:type="page"/>
      </w:r>
    </w:p>
    <w:p>
      <w:pPr>
        <w:pStyle w:val="Heading2"/>
      </w:pPr>
      <w:r>
        <w:t>28.8 Secret Manager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Assessment field</w:t>
            </w:r>
          </w:p>
        </w:tc>
        <w:tc>
          <w:tcPr>
            <w:tcW w:type="dxa" w:w="7257"/>
            <w:shd w:fill="174EA6"/>
          </w:tcPr>
          <w:p>
            <w:pPr>
              <w:spacing w:after="0"/>
            </w:pPr>
            <w:r>
              <w:rPr>
                <w:b/>
                <w:color w:val="FFFFFF"/>
                <w:sz w:val="14"/>
              </w:rPr>
              <w:t>Enterprise guidance</w:t>
            </w:r>
          </w:p>
        </w:tc>
      </w:tr>
      <w:tr>
        <w:tc>
          <w:tcPr>
            <w:tcW w:type="dxa" w:w="2381"/>
            <w:vAlign w:val="top"/>
          </w:tcPr>
          <w:p>
            <w:pPr>
              <w:spacing w:after="0"/>
            </w:pPr>
            <w:r>
              <w:rPr>
                <w:sz w:val="14"/>
              </w:rPr>
              <w:t>Service name</w:t>
            </w:r>
          </w:p>
        </w:tc>
        <w:tc>
          <w:tcPr>
            <w:tcW w:type="dxa" w:w="7257"/>
            <w:vAlign w:val="top"/>
          </w:tcPr>
          <w:p>
            <w:pPr>
              <w:spacing w:after="0"/>
            </w:pPr>
            <w:r>
              <w:rPr>
                <w:sz w:val="14"/>
              </w:rPr>
              <w:t>Secret Manager</w:t>
            </w:r>
          </w:p>
        </w:tc>
      </w:tr>
      <w:tr>
        <w:tc>
          <w:tcPr>
            <w:tcW w:type="dxa" w:w="2381"/>
            <w:shd w:fill="F7F8F9"/>
            <w:vAlign w:val="top"/>
          </w:tcPr>
          <w:p>
            <w:pPr>
              <w:spacing w:after="0"/>
            </w:pPr>
            <w:r>
              <w:rPr>
                <w:sz w:val="14"/>
              </w:rPr>
              <w:t>Purpose</w:t>
            </w:r>
          </w:p>
        </w:tc>
        <w:tc>
          <w:tcPr>
            <w:tcW w:type="dxa" w:w="7257"/>
            <w:shd w:fill="F7F8F9"/>
            <w:vAlign w:val="top"/>
          </w:tcPr>
          <w:p>
            <w:pPr>
              <w:spacing w:after="0"/>
            </w:pPr>
            <w:r>
              <w:rPr>
                <w:sz w:val="14"/>
              </w:rPr>
              <w:t>Managed secret storage and rotation integration</w:t>
            </w:r>
          </w:p>
        </w:tc>
      </w:tr>
      <w:tr>
        <w:tc>
          <w:tcPr>
            <w:tcW w:type="dxa" w:w="2381"/>
            <w:vAlign w:val="top"/>
          </w:tcPr>
          <w:p>
            <w:pPr>
              <w:spacing w:after="0"/>
            </w:pPr>
            <w:r>
              <w:rPr>
                <w:sz w:val="14"/>
              </w:rPr>
              <w:t>Enterprise architecture role</w:t>
            </w:r>
          </w:p>
        </w:tc>
        <w:tc>
          <w:tcPr>
            <w:tcW w:type="dxa" w:w="7257"/>
            <w:vAlign w:val="top"/>
          </w:tcPr>
          <w:p>
            <w:pPr>
              <w:spacing w:after="0"/>
            </w:pPr>
            <w:r>
              <w:rPr>
                <w:sz w:val="14"/>
              </w:rPr>
              <w:t>Store unavoidable third-party credentials without embedding them in source or pipeline configuration</w:t>
            </w:r>
          </w:p>
        </w:tc>
      </w:tr>
      <w:tr>
        <w:tc>
          <w:tcPr>
            <w:tcW w:type="dxa" w:w="2381"/>
            <w:shd w:fill="F7F8F9"/>
            <w:vAlign w:val="top"/>
          </w:tcPr>
          <w:p>
            <w:pPr>
              <w:spacing w:after="0"/>
            </w:pPr>
            <w:r>
              <w:rPr>
                <w:sz w:val="14"/>
              </w:rPr>
              <w:t>Business capabilities supported</w:t>
            </w:r>
          </w:p>
        </w:tc>
        <w:tc>
          <w:tcPr>
            <w:tcW w:type="dxa" w:w="7257"/>
            <w:shd w:fill="F7F8F9"/>
            <w:vAlign w:val="top"/>
          </w:tcPr>
          <w:p>
            <w:pPr>
              <w:spacing w:after="0"/>
            </w:pPr>
            <w:r>
              <w:rPr>
                <w:sz w:val="14"/>
              </w:rPr>
              <w:t>Secure software and data delivery, controlled change, auditability, platform engineering and regulated release evidence.</w:t>
            </w:r>
          </w:p>
        </w:tc>
      </w:tr>
      <w:tr>
        <w:tc>
          <w:tcPr>
            <w:tcW w:type="dxa" w:w="2381"/>
            <w:vAlign w:val="top"/>
          </w:tcPr>
          <w:p>
            <w:pPr>
              <w:spacing w:after="0"/>
            </w:pPr>
            <w:r>
              <w:rPr>
                <w:sz w:val="14"/>
              </w:rPr>
              <w:t>Technical capabilities</w:t>
            </w:r>
          </w:p>
        </w:tc>
        <w:tc>
          <w:tcPr>
            <w:tcW w:type="dxa" w:w="7257"/>
            <w:vAlign w:val="top"/>
          </w:tcPr>
          <w:p>
            <w:pPr>
              <w:spacing w:after="0"/>
            </w:pPr>
            <w:r>
              <w:rPr>
                <w:sz w:val="14"/>
              </w:rPr>
              <w:t>Managed secret storage and rotation integration integrated with IAM, logging, monitoring and Google Cloud resource controls.</w:t>
            </w:r>
          </w:p>
        </w:tc>
      </w:tr>
      <w:tr>
        <w:tc>
          <w:tcPr>
            <w:tcW w:type="dxa" w:w="2381"/>
            <w:shd w:fill="F7F8F9"/>
            <w:vAlign w:val="top"/>
          </w:tcPr>
          <w:p>
            <w:pPr>
              <w:spacing w:after="0"/>
            </w:pPr>
            <w:r>
              <w:rPr>
                <w:sz w:val="14"/>
              </w:rPr>
              <w:t>Benefits</w:t>
            </w:r>
          </w:p>
        </w:tc>
        <w:tc>
          <w:tcPr>
            <w:tcW w:type="dxa" w:w="7257"/>
            <w:shd w:fill="F7F8F9"/>
            <w:vAlign w:val="top"/>
          </w:tcPr>
          <w:p>
            <w:pPr>
              <w:spacing w:after="0"/>
            </w:pPr>
            <w:r>
              <w:rPr>
                <w:sz w:val="14"/>
              </w:rPr>
              <w:t>Managed integration, reduced undifferentiated operations, standard evidence and alignment with the inherited Google Cloud platform.</w:t>
            </w:r>
          </w:p>
        </w:tc>
      </w:tr>
      <w:tr>
        <w:tc>
          <w:tcPr>
            <w:tcW w:type="dxa" w:w="2381"/>
            <w:vAlign w:val="top"/>
          </w:tcPr>
          <w:p>
            <w:pPr>
              <w:spacing w:after="0"/>
            </w:pPr>
            <w:r>
              <w:rPr>
                <w:sz w:val="14"/>
              </w:rPr>
              <w:t>Limitations</w:t>
            </w:r>
          </w:p>
        </w:tc>
        <w:tc>
          <w:tcPr>
            <w:tcW w:type="dxa" w:w="7257"/>
            <w:vAlign w:val="top"/>
          </w:tcPr>
          <w:p>
            <w:pPr>
              <w:spacing w:after="0"/>
            </w:pPr>
            <w:r>
              <w:rPr>
                <w:sz w:val="14"/>
              </w:rPr>
              <w:t>Features, targets, quotas, locations, integrations and launch stages vary; some data assets require dedicated deployment lanes rather than application CD.</w:t>
            </w:r>
          </w:p>
        </w:tc>
      </w:tr>
      <w:tr>
        <w:tc>
          <w:tcPr>
            <w:tcW w:type="dxa" w:w="2381"/>
            <w:shd w:fill="F7F8F9"/>
            <w:vAlign w:val="top"/>
          </w:tcPr>
          <w:p>
            <w:pPr>
              <w:spacing w:after="0"/>
            </w:pPr>
            <w:r>
              <w:rPr>
                <w:sz w:val="14"/>
              </w:rPr>
              <w:t>Service quotas</w:t>
            </w:r>
          </w:p>
        </w:tc>
        <w:tc>
          <w:tcPr>
            <w:tcW w:type="dxa" w:w="7257"/>
            <w:shd w:fill="F7F8F9"/>
            <w:vAlign w:val="top"/>
          </w:tcPr>
          <w:p>
            <w:pPr>
              <w:spacing w:after="0"/>
            </w:pPr>
            <w:r>
              <w:rPr>
                <w:sz w:val="14"/>
              </w:rPr>
              <w:t>Validate project, regional, API, concurrency, storage and throughput quotas before scale rollout.</w:t>
            </w:r>
          </w:p>
        </w:tc>
      </w:tr>
      <w:tr>
        <w:tc>
          <w:tcPr>
            <w:tcW w:type="dxa" w:w="2381"/>
            <w:vAlign w:val="top"/>
          </w:tcPr>
          <w:p>
            <w:pPr>
              <w:spacing w:after="0"/>
            </w:pPr>
            <w:r>
              <w:rPr>
                <w:sz w:val="14"/>
              </w:rPr>
              <w:t>Regional availability considerations</w:t>
            </w:r>
          </w:p>
        </w:tc>
        <w:tc>
          <w:tcPr>
            <w:tcW w:type="dxa" w:w="7257"/>
            <w:vAlign w:val="top"/>
          </w:tcPr>
          <w:p>
            <w:pPr>
              <w:spacing w:after="0"/>
            </w:pPr>
            <w:r>
              <w:rPr>
                <w:sz w:val="14"/>
              </w:rPr>
              <w:t>Place regional resources such as private pools and repositories with the approved delivery/data plane; validate cross-region access and residency.</w:t>
            </w:r>
          </w:p>
        </w:tc>
      </w:tr>
      <w:tr>
        <w:tc>
          <w:tcPr>
            <w:tcW w:type="dxa" w:w="2381"/>
            <w:shd w:fill="F7F8F9"/>
            <w:vAlign w:val="top"/>
          </w:tcPr>
          <w:p>
            <w:pPr>
              <w:spacing w:after="0"/>
            </w:pPr>
            <w:r>
              <w:rPr>
                <w:sz w:val="14"/>
              </w:rPr>
              <w:t>High-availability characteristics</w:t>
            </w:r>
          </w:p>
        </w:tc>
        <w:tc>
          <w:tcPr>
            <w:tcW w:type="dxa" w:w="7257"/>
            <w:shd w:fill="F7F8F9"/>
            <w:vAlign w:val="top"/>
          </w:tcPr>
          <w:p>
            <w:pPr>
              <w:spacing w:after="0"/>
            </w:pPr>
            <w:r>
              <w:rPr>
                <w:sz w:val="14"/>
              </w:rPr>
              <w:t>Managed control planes reduce infrastructure operations; delivery workflows must tolerate API/transient failures and preserve source/artifacts for replay.</w:t>
            </w:r>
          </w:p>
        </w:tc>
      </w:tr>
      <w:tr>
        <w:tc>
          <w:tcPr>
            <w:tcW w:type="dxa" w:w="2381"/>
            <w:vAlign w:val="top"/>
          </w:tcPr>
          <w:p>
            <w:pPr>
              <w:spacing w:after="0"/>
            </w:pPr>
            <w:r>
              <w:rPr>
                <w:sz w:val="14"/>
              </w:rPr>
              <w:t>Disaster-recovery considerations</w:t>
            </w:r>
          </w:p>
        </w:tc>
        <w:tc>
          <w:tcPr>
            <w:tcW w:type="dxa" w:w="7257"/>
            <w:vAlign w:val="top"/>
          </w:tcPr>
          <w:p>
            <w:pPr>
              <w:spacing w:after="0"/>
            </w:pPr>
            <w:r>
              <w:rPr>
                <w:sz w:val="14"/>
              </w:rPr>
              <w:t>Back up source/configuration, replicate or rebuild artifact repositories where required, preserve provenance and test alternate build/deploy paths.</w:t>
            </w:r>
          </w:p>
        </w:tc>
      </w:tr>
      <w:tr>
        <w:tc>
          <w:tcPr>
            <w:tcW w:type="dxa" w:w="2381"/>
            <w:shd w:fill="F7F8F9"/>
            <w:vAlign w:val="top"/>
          </w:tcPr>
          <w:p>
            <w:pPr>
              <w:spacing w:after="0"/>
            </w:pPr>
            <w:r>
              <w:rPr>
                <w:sz w:val="14"/>
              </w:rPr>
              <w:t>Security model</w:t>
            </w:r>
          </w:p>
        </w:tc>
        <w:tc>
          <w:tcPr>
            <w:tcW w:type="dxa" w:w="7257"/>
            <w:shd w:fill="F7F8F9"/>
            <w:vAlign w:val="top"/>
          </w:tcPr>
          <w:p>
            <w:pPr>
              <w:spacing w:after="0"/>
            </w:pPr>
            <w:r>
              <w:rPr>
                <w:sz w:val="14"/>
              </w:rPr>
              <w:t>IAM, workload identity, protected repositories/environments, least privilege, private network access and immutable audit evidence.</w:t>
            </w:r>
          </w:p>
        </w:tc>
      </w:tr>
      <w:tr>
        <w:tc>
          <w:tcPr>
            <w:tcW w:type="dxa" w:w="2381"/>
            <w:vAlign w:val="top"/>
          </w:tcPr>
          <w:p>
            <w:pPr>
              <w:spacing w:after="0"/>
            </w:pPr>
            <w:r>
              <w:rPr>
                <w:sz w:val="14"/>
              </w:rPr>
              <w:t>IAM requirements</w:t>
            </w:r>
          </w:p>
        </w:tc>
        <w:tc>
          <w:tcPr>
            <w:tcW w:type="dxa" w:w="7257"/>
            <w:vAlign w:val="top"/>
          </w:tcPr>
          <w:p>
            <w:pPr>
              <w:spacing w:after="0"/>
            </w:pPr>
            <w:r>
              <w:rPr>
                <w:sz w:val="14"/>
              </w:rPr>
              <w:t>Separate source admin, workflow identity, build identity, artifact writer, deployer, approver and runtime identities.</w:t>
            </w:r>
          </w:p>
        </w:tc>
      </w:tr>
      <w:tr>
        <w:tc>
          <w:tcPr>
            <w:tcW w:type="dxa" w:w="2381"/>
            <w:shd w:fill="F7F8F9"/>
            <w:vAlign w:val="top"/>
          </w:tcPr>
          <w:p>
            <w:pPr>
              <w:spacing w:after="0"/>
            </w:pPr>
            <w:r>
              <w:rPr>
                <w:sz w:val="14"/>
              </w:rPr>
              <w:t>Network requirements</w:t>
            </w:r>
          </w:p>
        </w:tc>
        <w:tc>
          <w:tcPr>
            <w:tcW w:type="dxa" w:w="7257"/>
            <w:shd w:fill="F7F8F9"/>
            <w:vAlign w:val="top"/>
          </w:tcPr>
          <w:p>
            <w:pPr>
              <w:spacing w:after="0"/>
            </w:pPr>
            <w:r>
              <w:rPr>
                <w:sz w:val="14"/>
              </w:rPr>
              <w:t>Private pools or approved runners, Private Google Access/PSC where supported and controlled egress for dependencies.</w:t>
            </w:r>
          </w:p>
        </w:tc>
      </w:tr>
      <w:tr>
        <w:tc>
          <w:tcPr>
            <w:tcW w:type="dxa" w:w="2381"/>
            <w:vAlign w:val="top"/>
          </w:tcPr>
          <w:p>
            <w:pPr>
              <w:spacing w:after="0"/>
            </w:pPr>
            <w:r>
              <w:rPr>
                <w:sz w:val="14"/>
              </w:rPr>
              <w:t>VPC Service Controls considerations</w:t>
            </w:r>
          </w:p>
        </w:tc>
        <w:tc>
          <w:tcPr>
            <w:tcW w:type="dxa" w:w="7257"/>
            <w:vAlign w:val="top"/>
          </w:tcPr>
          <w:p>
            <w:pPr>
              <w:spacing w:after="0"/>
            </w:pPr>
            <w:r>
              <w:rPr>
                <w:sz w:val="14"/>
              </w:rPr>
              <w:t>Validate service support and ingress/egress dependencies; GitHub is outside the perimeter and must use WIF and narrowly authorized APIs.</w:t>
            </w:r>
          </w:p>
        </w:tc>
      </w:tr>
      <w:tr>
        <w:tc>
          <w:tcPr>
            <w:tcW w:type="dxa" w:w="2381"/>
            <w:shd w:fill="F7F8F9"/>
            <w:vAlign w:val="top"/>
          </w:tcPr>
          <w:p>
            <w:pPr>
              <w:spacing w:after="0"/>
            </w:pPr>
            <w:r>
              <w:rPr>
                <w:sz w:val="14"/>
              </w:rPr>
              <w:t>Encryption capabilities</w:t>
            </w:r>
          </w:p>
        </w:tc>
        <w:tc>
          <w:tcPr>
            <w:tcW w:type="dxa" w:w="7257"/>
            <w:shd w:fill="F7F8F9"/>
            <w:vAlign w:val="top"/>
          </w:tcPr>
          <w:p>
            <w:pPr>
              <w:spacing w:after="0"/>
            </w:pPr>
            <w:r>
              <w:rPr>
                <w:sz w:val="14"/>
              </w:rPr>
              <w:t>Google-managed encryption by default and TLS in transit; protect evidence, artifacts and configuration.</w:t>
            </w:r>
          </w:p>
        </w:tc>
      </w:tr>
      <w:tr>
        <w:tc>
          <w:tcPr>
            <w:tcW w:type="dxa" w:w="2381"/>
            <w:vAlign w:val="top"/>
          </w:tcPr>
          <w:p>
            <w:pPr>
              <w:spacing w:after="0"/>
            </w:pPr>
            <w:r>
              <w:rPr>
                <w:sz w:val="14"/>
              </w:rPr>
              <w:t>CMEK support</w:t>
            </w:r>
          </w:p>
        </w:tc>
        <w:tc>
          <w:tcPr>
            <w:tcW w:type="dxa" w:w="7257"/>
            <w:vAlign w:val="top"/>
          </w:tcPr>
          <w:p>
            <w:pPr>
              <w:spacing w:after="0"/>
            </w:pPr>
            <w:r>
              <w:rPr>
                <w:sz w:val="14"/>
              </w:rPr>
              <w:t>Use where required and supported, especially repositories/build resources; validate resource/location and service-agent permissions.</w:t>
            </w:r>
          </w:p>
        </w:tc>
      </w:tr>
      <w:tr>
        <w:tc>
          <w:tcPr>
            <w:tcW w:type="dxa" w:w="2381"/>
            <w:shd w:fill="F7F8F9"/>
            <w:vAlign w:val="top"/>
          </w:tcPr>
          <w:p>
            <w:pPr>
              <w:spacing w:after="0"/>
            </w:pPr>
            <w:r>
              <w:rPr>
                <w:sz w:val="14"/>
              </w:rPr>
              <w:t>Logging</w:t>
            </w:r>
          </w:p>
        </w:tc>
        <w:tc>
          <w:tcPr>
            <w:tcW w:type="dxa" w:w="7257"/>
            <w:shd w:fill="F7F8F9"/>
            <w:vAlign w:val="top"/>
          </w:tcPr>
          <w:p>
            <w:pPr>
              <w:spacing w:after="0"/>
            </w:pPr>
            <w:r>
              <w:rPr>
                <w:sz w:val="14"/>
              </w:rPr>
              <w:t>Enable audit, workflow, build, artifact and rollout logs; exclude secrets and sensitive payloads.</w:t>
            </w:r>
          </w:p>
        </w:tc>
      </w:tr>
      <w:tr>
        <w:tc>
          <w:tcPr>
            <w:tcW w:type="dxa" w:w="2381"/>
            <w:vAlign w:val="top"/>
          </w:tcPr>
          <w:p>
            <w:pPr>
              <w:spacing w:after="0"/>
            </w:pPr>
            <w:r>
              <w:rPr>
                <w:sz w:val="14"/>
              </w:rPr>
              <w:t>Monitoring</w:t>
            </w:r>
          </w:p>
        </w:tc>
        <w:tc>
          <w:tcPr>
            <w:tcW w:type="dxa" w:w="7257"/>
            <w:vAlign w:val="top"/>
          </w:tcPr>
          <w:p>
            <w:pPr>
              <w:spacing w:after="0"/>
            </w:pPr>
            <w:r>
              <w:rPr>
                <w:sz w:val="14"/>
              </w:rPr>
              <w:t>Track workflow/build/rollout success, duration, queue, policy failures, artifact age, vulnerabilities and release outcomes.</w:t>
            </w:r>
          </w:p>
        </w:tc>
      </w:tr>
      <w:tr>
        <w:tc>
          <w:tcPr>
            <w:tcW w:type="dxa" w:w="2381"/>
            <w:shd w:fill="F7F8F9"/>
            <w:vAlign w:val="top"/>
          </w:tcPr>
          <w:p>
            <w:pPr>
              <w:spacing w:after="0"/>
            </w:pPr>
            <w:r>
              <w:rPr>
                <w:sz w:val="14"/>
              </w:rPr>
              <w:t>Alerting</w:t>
            </w:r>
          </w:p>
        </w:tc>
        <w:tc>
          <w:tcPr>
            <w:tcW w:type="dxa" w:w="7257"/>
            <w:shd w:fill="F7F8F9"/>
            <w:vAlign w:val="top"/>
          </w:tcPr>
          <w:p>
            <w:pPr>
              <w:spacing w:after="0"/>
            </w:pPr>
            <w:r>
              <w:rPr>
                <w:sz w:val="14"/>
              </w:rPr>
              <w:t>Page only for production-impacting or supply-chain security events; route failed builds and policy trends to owners.</w:t>
            </w:r>
          </w:p>
        </w:tc>
      </w:tr>
      <w:tr>
        <w:tc>
          <w:tcPr>
            <w:tcW w:type="dxa" w:w="2381"/>
            <w:vAlign w:val="top"/>
          </w:tcPr>
          <w:p>
            <w:pPr>
              <w:spacing w:after="0"/>
            </w:pPr>
            <w:r>
              <w:rPr>
                <w:sz w:val="14"/>
              </w:rPr>
              <w:t>Cost drivers</w:t>
            </w:r>
          </w:p>
        </w:tc>
        <w:tc>
          <w:tcPr>
            <w:tcW w:type="dxa" w:w="7257"/>
            <w:vAlign w:val="top"/>
          </w:tcPr>
          <w:p>
            <w:pPr>
              <w:spacing w:after="0"/>
            </w:pPr>
            <w:r>
              <w:rPr>
                <w:sz w:val="14"/>
              </w:rPr>
              <w:t>Workflow minutes/runners, private build workers, storage, scanning, network, verification jobs and logging.</w:t>
            </w:r>
          </w:p>
        </w:tc>
      </w:tr>
      <w:tr>
        <w:tc>
          <w:tcPr>
            <w:tcW w:type="dxa" w:w="2381"/>
            <w:shd w:fill="F7F8F9"/>
            <w:vAlign w:val="top"/>
          </w:tcPr>
          <w:p>
            <w:pPr>
              <w:spacing w:after="0"/>
            </w:pPr>
            <w:r>
              <w:rPr>
                <w:sz w:val="14"/>
              </w:rPr>
              <w:t>Cost-optimization techniques</w:t>
            </w:r>
          </w:p>
        </w:tc>
        <w:tc>
          <w:tcPr>
            <w:tcW w:type="dxa" w:w="7257"/>
            <w:shd w:fill="F7F8F9"/>
            <w:vAlign w:val="top"/>
          </w:tcPr>
          <w:p>
            <w:pPr>
              <w:spacing w:after="0"/>
            </w:pPr>
            <w:r>
              <w:rPr>
                <w:sz w:val="14"/>
              </w:rPr>
              <w:t>Cache safely, right-size private pools, avoid duplicate rebuilds, apply cleanup policies and limit noisy logs without weakening evidence.</w:t>
            </w:r>
          </w:p>
        </w:tc>
      </w:tr>
      <w:tr>
        <w:tc>
          <w:tcPr>
            <w:tcW w:type="dxa" w:w="2381"/>
            <w:vAlign w:val="top"/>
          </w:tcPr>
          <w:p>
            <w:pPr>
              <w:spacing w:after="0"/>
            </w:pPr>
            <w:r>
              <w:rPr>
                <w:sz w:val="14"/>
              </w:rPr>
              <w:t>Operational responsibilities</w:t>
            </w:r>
          </w:p>
        </w:tc>
        <w:tc>
          <w:tcPr>
            <w:tcW w:type="dxa" w:w="7257"/>
            <w:vAlign w:val="top"/>
          </w:tcPr>
          <w:p>
            <w:pPr>
              <w:spacing w:after="0"/>
            </w:pPr>
            <w:r>
              <w:rPr>
                <w:sz w:val="14"/>
              </w:rPr>
              <w:t>Platform DevSecOps owns golden paths; product teams own code/tests and release outcomes; security owns policy; SRE owns production rollout/rollback practice.</w:t>
            </w:r>
          </w:p>
        </w:tc>
      </w:tr>
      <w:tr>
        <w:tc>
          <w:tcPr>
            <w:tcW w:type="dxa" w:w="2381"/>
            <w:shd w:fill="F7F8F9"/>
            <w:vAlign w:val="top"/>
          </w:tcPr>
          <w:p>
            <w:pPr>
              <w:spacing w:after="0"/>
            </w:pPr>
            <w:r>
              <w:rPr>
                <w:sz w:val="14"/>
              </w:rPr>
              <w:t>Integration points</w:t>
            </w:r>
          </w:p>
        </w:tc>
        <w:tc>
          <w:tcPr>
            <w:tcW w:type="dxa" w:w="7257"/>
            <w:shd w:fill="F7F8F9"/>
            <w:vAlign w:val="top"/>
          </w:tcPr>
          <w:p>
            <w:pPr>
              <w:spacing w:after="0"/>
            </w:pPr>
            <w:r>
              <w:rPr>
                <w:sz w:val="14"/>
              </w:rPr>
              <w:t>GitHub, IAM/WIF, Cloud Build, Artifact Registry, Cloud Deploy, Binary Authorization, Security Command Center, Monitoring, Terraform and target services.</w:t>
            </w:r>
          </w:p>
        </w:tc>
      </w:tr>
      <w:tr>
        <w:tc>
          <w:tcPr>
            <w:tcW w:type="dxa" w:w="2381"/>
            <w:vAlign w:val="top"/>
          </w:tcPr>
          <w:p>
            <w:pPr>
              <w:spacing w:after="0"/>
            </w:pPr>
            <w:r>
              <w:rPr>
                <w:sz w:val="14"/>
              </w:rPr>
              <w:t>Alternatives</w:t>
            </w:r>
          </w:p>
        </w:tc>
        <w:tc>
          <w:tcPr>
            <w:tcW w:type="dxa" w:w="7257"/>
            <w:vAlign w:val="top"/>
          </w:tcPr>
          <w:p>
            <w:pPr>
              <w:spacing w:after="0"/>
            </w:pPr>
            <w:r>
              <w:rPr>
                <w:sz w:val="14"/>
              </w:rPr>
              <w:t>GitLab/Jenkins/Azure DevOps, third-party registries/deployment tools or custom pipelines when approved requirements are unmet.</w:t>
            </w:r>
          </w:p>
        </w:tc>
      </w:tr>
      <w:tr>
        <w:tc>
          <w:tcPr>
            <w:tcW w:type="dxa" w:w="2381"/>
            <w:shd w:fill="F7F8F9"/>
            <w:vAlign w:val="top"/>
          </w:tcPr>
          <w:p>
            <w:pPr>
              <w:spacing w:after="0"/>
            </w:pPr>
            <w:r>
              <w:rPr>
                <w:sz w:val="14"/>
              </w:rPr>
              <w:t>Selection criteria</w:t>
            </w:r>
          </w:p>
        </w:tc>
        <w:tc>
          <w:tcPr>
            <w:tcW w:type="dxa" w:w="7257"/>
            <w:shd w:fill="F7F8F9"/>
            <w:vAlign w:val="top"/>
          </w:tcPr>
          <w:p>
            <w:pPr>
              <w:spacing w:after="0"/>
            </w:pPr>
            <w:r>
              <w:rPr>
                <w:sz w:val="14"/>
              </w:rPr>
              <w:t>Source governance, identity, network, artifact type, target support, regulated evidence, progressive delivery, operability and cost.</w:t>
            </w:r>
          </w:p>
        </w:tc>
      </w:tr>
      <w:tr>
        <w:tc>
          <w:tcPr>
            <w:tcW w:type="dxa" w:w="2381"/>
            <w:vAlign w:val="top"/>
          </w:tcPr>
          <w:p>
            <w:pPr>
              <w:spacing w:after="0"/>
            </w:pPr>
            <w:r>
              <w:rPr>
                <w:sz w:val="14"/>
              </w:rPr>
              <w:t>Best practices</w:t>
            </w:r>
          </w:p>
        </w:tc>
        <w:tc>
          <w:tcPr>
            <w:tcW w:type="dxa" w:w="7257"/>
            <w:vAlign w:val="top"/>
          </w:tcPr>
          <w:p>
            <w:pPr>
              <w:spacing w:after="0"/>
            </w:pPr>
            <w:r>
              <w:rPr>
                <w:sz w:val="14"/>
              </w:rPr>
              <w:t>Keyless identity, immutable digests, pinned dependencies, isolated builds, policy gates, same-artifact promotion, independent approval and tested rollback.</w:t>
            </w:r>
          </w:p>
        </w:tc>
      </w:tr>
      <w:tr>
        <w:tc>
          <w:tcPr>
            <w:tcW w:type="dxa" w:w="2381"/>
            <w:shd w:fill="F7F8F9"/>
            <w:vAlign w:val="top"/>
          </w:tcPr>
          <w:p>
            <w:pPr>
              <w:spacing w:after="0"/>
            </w:pPr>
            <w:r>
              <w:rPr>
                <w:sz w:val="14"/>
              </w:rPr>
              <w:t>Reference architecture</w:t>
            </w:r>
          </w:p>
        </w:tc>
        <w:tc>
          <w:tcPr>
            <w:tcW w:type="dxa" w:w="7257"/>
            <w:shd w:fill="F7F8F9"/>
            <w:vAlign w:val="top"/>
          </w:tcPr>
          <w:p>
            <w:pPr>
              <w:spacing w:after="0"/>
            </w:pPr>
            <w:r>
              <w:rPr>
                <w:sz w:val="14"/>
              </w:rPr>
              <w:t>GitHub -&gt; PR checks -&gt; WIF -&gt; Cloud Build -&gt; Artifact Registry -&gt; policy/attestation -&gt; target-specific deployment -&gt; monitoring/rollback.</w:t>
            </w:r>
          </w:p>
        </w:tc>
      </w:tr>
      <w:tr>
        <w:tc>
          <w:tcPr>
            <w:tcW w:type="dxa" w:w="2381"/>
            <w:vAlign w:val="top"/>
          </w:tcPr>
          <w:p>
            <w:pPr>
              <w:spacing w:after="0"/>
            </w:pPr>
            <w:r>
              <w:rPr>
                <w:sz w:val="14"/>
              </w:rPr>
              <w:t>Sample configuration</w:t>
            </w:r>
          </w:p>
        </w:tc>
        <w:tc>
          <w:tcPr>
            <w:tcW w:type="dxa" w:w="7257"/>
            <w:vAlign w:val="top"/>
          </w:tcPr>
          <w:p>
            <w:pPr>
              <w:spacing w:after="0"/>
            </w:pPr>
            <w:r>
              <w:rPr>
                <w:sz w:val="14"/>
              </w:rPr>
              <w:t>See examples folders; validate exact action versions, API schema and provider arguments before production use.</w:t>
            </w:r>
          </w:p>
        </w:tc>
      </w:tr>
      <w:tr>
        <w:tc>
          <w:tcPr>
            <w:tcW w:type="dxa" w:w="2381"/>
            <w:shd w:fill="F7F8F9"/>
            <w:vAlign w:val="top"/>
          </w:tcPr>
          <w:p>
            <w:pPr>
              <w:spacing w:after="0"/>
            </w:pPr>
            <w:r>
              <w:rPr>
                <w:sz w:val="14"/>
              </w:rPr>
              <w:t>Common pitfalls</w:t>
            </w:r>
          </w:p>
        </w:tc>
        <w:tc>
          <w:tcPr>
            <w:tcW w:type="dxa" w:w="7257"/>
            <w:shd w:fill="F7F8F9"/>
            <w:vAlign w:val="top"/>
          </w:tcPr>
          <w:p>
            <w:pPr>
              <w:spacing w:after="0"/>
            </w:pPr>
            <w:r>
              <w:rPr>
                <w:sz w:val="14"/>
              </w:rPr>
              <w:t>Long-lived keys, mutable tags, unpinned actions, broad service accounts, rebuild per environment, unmanaged console deployment and absent rollback evidence.</w:t>
            </w:r>
          </w:p>
        </w:tc>
      </w:tr>
      <w:tr>
        <w:tc>
          <w:tcPr>
            <w:tcW w:type="dxa" w:w="2381"/>
            <w:vAlign w:val="top"/>
          </w:tcPr>
          <w:p>
            <w:pPr>
              <w:spacing w:after="0"/>
            </w:pPr>
            <w:r>
              <w:rPr>
                <w:sz w:val="14"/>
              </w:rPr>
              <w:t>Anti-patterns</w:t>
            </w:r>
          </w:p>
        </w:tc>
        <w:tc>
          <w:tcPr>
            <w:tcW w:type="dxa" w:w="7257"/>
            <w:vAlign w:val="top"/>
          </w:tcPr>
          <w:p>
            <w:pPr>
              <w:spacing w:after="0"/>
            </w:pPr>
            <w:r>
              <w:rPr>
                <w:sz w:val="14"/>
              </w:rPr>
              <w:t>CI identity is project owner; production deployment from developer laptop; secret in repository; latest tag; approval by code author only.</w:t>
            </w:r>
          </w:p>
        </w:tc>
      </w:tr>
      <w:tr>
        <w:tc>
          <w:tcPr>
            <w:tcW w:type="dxa" w:w="2381"/>
            <w:shd w:fill="F7F8F9"/>
            <w:vAlign w:val="top"/>
          </w:tcPr>
          <w:p>
            <w:pPr>
              <w:spacing w:after="0"/>
            </w:pPr>
            <w:r>
              <w:rPr>
                <w:sz w:val="14"/>
              </w:rPr>
              <w:t>Production-readiness checklist</w:t>
            </w:r>
          </w:p>
        </w:tc>
        <w:tc>
          <w:tcPr>
            <w:tcW w:type="dxa" w:w="7257"/>
            <w:shd w:fill="F7F8F9"/>
            <w:vAlign w:val="top"/>
          </w:tcPr>
          <w:p>
            <w:pPr>
              <w:spacing w:after="0"/>
            </w:pPr>
            <w:r>
              <w:rPr>
                <w:sz w:val="14"/>
              </w:rPr>
              <w:t>Repository controls; WIF; IAM separation; private build path; scans; immutable artifact; provenance; target approval; verification; rollback; metrics and retention.</w:t>
            </w:r>
          </w:p>
        </w:tc>
      </w:tr>
    </w:tbl>
    <w:p>
      <w:pPr>
        <w:spacing w:after="0"/>
      </w:pPr>
    </w:p>
    <w:p>
      <w:r>
        <w:br w:type="page"/>
      </w:r>
    </w:p>
    <w:p>
      <w:pPr>
        <w:pStyle w:val="Heading1"/>
      </w:pPr>
      <w:r>
        <w:t>29. Architecture Decision Records</w:t>
      </w:r>
    </w:p>
    <w:p>
      <w:r>
        <w:t>Ten full ADR files are included in the package and summarized in this document.</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tcPr>
          <w:p>
            <w:pPr>
              <w:spacing w:after="0"/>
            </w:pPr>
            <w:r>
              <w:rPr>
                <w:b/>
                <w:color w:val="FFFFFF"/>
                <w:sz w:val="14"/>
              </w:rPr>
              <w:t>ADR</w:t>
            </w:r>
          </w:p>
        </w:tc>
        <w:tc>
          <w:tcPr>
            <w:tcW w:type="dxa" w:w="3383"/>
            <w:shd w:fill="174EA6"/>
          </w:tcPr>
          <w:p>
            <w:pPr>
              <w:spacing w:after="0"/>
            </w:pPr>
            <w:r>
              <w:rPr>
                <w:b/>
                <w:color w:val="FFFFFF"/>
                <w:sz w:val="14"/>
              </w:rPr>
              <w:t>Decision title</w:t>
            </w:r>
          </w:p>
        </w:tc>
        <w:tc>
          <w:tcPr>
            <w:tcW w:type="dxa" w:w="3383"/>
            <w:shd w:fill="174EA6"/>
          </w:tcPr>
          <w:p>
            <w:pPr>
              <w:spacing w:after="0"/>
            </w:pPr>
            <w:r>
              <w:rPr>
                <w:b/>
                <w:color w:val="FFFFFF"/>
                <w:sz w:val="14"/>
              </w:rPr>
              <w:t>Status</w:t>
            </w:r>
          </w:p>
        </w:tc>
      </w:tr>
      <w:tr>
        <w:tc>
          <w:tcPr>
            <w:tcW w:type="dxa" w:w="3383"/>
            <w:vAlign w:val="top"/>
          </w:tcPr>
          <w:p>
            <w:pPr>
              <w:spacing w:after="0"/>
            </w:pPr>
            <w:r>
              <w:rPr>
                <w:sz w:val="14"/>
              </w:rPr>
              <w:t>ADR-0901</w:t>
            </w:r>
          </w:p>
        </w:tc>
        <w:tc>
          <w:tcPr>
            <w:tcW w:type="dxa" w:w="3383"/>
            <w:vAlign w:val="top"/>
          </w:tcPr>
          <w:p>
            <w:pPr>
              <w:spacing w:after="0"/>
            </w:pPr>
            <w:r>
              <w:rPr>
                <w:sz w:val="14"/>
              </w:rPr>
              <w:t>Use GitHub Enterprise as the primary source-control platform</w:t>
            </w:r>
          </w:p>
        </w:tc>
        <w:tc>
          <w:tcPr>
            <w:tcW w:type="dxa" w:w="3383"/>
            <w:vAlign w:val="top"/>
          </w:tcPr>
          <w:p>
            <w:pPr>
              <w:spacing w:after="0"/>
            </w:pPr>
            <w:r>
              <w:rPr>
                <w:sz w:val="14"/>
              </w:rPr>
              <w:t>Approved reference</w:t>
            </w:r>
          </w:p>
        </w:tc>
      </w:tr>
      <w:tr>
        <w:tc>
          <w:tcPr>
            <w:tcW w:type="dxa" w:w="3383"/>
            <w:shd w:fill="F7F8F9"/>
            <w:vAlign w:val="top"/>
          </w:tcPr>
          <w:p>
            <w:pPr>
              <w:spacing w:after="0"/>
            </w:pPr>
            <w:r>
              <w:rPr>
                <w:sz w:val="14"/>
              </w:rPr>
              <w:t>ADR-0902</w:t>
            </w:r>
          </w:p>
        </w:tc>
        <w:tc>
          <w:tcPr>
            <w:tcW w:type="dxa" w:w="3383"/>
            <w:shd w:fill="F7F8F9"/>
            <w:vAlign w:val="top"/>
          </w:tcPr>
          <w:p>
            <w:pPr>
              <w:spacing w:after="0"/>
            </w:pPr>
            <w:r>
              <w:rPr>
                <w:sz w:val="14"/>
              </w:rPr>
              <w:t>Use a federated multi-repository strategy</w:t>
            </w:r>
          </w:p>
        </w:tc>
        <w:tc>
          <w:tcPr>
            <w:tcW w:type="dxa" w:w="3383"/>
            <w:shd w:fill="F7F8F9"/>
            <w:vAlign w:val="top"/>
          </w:tcPr>
          <w:p>
            <w:pPr>
              <w:spacing w:after="0"/>
            </w:pPr>
            <w:r>
              <w:rPr>
                <w:sz w:val="14"/>
              </w:rPr>
              <w:t>Approved reference</w:t>
            </w:r>
          </w:p>
        </w:tc>
      </w:tr>
      <w:tr>
        <w:tc>
          <w:tcPr>
            <w:tcW w:type="dxa" w:w="3383"/>
            <w:vAlign w:val="top"/>
          </w:tcPr>
          <w:p>
            <w:pPr>
              <w:spacing w:after="0"/>
            </w:pPr>
            <w:r>
              <w:rPr>
                <w:sz w:val="14"/>
              </w:rPr>
              <w:t>ADR-0903</w:t>
            </w:r>
          </w:p>
        </w:tc>
        <w:tc>
          <w:tcPr>
            <w:tcW w:type="dxa" w:w="3383"/>
            <w:vAlign w:val="top"/>
          </w:tcPr>
          <w:p>
            <w:pPr>
              <w:spacing w:after="0"/>
            </w:pPr>
            <w:r>
              <w:rPr>
                <w:sz w:val="14"/>
              </w:rPr>
              <w:t>Use trunk-based development with short-lived branches</w:t>
            </w:r>
          </w:p>
        </w:tc>
        <w:tc>
          <w:tcPr>
            <w:tcW w:type="dxa" w:w="3383"/>
            <w:vAlign w:val="top"/>
          </w:tcPr>
          <w:p>
            <w:pPr>
              <w:spacing w:after="0"/>
            </w:pPr>
            <w:r>
              <w:rPr>
                <w:sz w:val="14"/>
              </w:rPr>
              <w:t>Approved reference</w:t>
            </w:r>
          </w:p>
        </w:tc>
      </w:tr>
      <w:tr>
        <w:tc>
          <w:tcPr>
            <w:tcW w:type="dxa" w:w="3383"/>
            <w:shd w:fill="F7F8F9"/>
            <w:vAlign w:val="top"/>
          </w:tcPr>
          <w:p>
            <w:pPr>
              <w:spacing w:after="0"/>
            </w:pPr>
            <w:r>
              <w:rPr>
                <w:sz w:val="14"/>
              </w:rPr>
              <w:t>ADR-0904</w:t>
            </w:r>
          </w:p>
        </w:tc>
        <w:tc>
          <w:tcPr>
            <w:tcW w:type="dxa" w:w="3383"/>
            <w:shd w:fill="F7F8F9"/>
            <w:vAlign w:val="top"/>
          </w:tcPr>
          <w:p>
            <w:pPr>
              <w:spacing w:after="0"/>
            </w:pPr>
            <w:r>
              <w:rPr>
                <w:sz w:val="14"/>
              </w:rPr>
              <w:t>Use semantic versioning and immutable release manifests</w:t>
            </w:r>
          </w:p>
        </w:tc>
        <w:tc>
          <w:tcPr>
            <w:tcW w:type="dxa" w:w="3383"/>
            <w:shd w:fill="F7F8F9"/>
            <w:vAlign w:val="top"/>
          </w:tcPr>
          <w:p>
            <w:pPr>
              <w:spacing w:after="0"/>
            </w:pPr>
            <w:r>
              <w:rPr>
                <w:sz w:val="14"/>
              </w:rPr>
              <w:t>Approved reference</w:t>
            </w:r>
          </w:p>
        </w:tc>
      </w:tr>
      <w:tr>
        <w:tc>
          <w:tcPr>
            <w:tcW w:type="dxa" w:w="3383"/>
            <w:vAlign w:val="top"/>
          </w:tcPr>
          <w:p>
            <w:pPr>
              <w:spacing w:after="0"/>
            </w:pPr>
            <w:r>
              <w:rPr>
                <w:sz w:val="14"/>
              </w:rPr>
              <w:t>ADR-0905</w:t>
            </w:r>
          </w:p>
        </w:tc>
        <w:tc>
          <w:tcPr>
            <w:tcW w:type="dxa" w:w="3383"/>
            <w:vAlign w:val="top"/>
          </w:tcPr>
          <w:p>
            <w:pPr>
              <w:spacing w:after="0"/>
            </w:pPr>
            <w:r>
              <w:rPr>
                <w:sz w:val="14"/>
              </w:rPr>
              <w:t>Split orchestration between GitHub Actions and Cloud Build</w:t>
            </w:r>
          </w:p>
        </w:tc>
        <w:tc>
          <w:tcPr>
            <w:tcW w:type="dxa" w:w="3383"/>
            <w:vAlign w:val="top"/>
          </w:tcPr>
          <w:p>
            <w:pPr>
              <w:spacing w:after="0"/>
            </w:pPr>
            <w:r>
              <w:rPr>
                <w:sz w:val="14"/>
              </w:rPr>
              <w:t>Approved reference</w:t>
            </w:r>
          </w:p>
        </w:tc>
      </w:tr>
      <w:tr>
        <w:tc>
          <w:tcPr>
            <w:tcW w:type="dxa" w:w="3383"/>
            <w:shd w:fill="F7F8F9"/>
            <w:vAlign w:val="top"/>
          </w:tcPr>
          <w:p>
            <w:pPr>
              <w:spacing w:after="0"/>
            </w:pPr>
            <w:r>
              <w:rPr>
                <w:sz w:val="14"/>
              </w:rPr>
              <w:t>ADR-0906</w:t>
            </w:r>
          </w:p>
        </w:tc>
        <w:tc>
          <w:tcPr>
            <w:tcW w:type="dxa" w:w="3383"/>
            <w:shd w:fill="F7F8F9"/>
            <w:vAlign w:val="top"/>
          </w:tcPr>
          <w:p>
            <w:pPr>
              <w:spacing w:after="0"/>
            </w:pPr>
            <w:r>
              <w:rPr>
                <w:sz w:val="14"/>
              </w:rPr>
              <w:t>Use Workload Identity Federation for external CI/CD</w:t>
            </w:r>
          </w:p>
        </w:tc>
        <w:tc>
          <w:tcPr>
            <w:tcW w:type="dxa" w:w="3383"/>
            <w:shd w:fill="F7F8F9"/>
            <w:vAlign w:val="top"/>
          </w:tcPr>
          <w:p>
            <w:pPr>
              <w:spacing w:after="0"/>
            </w:pPr>
            <w:r>
              <w:rPr>
                <w:sz w:val="14"/>
              </w:rPr>
              <w:t>Approved reference</w:t>
            </w:r>
          </w:p>
        </w:tc>
      </w:tr>
      <w:tr>
        <w:tc>
          <w:tcPr>
            <w:tcW w:type="dxa" w:w="3383"/>
            <w:vAlign w:val="top"/>
          </w:tcPr>
          <w:p>
            <w:pPr>
              <w:spacing w:after="0"/>
            </w:pPr>
            <w:r>
              <w:rPr>
                <w:sz w:val="14"/>
              </w:rPr>
              <w:t>ADR-0907</w:t>
            </w:r>
          </w:p>
        </w:tc>
        <w:tc>
          <w:tcPr>
            <w:tcW w:type="dxa" w:w="3383"/>
            <w:vAlign w:val="top"/>
          </w:tcPr>
          <w:p>
            <w:pPr>
              <w:spacing w:after="0"/>
            </w:pPr>
            <w:r>
              <w:rPr>
                <w:sz w:val="14"/>
              </w:rPr>
              <w:t>Use Artifact Registry as the enterprise artifact system of record</w:t>
            </w:r>
          </w:p>
        </w:tc>
        <w:tc>
          <w:tcPr>
            <w:tcW w:type="dxa" w:w="3383"/>
            <w:vAlign w:val="top"/>
          </w:tcPr>
          <w:p>
            <w:pPr>
              <w:spacing w:after="0"/>
            </w:pPr>
            <w:r>
              <w:rPr>
                <w:sz w:val="14"/>
              </w:rPr>
              <w:t>Approved reference</w:t>
            </w:r>
          </w:p>
        </w:tc>
      </w:tr>
      <w:tr>
        <w:tc>
          <w:tcPr>
            <w:tcW w:type="dxa" w:w="3383"/>
            <w:shd w:fill="F7F8F9"/>
            <w:vAlign w:val="top"/>
          </w:tcPr>
          <w:p>
            <w:pPr>
              <w:spacing w:after="0"/>
            </w:pPr>
            <w:r>
              <w:rPr>
                <w:sz w:val="14"/>
              </w:rPr>
              <w:t>ADR-0908</w:t>
            </w:r>
          </w:p>
        </w:tc>
        <w:tc>
          <w:tcPr>
            <w:tcW w:type="dxa" w:w="3383"/>
            <w:shd w:fill="F7F8F9"/>
            <w:vAlign w:val="top"/>
          </w:tcPr>
          <w:p>
            <w:pPr>
              <w:spacing w:after="0"/>
            </w:pPr>
            <w:r>
              <w:rPr>
                <w:sz w:val="14"/>
              </w:rPr>
              <w:t>Use Cloud Deploy for supported application continuous delivery</w:t>
            </w:r>
          </w:p>
        </w:tc>
        <w:tc>
          <w:tcPr>
            <w:tcW w:type="dxa" w:w="3383"/>
            <w:shd w:fill="F7F8F9"/>
            <w:vAlign w:val="top"/>
          </w:tcPr>
          <w:p>
            <w:pPr>
              <w:spacing w:after="0"/>
            </w:pPr>
            <w:r>
              <w:rPr>
                <w:sz w:val="14"/>
              </w:rPr>
              <w:t>Approved reference</w:t>
            </w:r>
          </w:p>
        </w:tc>
      </w:tr>
      <w:tr>
        <w:tc>
          <w:tcPr>
            <w:tcW w:type="dxa" w:w="3383"/>
            <w:vAlign w:val="top"/>
          </w:tcPr>
          <w:p>
            <w:pPr>
              <w:spacing w:after="0"/>
            </w:pPr>
            <w:r>
              <w:rPr>
                <w:sz w:val="14"/>
              </w:rPr>
              <w:t>ADR-0909</w:t>
            </w:r>
          </w:p>
        </w:tc>
        <w:tc>
          <w:tcPr>
            <w:tcW w:type="dxa" w:w="3383"/>
            <w:vAlign w:val="top"/>
          </w:tcPr>
          <w:p>
            <w:pPr>
              <w:spacing w:after="0"/>
            </w:pPr>
            <w:r>
              <w:rPr>
                <w:sz w:val="14"/>
              </w:rPr>
              <w:t>Enforce policy-as-code and supply-chain attestations</w:t>
            </w:r>
          </w:p>
        </w:tc>
        <w:tc>
          <w:tcPr>
            <w:tcW w:type="dxa" w:w="3383"/>
            <w:vAlign w:val="top"/>
          </w:tcPr>
          <w:p>
            <w:pPr>
              <w:spacing w:after="0"/>
            </w:pPr>
            <w:r>
              <w:rPr>
                <w:sz w:val="14"/>
              </w:rPr>
              <w:t>Approved reference</w:t>
            </w:r>
          </w:p>
        </w:tc>
      </w:tr>
      <w:tr>
        <w:tc>
          <w:tcPr>
            <w:tcW w:type="dxa" w:w="3383"/>
            <w:shd w:fill="F7F8F9"/>
            <w:vAlign w:val="top"/>
          </w:tcPr>
          <w:p>
            <w:pPr>
              <w:spacing w:after="0"/>
            </w:pPr>
            <w:r>
              <w:rPr>
                <w:sz w:val="14"/>
              </w:rPr>
              <w:t>ADR-0910</w:t>
            </w:r>
          </w:p>
        </w:tc>
        <w:tc>
          <w:tcPr>
            <w:tcW w:type="dxa" w:w="3383"/>
            <w:shd w:fill="F7F8F9"/>
            <w:vAlign w:val="top"/>
          </w:tcPr>
          <w:p>
            <w:pPr>
              <w:spacing w:after="0"/>
            </w:pPr>
            <w:r>
              <w:rPr>
                <w:sz w:val="14"/>
              </w:rPr>
              <w:t>Target SLSA-aligned provenance and progressive deployment</w:t>
            </w:r>
          </w:p>
        </w:tc>
        <w:tc>
          <w:tcPr>
            <w:tcW w:type="dxa" w:w="3383"/>
            <w:shd w:fill="F7F8F9"/>
            <w:vAlign w:val="top"/>
          </w:tcPr>
          <w:p>
            <w:pPr>
              <w:spacing w:after="0"/>
            </w:pPr>
            <w:r>
              <w:rPr>
                <w:sz w:val="14"/>
              </w:rPr>
              <w:t>Approved reference</w:t>
            </w:r>
          </w:p>
        </w:tc>
      </w:tr>
    </w:tbl>
    <w:p>
      <w:pPr>
        <w:spacing w:after="0"/>
      </w:pPr>
    </w:p>
    <w:p>
      <w:r>
        <w:br w:type="page"/>
      </w:r>
    </w:p>
    <w:p>
      <w:pPr>
        <w:pStyle w:val="Heading2"/>
      </w:pPr>
      <w:r>
        <w:t>ADR-0901 - Use GitHub Enterprise as the primary source-control platform</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ADR-0901</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Use GitHub Enterprise as the primary source-control platform</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Adopt GitHub Enterprise organizations with SSO, repository rulesets, CODEOWNERS, protected environments and enterprise audit integration.</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ADR-0902 - Use a federated multi-repository strategy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ADR-0902</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Use a federated multi-repository strategy</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Use separate repositories for platform modules, policy libraries, domain data products and applications; allow a monorepo only when one ownership and release boundary is demonstrably stronger.</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ADR-0903 - Use trunk-based development with short-lived branches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ADR-0903</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Use trunk-based development with short-lived branches</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Merge through protected pull requests to main; use release branches only for supported maintenance or tightly controlled regulated releases.</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ADR-0904 - Use semantic versioning and immutable release manifests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ADR-0904</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Use semantic versioning and immutable release manifests</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Version reusable modules and products semantically; identify runtime artifacts by digest and record a release manifest linking all evidence.</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ADR-0905 - Split orchestration between GitHub Actions and Cloud Build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ADR-0905</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Split orchestration between GitHub Actions and Cloud Build</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Use GitHub Actions for repository-native orchestration and Cloud Build for trusted Google Cloud builds, private network access, provenance and artifact publication.</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ADR-0906 - Use Workload Identity Federation for external CI/CD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ADR-0906</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Use Workload Identity Federation for external CI/CD</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Use OIDC federation and service-account impersonation with repository/ref/workflow/environment conditions; prohibit service-account keys.</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ADR-0907 - Use Artifact Registry as the enterprise artifact system of record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ADR-0907</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Use Artifact Registry as the enterprise artifact system of record</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Store images, packages and modules in regional repositories with immutable tags/digests, scanning, CMEK where required and controlled cleanup.</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ADR-0908 - Use Cloud Deploy for supported application continuous delivery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ADR-0908</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Use Cloud Deploy for supported application continuous delivery</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Use Cloud Deploy for Cloud Run/GKE and supported targets with approval, verification and canary/standard strategies; use dedicated pipelines for Terraform and data assets.</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ADR-0909 - Enforce policy-as-code and supply-chain attestations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ADR-0909</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Enforce policy-as-code and supply-chain attestations</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Use OPA/conftest plus Artifact Analysis and Binary Authorization attestations; stage policies through audit/dry-run before enforcement.</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2"/>
      </w:pPr>
      <w:r>
        <w:t>ADR-0910 - Target SLSA-aligned provenance and progressive deployment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381"/>
            <w:shd w:fill="174EA6"/>
          </w:tcPr>
          <w:p>
            <w:pPr>
              <w:spacing w:after="0"/>
            </w:pPr>
            <w:r>
              <w:rPr>
                <w:b/>
                <w:color w:val="FFFFFF"/>
                <w:sz w:val="14"/>
              </w:rPr>
              <w:t>Field</w:t>
            </w:r>
          </w:p>
        </w:tc>
        <w:tc>
          <w:tcPr>
            <w:tcW w:type="dxa" w:w="7257"/>
            <w:shd w:fill="174EA6"/>
          </w:tcPr>
          <w:p>
            <w:pPr>
              <w:spacing w:after="0"/>
            </w:pPr>
            <w:r>
              <w:rPr>
                <w:b/>
                <w:color w:val="FFFFFF"/>
                <w:sz w:val="14"/>
              </w:rPr>
              <w:t>Decision record</w:t>
            </w:r>
          </w:p>
        </w:tc>
      </w:tr>
      <w:tr>
        <w:tc>
          <w:tcPr>
            <w:tcW w:type="dxa" w:w="2381"/>
            <w:vAlign w:val="top"/>
          </w:tcPr>
          <w:p>
            <w:pPr>
              <w:spacing w:after="0"/>
            </w:pPr>
            <w:r>
              <w:rPr>
                <w:sz w:val="14"/>
              </w:rPr>
              <w:t>ADR ID</w:t>
            </w:r>
          </w:p>
        </w:tc>
        <w:tc>
          <w:tcPr>
            <w:tcW w:type="dxa" w:w="7257"/>
            <w:vAlign w:val="top"/>
          </w:tcPr>
          <w:p>
            <w:pPr>
              <w:spacing w:after="0"/>
            </w:pPr>
            <w:r>
              <w:rPr>
                <w:sz w:val="14"/>
              </w:rPr>
              <w:t>ADR-0910</w:t>
            </w:r>
          </w:p>
        </w:tc>
      </w:tr>
      <w:tr>
        <w:tc>
          <w:tcPr>
            <w:tcW w:type="dxa" w:w="2381"/>
            <w:shd w:fill="F7F8F9"/>
            <w:vAlign w:val="top"/>
          </w:tcPr>
          <w:p>
            <w:pPr>
              <w:spacing w:after="0"/>
            </w:pPr>
            <w:r>
              <w:rPr>
                <w:sz w:val="14"/>
              </w:rPr>
              <w:t>Decision title</w:t>
            </w:r>
          </w:p>
        </w:tc>
        <w:tc>
          <w:tcPr>
            <w:tcW w:type="dxa" w:w="7257"/>
            <w:shd w:fill="F7F8F9"/>
            <w:vAlign w:val="top"/>
          </w:tcPr>
          <w:p>
            <w:pPr>
              <w:spacing w:after="0"/>
            </w:pPr>
            <w:r>
              <w:rPr>
                <w:sz w:val="14"/>
              </w:rPr>
              <w:t>Target SLSA-aligned provenance and progressive deployment</w:t>
            </w:r>
          </w:p>
        </w:tc>
      </w:tr>
      <w:tr>
        <w:tc>
          <w:tcPr>
            <w:tcW w:type="dxa" w:w="2381"/>
            <w:vAlign w:val="top"/>
          </w:tcPr>
          <w:p>
            <w:pPr>
              <w:spacing w:after="0"/>
            </w:pPr>
            <w:r>
              <w:rPr>
                <w:sz w:val="14"/>
              </w:rPr>
              <w:t>Status</w:t>
            </w:r>
          </w:p>
        </w:tc>
        <w:tc>
          <w:tcPr>
            <w:tcW w:type="dxa" w:w="7257"/>
            <w:vAlign w:val="top"/>
          </w:tcPr>
          <w:p>
            <w:pPr>
              <w:spacing w:after="0"/>
            </w:pPr>
            <w:r>
              <w:rPr>
                <w:sz w:val="14"/>
              </w:rPr>
              <w:t>Approved reference decision</w:t>
            </w:r>
          </w:p>
        </w:tc>
      </w:tr>
      <w:tr>
        <w:tc>
          <w:tcPr>
            <w:tcW w:type="dxa" w:w="2381"/>
            <w:shd w:fill="F7F8F9"/>
            <w:vAlign w:val="top"/>
          </w:tcPr>
          <w:p>
            <w:pPr>
              <w:spacing w:after="0"/>
            </w:pPr>
            <w:r>
              <w:rPr>
                <w:sz w:val="14"/>
              </w:rPr>
              <w:t>Date</w:t>
            </w:r>
          </w:p>
        </w:tc>
        <w:tc>
          <w:tcPr>
            <w:tcW w:type="dxa" w:w="7257"/>
            <w:shd w:fill="F7F8F9"/>
            <w:vAlign w:val="top"/>
          </w:tcPr>
          <w:p>
            <w:pPr>
              <w:spacing w:after="0"/>
            </w:pPr>
            <w:r>
              <w:rPr>
                <w:sz w:val="14"/>
              </w:rPr>
              <w:t>12 July 2026</w:t>
            </w:r>
          </w:p>
        </w:tc>
      </w:tr>
      <w:tr>
        <w:tc>
          <w:tcPr>
            <w:tcW w:type="dxa" w:w="2381"/>
            <w:vAlign w:val="top"/>
          </w:tcPr>
          <w:p>
            <w:pPr>
              <w:spacing w:after="0"/>
            </w:pPr>
            <w:r>
              <w:rPr>
                <w:sz w:val="14"/>
              </w:rPr>
              <w:t>Architecture domain</w:t>
            </w:r>
          </w:p>
        </w:tc>
        <w:tc>
          <w:tcPr>
            <w:tcW w:type="dxa" w:w="7257"/>
            <w:vAlign w:val="top"/>
          </w:tcPr>
          <w:p>
            <w:pPr>
              <w:spacing w:after="0"/>
            </w:pPr>
            <w:r>
              <w:rPr>
                <w:sz w:val="14"/>
              </w:rPr>
              <w:t>DevSecOps and CI/CD</w:t>
            </w:r>
          </w:p>
        </w:tc>
      </w:tr>
      <w:tr>
        <w:tc>
          <w:tcPr>
            <w:tcW w:type="dxa" w:w="2381"/>
            <w:shd w:fill="F7F8F9"/>
            <w:vAlign w:val="top"/>
          </w:tcPr>
          <w:p>
            <w:pPr>
              <w:spacing w:after="0"/>
            </w:pPr>
            <w:r>
              <w:rPr>
                <w:sz w:val="14"/>
              </w:rPr>
              <w:t>Problem</w:t>
            </w:r>
          </w:p>
        </w:tc>
        <w:tc>
          <w:tcPr>
            <w:tcW w:type="dxa" w:w="7257"/>
            <w:shd w:fill="F7F8F9"/>
            <w:vAlign w:val="top"/>
          </w:tcPr>
          <w:p>
            <w:pPr>
              <w:spacing w:after="0"/>
            </w:pPr>
            <w:r>
              <w:rPr>
                <w:sz w:val="14"/>
              </w:rPr>
              <w:t>The enterprise requires secure, repeatable and auditable release processes across infrastructure, applications, data pipelines and analytical assets.</w:t>
            </w:r>
          </w:p>
        </w:tc>
      </w:tr>
      <w:tr>
        <w:tc>
          <w:tcPr>
            <w:tcW w:type="dxa" w:w="2381"/>
            <w:vAlign w:val="top"/>
          </w:tcPr>
          <w:p>
            <w:pPr>
              <w:spacing w:after="0"/>
            </w:pPr>
            <w:r>
              <w:rPr>
                <w:sz w:val="14"/>
              </w:rPr>
              <w:t>Context</w:t>
            </w:r>
          </w:p>
        </w:tc>
        <w:tc>
          <w:tcPr>
            <w:tcW w:type="dxa" w:w="7257"/>
            <w:vAlign w:val="top"/>
          </w:tcPr>
          <w:p>
            <w:pPr>
              <w:spacing w:after="0"/>
            </w:pPr>
            <w:r>
              <w:rPr>
                <w:sz w:val="14"/>
              </w:rPr>
              <w:t>The platform spans AMER, EMEA and APAC, regulated data, federated product teams and multiple Google Cloud services. The delivery system must preserve separation of duties, artifact integrity, environment isolation, SLOs and recovery.</w:t>
            </w:r>
          </w:p>
        </w:tc>
      </w:tr>
      <w:tr>
        <w:tc>
          <w:tcPr>
            <w:tcW w:type="dxa" w:w="2381"/>
            <w:shd w:fill="F7F8F9"/>
            <w:vAlign w:val="top"/>
          </w:tcPr>
          <w:p>
            <w:pPr>
              <w:spacing w:after="0"/>
            </w:pPr>
            <w:r>
              <w:rPr>
                <w:sz w:val="14"/>
              </w:rPr>
              <w:t>Decision drivers</w:t>
            </w:r>
          </w:p>
        </w:tc>
        <w:tc>
          <w:tcPr>
            <w:tcW w:type="dxa" w:w="7257"/>
            <w:shd w:fill="F7F8F9"/>
            <w:vAlign w:val="top"/>
          </w:tcPr>
          <w:p>
            <w:pPr>
              <w:spacing w:after="0"/>
            </w:pPr>
            <w:r>
              <w:rPr>
                <w:sz w:val="14"/>
              </w:rPr>
              <w:t>Developer velocity, supply-chain integrity, least privilege, reproducibility, auditability, deployment safety, recovery and cost efficiency.</w:t>
            </w:r>
          </w:p>
        </w:tc>
      </w:tr>
      <w:tr>
        <w:tc>
          <w:tcPr>
            <w:tcW w:type="dxa" w:w="2381"/>
            <w:vAlign w:val="top"/>
          </w:tcPr>
          <w:p>
            <w:pPr>
              <w:spacing w:after="0"/>
            </w:pPr>
            <w:r>
              <w:rPr>
                <w:sz w:val="14"/>
              </w:rPr>
              <w:t>Constraints</w:t>
            </w:r>
          </w:p>
        </w:tc>
        <w:tc>
          <w:tcPr>
            <w:tcW w:type="dxa" w:w="7257"/>
            <w:vAlign w:val="top"/>
          </w:tcPr>
          <w:p>
            <w:pPr>
              <w:spacing w:after="0"/>
            </w:pPr>
            <w:r>
              <w:rPr>
                <w:sz w:val="14"/>
              </w:rPr>
              <w:t>GitHub and Google Cloud product capabilities, regional/private connectivity, third-party actions, service-specific deployment semantics and regulatory approval requirements.</w:t>
            </w:r>
          </w:p>
        </w:tc>
      </w:tr>
      <w:tr>
        <w:tc>
          <w:tcPr>
            <w:tcW w:type="dxa" w:w="2381"/>
            <w:shd w:fill="F7F8F9"/>
            <w:vAlign w:val="top"/>
          </w:tcPr>
          <w:p>
            <w:pPr>
              <w:spacing w:after="0"/>
            </w:pPr>
            <w:r>
              <w:rPr>
                <w:sz w:val="14"/>
              </w:rPr>
              <w:t>Assumptions</w:t>
            </w:r>
          </w:p>
        </w:tc>
        <w:tc>
          <w:tcPr>
            <w:tcW w:type="dxa" w:w="7257"/>
            <w:shd w:fill="F7F8F9"/>
            <w:vAlign w:val="top"/>
          </w:tcPr>
          <w:p>
            <w:pPr>
              <w:spacing w:after="0"/>
            </w:pPr>
            <w:r>
              <w:rPr>
                <w:sz w:val="14"/>
              </w:rPr>
              <w:t>GitHub Enterprise, Cloud Build, Artifact Registry, Cloud Deploy, WIF, Terraform and the security/operations baselines from Volumes 8, 10 and 11 are available.</w:t>
            </w:r>
          </w:p>
        </w:tc>
      </w:tr>
      <w:tr>
        <w:tc>
          <w:tcPr>
            <w:tcW w:type="dxa" w:w="2381"/>
            <w:vAlign w:val="top"/>
          </w:tcPr>
          <w:p>
            <w:pPr>
              <w:spacing w:after="0"/>
            </w:pPr>
            <w:r>
              <w:rPr>
                <w:sz w:val="14"/>
              </w:rPr>
              <w:t>Alternatives considered</w:t>
            </w:r>
          </w:p>
        </w:tc>
        <w:tc>
          <w:tcPr>
            <w:tcW w:type="dxa" w:w="7257"/>
            <w:vAlign w:val="top"/>
          </w:tcPr>
          <w:p>
            <w:pPr>
              <w:spacing w:after="0"/>
            </w:pPr>
            <w:r>
              <w:rPr>
                <w:sz w:val="14"/>
              </w:rPr>
              <w:t>Single tool for every asset; manual/console release; long-lived credentials; mutable artifacts; bespoke per-team pipelines.</w:t>
            </w:r>
          </w:p>
        </w:tc>
      </w:tr>
      <w:tr>
        <w:tc>
          <w:tcPr>
            <w:tcW w:type="dxa" w:w="2381"/>
            <w:shd w:fill="F7F8F9"/>
            <w:vAlign w:val="top"/>
          </w:tcPr>
          <w:p>
            <w:pPr>
              <w:spacing w:after="0"/>
            </w:pPr>
            <w:r>
              <w:rPr>
                <w:sz w:val="14"/>
              </w:rPr>
              <w:t>Evaluation criteria</w:t>
            </w:r>
          </w:p>
        </w:tc>
        <w:tc>
          <w:tcPr>
            <w:tcW w:type="dxa" w:w="7257"/>
            <w:shd w:fill="F7F8F9"/>
            <w:vAlign w:val="top"/>
          </w:tcPr>
          <w:p>
            <w:pPr>
              <w:spacing w:after="0"/>
            </w:pPr>
            <w:r>
              <w:rPr>
                <w:sz w:val="14"/>
              </w:rPr>
              <w:t>Security, provenance, supported targets, developer experience, network reach, audit evidence, operational effort, portability and economics.</w:t>
            </w:r>
          </w:p>
        </w:tc>
      </w:tr>
      <w:tr>
        <w:tc>
          <w:tcPr>
            <w:tcW w:type="dxa" w:w="2381"/>
            <w:vAlign w:val="top"/>
          </w:tcPr>
          <w:p>
            <w:pPr>
              <w:spacing w:after="0"/>
            </w:pPr>
            <w:r>
              <w:rPr>
                <w:sz w:val="14"/>
              </w:rPr>
              <w:t>Decision</w:t>
            </w:r>
          </w:p>
        </w:tc>
        <w:tc>
          <w:tcPr>
            <w:tcW w:type="dxa" w:w="7257"/>
            <w:vAlign w:val="top"/>
          </w:tcPr>
          <w:p>
            <w:pPr>
              <w:spacing w:after="0"/>
            </w:pPr>
            <w:r>
              <w:rPr>
                <w:sz w:val="14"/>
              </w:rPr>
              <w:t>Generate and validate provenance, isolate trusted builds, promote immutable artifacts and use canary/blue-green or standard rollout based on workload risk.</w:t>
            </w:r>
          </w:p>
        </w:tc>
      </w:tr>
      <w:tr>
        <w:tc>
          <w:tcPr>
            <w:tcW w:type="dxa" w:w="2381"/>
            <w:shd w:fill="F7F8F9"/>
            <w:vAlign w:val="top"/>
          </w:tcPr>
          <w:p>
            <w:pPr>
              <w:spacing w:after="0"/>
            </w:pPr>
            <w:r>
              <w:rPr>
                <w:sz w:val="14"/>
              </w:rPr>
              <w:t>Rationale</w:t>
            </w:r>
          </w:p>
        </w:tc>
        <w:tc>
          <w:tcPr>
            <w:tcW w:type="dxa" w:w="7257"/>
            <w:shd w:fill="F7F8F9"/>
            <w:vAlign w:val="top"/>
          </w:tcPr>
          <w:p>
            <w:pPr>
              <w:spacing w:after="0"/>
            </w:pPr>
            <w:r>
              <w:rPr>
                <w:sz w:val="14"/>
              </w:rPr>
              <w:t>The selected approach separates source orchestration, trusted build and target-specific delivery while promoting one immutable artifact and preserving evidence.</w:t>
            </w:r>
          </w:p>
        </w:tc>
      </w:tr>
      <w:tr>
        <w:tc>
          <w:tcPr>
            <w:tcW w:type="dxa" w:w="2381"/>
            <w:vAlign w:val="top"/>
          </w:tcPr>
          <w:p>
            <w:pPr>
              <w:spacing w:after="0"/>
            </w:pPr>
            <w:r>
              <w:rPr>
                <w:sz w:val="14"/>
              </w:rPr>
              <w:t>Benefits</w:t>
            </w:r>
          </w:p>
        </w:tc>
        <w:tc>
          <w:tcPr>
            <w:tcW w:type="dxa" w:w="7257"/>
            <w:vAlign w:val="top"/>
          </w:tcPr>
          <w:p>
            <w:pPr>
              <w:spacing w:after="0"/>
            </w:pPr>
            <w:r>
              <w:rPr>
                <w:sz w:val="14"/>
              </w:rPr>
              <w:t>Consistent controls, keyless authentication, faster feedback, repeatable releases, safer rollback and stronger audit evidence.</w:t>
            </w:r>
          </w:p>
        </w:tc>
      </w:tr>
      <w:tr>
        <w:tc>
          <w:tcPr>
            <w:tcW w:type="dxa" w:w="2381"/>
            <w:shd w:fill="F7F8F9"/>
            <w:vAlign w:val="top"/>
          </w:tcPr>
          <w:p>
            <w:pPr>
              <w:spacing w:after="0"/>
            </w:pPr>
            <w:r>
              <w:rPr>
                <w:sz w:val="14"/>
              </w:rPr>
              <w:t>Tradeoffs</w:t>
            </w:r>
          </w:p>
        </w:tc>
        <w:tc>
          <w:tcPr>
            <w:tcW w:type="dxa" w:w="7257"/>
            <w:shd w:fill="F7F8F9"/>
            <w:vAlign w:val="top"/>
          </w:tcPr>
          <w:p>
            <w:pPr>
              <w:spacing w:after="0"/>
            </w:pPr>
            <w:r>
              <w:rPr>
                <w:sz w:val="14"/>
              </w:rPr>
              <w:t>Multiple integrated services, golden workflow maintenance, policy tuning and skills are required.</w:t>
            </w:r>
          </w:p>
        </w:tc>
      </w:tr>
      <w:tr>
        <w:tc>
          <w:tcPr>
            <w:tcW w:type="dxa" w:w="2381"/>
            <w:vAlign w:val="top"/>
          </w:tcPr>
          <w:p>
            <w:pPr>
              <w:spacing w:after="0"/>
            </w:pPr>
            <w:r>
              <w:rPr>
                <w:sz w:val="14"/>
              </w:rPr>
              <w:t>Positive consequences</w:t>
            </w:r>
          </w:p>
        </w:tc>
        <w:tc>
          <w:tcPr>
            <w:tcW w:type="dxa" w:w="7257"/>
            <w:vAlign w:val="top"/>
          </w:tcPr>
          <w:p>
            <w:pPr>
              <w:spacing w:after="0"/>
            </w:pPr>
            <w:r>
              <w:rPr>
                <w:sz w:val="14"/>
              </w:rPr>
              <w:t>Teams consume paved roads and produce standard release evidence.</w:t>
            </w:r>
          </w:p>
        </w:tc>
      </w:tr>
      <w:tr>
        <w:tc>
          <w:tcPr>
            <w:tcW w:type="dxa" w:w="2381"/>
            <w:shd w:fill="F7F8F9"/>
            <w:vAlign w:val="top"/>
          </w:tcPr>
          <w:p>
            <w:pPr>
              <w:spacing w:after="0"/>
            </w:pPr>
            <w:r>
              <w:rPr>
                <w:sz w:val="14"/>
              </w:rPr>
              <w:t>Negative consequences</w:t>
            </w:r>
          </w:p>
        </w:tc>
        <w:tc>
          <w:tcPr>
            <w:tcW w:type="dxa" w:w="7257"/>
            <w:shd w:fill="F7F8F9"/>
            <w:vAlign w:val="top"/>
          </w:tcPr>
          <w:p>
            <w:pPr>
              <w:spacing w:after="0"/>
            </w:pPr>
            <w:r>
              <w:rPr>
                <w:sz w:val="14"/>
              </w:rPr>
              <w:t>Non-standard tools or assets require adapters and exception review.</w:t>
            </w:r>
          </w:p>
        </w:tc>
      </w:tr>
      <w:tr>
        <w:tc>
          <w:tcPr>
            <w:tcW w:type="dxa" w:w="2381"/>
            <w:vAlign w:val="top"/>
          </w:tcPr>
          <w:p>
            <w:pPr>
              <w:spacing w:after="0"/>
            </w:pPr>
            <w:r>
              <w:rPr>
                <w:sz w:val="14"/>
              </w:rPr>
              <w:t>Risks</w:t>
            </w:r>
          </w:p>
        </w:tc>
        <w:tc>
          <w:tcPr>
            <w:tcW w:type="dxa" w:w="7257"/>
            <w:vAlign w:val="top"/>
          </w:tcPr>
          <w:p>
            <w:pPr>
              <w:spacing w:after="0"/>
            </w:pPr>
            <w:r>
              <w:rPr>
                <w:sz w:val="14"/>
              </w:rPr>
              <w:t>Provider/action compromise, policy bypass, credential misconfiguration, unsupported target semantics or failed rollback.</w:t>
            </w:r>
          </w:p>
        </w:tc>
      </w:tr>
      <w:tr>
        <w:tc>
          <w:tcPr>
            <w:tcW w:type="dxa" w:w="2381"/>
            <w:shd w:fill="F7F8F9"/>
            <w:vAlign w:val="top"/>
          </w:tcPr>
          <w:p>
            <w:pPr>
              <w:spacing w:after="0"/>
            </w:pPr>
            <w:r>
              <w:rPr>
                <w:sz w:val="14"/>
              </w:rPr>
              <w:t>Mitigations</w:t>
            </w:r>
          </w:p>
        </w:tc>
        <w:tc>
          <w:tcPr>
            <w:tcW w:type="dxa" w:w="7257"/>
            <w:shd w:fill="F7F8F9"/>
            <w:vAlign w:val="top"/>
          </w:tcPr>
          <w:p>
            <w:pPr>
              <w:spacing w:after="0"/>
            </w:pPr>
            <w:r>
              <w:rPr>
                <w:sz w:val="14"/>
              </w:rPr>
              <w:t>Pinned dependencies, WIF conditions, private builds, attestations, staged policies, independent approvals, canary and exercises.</w:t>
            </w:r>
          </w:p>
        </w:tc>
      </w:tr>
      <w:tr>
        <w:tc>
          <w:tcPr>
            <w:tcW w:type="dxa" w:w="2381"/>
            <w:vAlign w:val="top"/>
          </w:tcPr>
          <w:p>
            <w:pPr>
              <w:spacing w:after="0"/>
            </w:pPr>
            <w:r>
              <w:rPr>
                <w:sz w:val="14"/>
              </w:rPr>
              <w:t>Implementation implications</w:t>
            </w:r>
          </w:p>
        </w:tc>
        <w:tc>
          <w:tcPr>
            <w:tcW w:type="dxa" w:w="7257"/>
            <w:vAlign w:val="top"/>
          </w:tcPr>
          <w:p>
            <w:pPr>
              <w:spacing w:after="0"/>
            </w:pPr>
            <w:r>
              <w:rPr>
                <w:sz w:val="14"/>
              </w:rPr>
              <w:t>Publish repository standards, golden workflows, IAM modules, artifact policies, release manifest, test stages and service-specific rollback runbooks.</w:t>
            </w:r>
          </w:p>
        </w:tc>
      </w:tr>
      <w:tr>
        <w:tc>
          <w:tcPr>
            <w:tcW w:type="dxa" w:w="2381"/>
            <w:shd w:fill="F7F8F9"/>
            <w:vAlign w:val="top"/>
          </w:tcPr>
          <w:p>
            <w:pPr>
              <w:spacing w:after="0"/>
            </w:pPr>
            <w:r>
              <w:rPr>
                <w:sz w:val="14"/>
              </w:rPr>
              <w:t>Cost implications</w:t>
            </w:r>
          </w:p>
        </w:tc>
        <w:tc>
          <w:tcPr>
            <w:tcW w:type="dxa" w:w="7257"/>
            <w:shd w:fill="F7F8F9"/>
            <w:vAlign w:val="top"/>
          </w:tcPr>
          <w:p>
            <w:pPr>
              <w:spacing w:after="0"/>
            </w:pPr>
            <w:r>
              <w:rPr>
                <w:sz w:val="14"/>
              </w:rPr>
              <w:t>Build minutes/private pools, artifact storage/scanning, deployment verification and engineering support; measure per release and product.</w:t>
            </w:r>
          </w:p>
        </w:tc>
      </w:tr>
      <w:tr>
        <w:tc>
          <w:tcPr>
            <w:tcW w:type="dxa" w:w="2381"/>
            <w:vAlign w:val="top"/>
          </w:tcPr>
          <w:p>
            <w:pPr>
              <w:spacing w:after="0"/>
            </w:pPr>
            <w:r>
              <w:rPr>
                <w:sz w:val="14"/>
              </w:rPr>
              <w:t>Security implications</w:t>
            </w:r>
          </w:p>
        </w:tc>
        <w:tc>
          <w:tcPr>
            <w:tcW w:type="dxa" w:w="7257"/>
            <w:vAlign w:val="top"/>
          </w:tcPr>
          <w:p>
            <w:pPr>
              <w:spacing w:after="0"/>
            </w:pPr>
            <w:r>
              <w:rPr>
                <w:sz w:val="14"/>
              </w:rPr>
              <w:t>Eliminates keys, improves provenance and supports admission enforcement, but requires strict identity conditions and supply-chain governance.</w:t>
            </w:r>
          </w:p>
        </w:tc>
      </w:tr>
      <w:tr>
        <w:tc>
          <w:tcPr>
            <w:tcW w:type="dxa" w:w="2381"/>
            <w:shd w:fill="F7F8F9"/>
            <w:vAlign w:val="top"/>
          </w:tcPr>
          <w:p>
            <w:pPr>
              <w:spacing w:after="0"/>
            </w:pPr>
            <w:r>
              <w:rPr>
                <w:sz w:val="14"/>
              </w:rPr>
              <w:t>Operational implications</w:t>
            </w:r>
          </w:p>
        </w:tc>
        <w:tc>
          <w:tcPr>
            <w:tcW w:type="dxa" w:w="7257"/>
            <w:shd w:fill="F7F8F9"/>
            <w:vAlign w:val="top"/>
          </w:tcPr>
          <w:p>
            <w:pPr>
              <w:spacing w:after="0"/>
            </w:pPr>
            <w:r>
              <w:rPr>
                <w:sz w:val="14"/>
              </w:rPr>
              <w:t>Release SLOs, deployment telemetry, on-call, rollback, change records and vendor escalation must be operational.</w:t>
            </w:r>
          </w:p>
        </w:tc>
      </w:tr>
      <w:tr>
        <w:tc>
          <w:tcPr>
            <w:tcW w:type="dxa" w:w="2381"/>
            <w:vAlign w:val="top"/>
          </w:tcPr>
          <w:p>
            <w:pPr>
              <w:spacing w:after="0"/>
            </w:pPr>
            <w:r>
              <w:rPr>
                <w:sz w:val="14"/>
              </w:rPr>
              <w:t>Review triggers</w:t>
            </w:r>
          </w:p>
        </w:tc>
        <w:tc>
          <w:tcPr>
            <w:tcW w:type="dxa" w:w="7257"/>
            <w:vAlign w:val="top"/>
          </w:tcPr>
          <w:p>
            <w:pPr>
              <w:spacing w:after="0"/>
            </w:pPr>
            <w:r>
              <w:rPr>
                <w:sz w:val="14"/>
              </w:rPr>
              <w:t>Major product change, supply-chain incident, new regulated workload, repeated release failure, new target or SLSA revision.</w:t>
            </w:r>
          </w:p>
        </w:tc>
      </w:tr>
      <w:tr>
        <w:tc>
          <w:tcPr>
            <w:tcW w:type="dxa" w:w="2381"/>
            <w:shd w:fill="F7F8F9"/>
            <w:vAlign w:val="top"/>
          </w:tcPr>
          <w:p>
            <w:pPr>
              <w:spacing w:after="0"/>
            </w:pPr>
            <w:r>
              <w:rPr>
                <w:sz w:val="14"/>
              </w:rPr>
              <w:t>Review date</w:t>
            </w:r>
          </w:p>
        </w:tc>
        <w:tc>
          <w:tcPr>
            <w:tcW w:type="dxa" w:w="7257"/>
            <w:shd w:fill="F7F8F9"/>
            <w:vAlign w:val="top"/>
          </w:tcPr>
          <w:p>
            <w:pPr>
              <w:spacing w:after="0"/>
            </w:pPr>
            <w:r>
              <w:rPr>
                <w:sz w:val="14"/>
              </w:rPr>
              <w:t>12 January 2027 or earlier trigger.</w:t>
            </w:r>
          </w:p>
        </w:tc>
      </w:tr>
    </w:tbl>
    <w:p>
      <w:pPr>
        <w:spacing w:after="0"/>
      </w:pPr>
    </w:p>
    <w:p>
      <w:r>
        <w:br w:type="page"/>
      </w:r>
    </w:p>
    <w:p>
      <w:pPr>
        <w:pStyle w:val="Heading1"/>
      </w:pPr>
      <w:r>
        <w:t>30. Risks and Mitigations</w:t>
      </w:r>
    </w:p>
    <w:tbl>
      <w:tblPr>
        <w:tblStyle w:val="TableGrid"/>
        <w:tblW w:type="auto" w:w="0"/>
        <w:jc w:val="center"/>
        <w:tblLook w:firstColumn="1" w:firstRow="1" w:lastColumn="0" w:lastRow="0" w:noHBand="0" w:noVBand="1" w:val="04A0"/>
      </w:tblPr>
      <w:tblGrid>
        <w:gridCol w:w="1691"/>
        <w:gridCol w:w="1691"/>
        <w:gridCol w:w="1691"/>
        <w:gridCol w:w="1691"/>
        <w:gridCol w:w="1691"/>
        <w:gridCol w:w="1691"/>
      </w:tblGrid>
      <w:tr>
        <w:trPr>
          <w:tblHeader w:val="true"/>
        </w:trPr>
        <w:tc>
          <w:tcPr>
            <w:tcW w:type="dxa" w:w="1691"/>
            <w:shd w:fill="174EA6"/>
          </w:tcPr>
          <w:p>
            <w:pPr>
              <w:spacing w:after="0"/>
            </w:pPr>
            <w:r>
              <w:rPr>
                <w:b/>
                <w:color w:val="FFFFFF"/>
                <w:sz w:val="14"/>
              </w:rPr>
              <w:t>ID</w:t>
            </w:r>
          </w:p>
        </w:tc>
        <w:tc>
          <w:tcPr>
            <w:tcW w:type="dxa" w:w="1691"/>
            <w:shd w:fill="174EA6"/>
          </w:tcPr>
          <w:p>
            <w:pPr>
              <w:spacing w:after="0"/>
            </w:pPr>
            <w:r>
              <w:rPr>
                <w:b/>
                <w:color w:val="FFFFFF"/>
                <w:sz w:val="14"/>
              </w:rPr>
              <w:t>Risk</w:t>
            </w:r>
          </w:p>
        </w:tc>
        <w:tc>
          <w:tcPr>
            <w:tcW w:type="dxa" w:w="1691"/>
            <w:shd w:fill="174EA6"/>
          </w:tcPr>
          <w:p>
            <w:pPr>
              <w:spacing w:after="0"/>
            </w:pPr>
            <w:r>
              <w:rPr>
                <w:b/>
                <w:color w:val="FFFFFF"/>
                <w:sz w:val="14"/>
              </w:rPr>
              <w:t>Likelihood</w:t>
            </w:r>
          </w:p>
        </w:tc>
        <w:tc>
          <w:tcPr>
            <w:tcW w:type="dxa" w:w="1691"/>
            <w:shd w:fill="174EA6"/>
          </w:tcPr>
          <w:p>
            <w:pPr>
              <w:spacing w:after="0"/>
            </w:pPr>
            <w:r>
              <w:rPr>
                <w:b/>
                <w:color w:val="FFFFFF"/>
                <w:sz w:val="14"/>
              </w:rPr>
              <w:t>Impact</w:t>
            </w:r>
          </w:p>
        </w:tc>
        <w:tc>
          <w:tcPr>
            <w:tcW w:type="dxa" w:w="1691"/>
            <w:shd w:fill="174EA6"/>
          </w:tcPr>
          <w:p>
            <w:pPr>
              <w:spacing w:after="0"/>
            </w:pPr>
            <w:r>
              <w:rPr>
                <w:b/>
                <w:color w:val="FFFFFF"/>
                <w:sz w:val="14"/>
              </w:rPr>
              <w:t>Mitigation</w:t>
            </w:r>
          </w:p>
        </w:tc>
        <w:tc>
          <w:tcPr>
            <w:tcW w:type="dxa" w:w="1691"/>
            <w:shd w:fill="174EA6"/>
          </w:tcPr>
          <w:p>
            <w:pPr>
              <w:spacing w:after="0"/>
            </w:pPr>
            <w:r>
              <w:rPr>
                <w:b/>
                <w:color w:val="FFFFFF"/>
                <w:sz w:val="14"/>
              </w:rPr>
              <w:t>Owner</w:t>
            </w:r>
          </w:p>
        </w:tc>
      </w:tr>
      <w:tr>
        <w:tc>
          <w:tcPr>
            <w:tcW w:type="dxa" w:w="1691"/>
            <w:vAlign w:val="top"/>
          </w:tcPr>
          <w:p>
            <w:pPr>
              <w:spacing w:after="0"/>
            </w:pPr>
            <w:r>
              <w:rPr>
                <w:sz w:val="14"/>
              </w:rPr>
              <w:t>R-0901</w:t>
            </w:r>
          </w:p>
        </w:tc>
        <w:tc>
          <w:tcPr>
            <w:tcW w:type="dxa" w:w="1691"/>
            <w:vAlign w:val="top"/>
          </w:tcPr>
          <w:p>
            <w:pPr>
              <w:spacing w:after="0"/>
            </w:pPr>
            <w:r>
              <w:rPr>
                <w:sz w:val="14"/>
              </w:rPr>
              <w:t>Compromised repository workflow impersonates production identity</w:t>
            </w:r>
          </w:p>
        </w:tc>
        <w:tc>
          <w:tcPr>
            <w:tcW w:type="dxa" w:w="1691"/>
            <w:vAlign w:val="top"/>
          </w:tcPr>
          <w:p>
            <w:pPr>
              <w:spacing w:after="0"/>
            </w:pPr>
            <w:r>
              <w:rPr>
                <w:sz w:val="14"/>
              </w:rPr>
              <w:t>Low</w:t>
            </w:r>
          </w:p>
        </w:tc>
        <w:tc>
          <w:tcPr>
            <w:tcW w:type="dxa" w:w="1691"/>
            <w:vAlign w:val="top"/>
          </w:tcPr>
          <w:p>
            <w:pPr>
              <w:spacing w:after="0"/>
            </w:pPr>
            <w:r>
              <w:rPr>
                <w:sz w:val="14"/>
              </w:rPr>
              <w:t>Critical</w:t>
            </w:r>
          </w:p>
        </w:tc>
        <w:tc>
          <w:tcPr>
            <w:tcW w:type="dxa" w:w="1691"/>
            <w:vAlign w:val="top"/>
          </w:tcPr>
          <w:p>
            <w:pPr>
              <w:spacing w:after="0"/>
            </w:pPr>
            <w:r>
              <w:rPr>
                <w:sz w:val="14"/>
              </w:rPr>
              <w:t>WIF attribute conditions, protected workflows/environments, short-lived tokens and audit</w:t>
            </w:r>
          </w:p>
        </w:tc>
        <w:tc>
          <w:tcPr>
            <w:tcW w:type="dxa" w:w="1691"/>
            <w:vAlign w:val="top"/>
          </w:tcPr>
          <w:p>
            <w:pPr>
              <w:spacing w:after="0"/>
            </w:pPr>
            <w:r>
              <w:rPr>
                <w:sz w:val="14"/>
              </w:rPr>
              <w:t>IAM/DevSecOps</w:t>
            </w:r>
          </w:p>
        </w:tc>
      </w:tr>
      <w:tr>
        <w:tc>
          <w:tcPr>
            <w:tcW w:type="dxa" w:w="1691"/>
            <w:shd w:fill="F7F8F9"/>
            <w:vAlign w:val="top"/>
          </w:tcPr>
          <w:p>
            <w:pPr>
              <w:spacing w:after="0"/>
            </w:pPr>
            <w:r>
              <w:rPr>
                <w:sz w:val="14"/>
              </w:rPr>
              <w:t>R-0902</w:t>
            </w:r>
          </w:p>
        </w:tc>
        <w:tc>
          <w:tcPr>
            <w:tcW w:type="dxa" w:w="1691"/>
            <w:shd w:fill="F7F8F9"/>
            <w:vAlign w:val="top"/>
          </w:tcPr>
          <w:p>
            <w:pPr>
              <w:spacing w:after="0"/>
            </w:pPr>
            <w:r>
              <w:rPr>
                <w:sz w:val="14"/>
              </w:rPr>
              <w:t>Mutable tag causes untested image deployment</w:t>
            </w:r>
          </w:p>
        </w:tc>
        <w:tc>
          <w:tcPr>
            <w:tcW w:type="dxa" w:w="1691"/>
            <w:shd w:fill="F7F8F9"/>
            <w:vAlign w:val="top"/>
          </w:tcPr>
          <w:p>
            <w:pPr>
              <w:spacing w:after="0"/>
            </w:pPr>
            <w:r>
              <w:rPr>
                <w:sz w:val="14"/>
              </w:rPr>
              <w:t>Medium</w:t>
            </w:r>
          </w:p>
        </w:tc>
        <w:tc>
          <w:tcPr>
            <w:tcW w:type="dxa" w:w="1691"/>
            <w:shd w:fill="F7F8F9"/>
            <w:vAlign w:val="top"/>
          </w:tcPr>
          <w:p>
            <w:pPr>
              <w:spacing w:after="0"/>
            </w:pPr>
            <w:r>
              <w:rPr>
                <w:sz w:val="14"/>
              </w:rPr>
              <w:t>High</w:t>
            </w:r>
          </w:p>
        </w:tc>
        <w:tc>
          <w:tcPr>
            <w:tcW w:type="dxa" w:w="1691"/>
            <w:shd w:fill="F7F8F9"/>
            <w:vAlign w:val="top"/>
          </w:tcPr>
          <w:p>
            <w:pPr>
              <w:spacing w:after="0"/>
            </w:pPr>
            <w:r>
              <w:rPr>
                <w:sz w:val="14"/>
              </w:rPr>
              <w:t>Digest pinning and immutable tags</w:t>
            </w:r>
          </w:p>
        </w:tc>
        <w:tc>
          <w:tcPr>
            <w:tcW w:type="dxa" w:w="1691"/>
            <w:shd w:fill="F7F8F9"/>
            <w:vAlign w:val="top"/>
          </w:tcPr>
          <w:p>
            <w:pPr>
              <w:spacing w:after="0"/>
            </w:pPr>
            <w:r>
              <w:rPr>
                <w:sz w:val="14"/>
              </w:rPr>
              <w:t>DevSecOps</w:t>
            </w:r>
          </w:p>
        </w:tc>
      </w:tr>
      <w:tr>
        <w:tc>
          <w:tcPr>
            <w:tcW w:type="dxa" w:w="1691"/>
            <w:vAlign w:val="top"/>
          </w:tcPr>
          <w:p>
            <w:pPr>
              <w:spacing w:after="0"/>
            </w:pPr>
            <w:r>
              <w:rPr>
                <w:sz w:val="14"/>
              </w:rPr>
              <w:t>R-0903</w:t>
            </w:r>
          </w:p>
        </w:tc>
        <w:tc>
          <w:tcPr>
            <w:tcW w:type="dxa" w:w="1691"/>
            <w:vAlign w:val="top"/>
          </w:tcPr>
          <w:p>
            <w:pPr>
              <w:spacing w:after="0"/>
            </w:pPr>
            <w:r>
              <w:rPr>
                <w:sz w:val="14"/>
              </w:rPr>
              <w:t>Third-party action or builder is compromised</w:t>
            </w:r>
          </w:p>
        </w:tc>
        <w:tc>
          <w:tcPr>
            <w:tcW w:type="dxa" w:w="1691"/>
            <w:vAlign w:val="top"/>
          </w:tcPr>
          <w:p>
            <w:pPr>
              <w:spacing w:after="0"/>
            </w:pPr>
            <w:r>
              <w:rPr>
                <w:sz w:val="14"/>
              </w:rPr>
              <w:t>Medium</w:t>
            </w:r>
          </w:p>
        </w:tc>
        <w:tc>
          <w:tcPr>
            <w:tcW w:type="dxa" w:w="1691"/>
            <w:vAlign w:val="top"/>
          </w:tcPr>
          <w:p>
            <w:pPr>
              <w:spacing w:after="0"/>
            </w:pPr>
            <w:r>
              <w:rPr>
                <w:sz w:val="14"/>
              </w:rPr>
              <w:t>High</w:t>
            </w:r>
          </w:p>
        </w:tc>
        <w:tc>
          <w:tcPr>
            <w:tcW w:type="dxa" w:w="1691"/>
            <w:vAlign w:val="top"/>
          </w:tcPr>
          <w:p>
            <w:pPr>
              <w:spacing w:after="0"/>
            </w:pPr>
            <w:r>
              <w:rPr>
                <w:sz w:val="14"/>
              </w:rPr>
              <w:t>Pin by digest/SHA, allowlist, provenance and review</w:t>
            </w:r>
          </w:p>
        </w:tc>
        <w:tc>
          <w:tcPr>
            <w:tcW w:type="dxa" w:w="1691"/>
            <w:vAlign w:val="top"/>
          </w:tcPr>
          <w:p>
            <w:pPr>
              <w:spacing w:after="0"/>
            </w:pPr>
            <w:r>
              <w:rPr>
                <w:sz w:val="14"/>
              </w:rPr>
              <w:t>Security</w:t>
            </w:r>
          </w:p>
        </w:tc>
      </w:tr>
      <w:tr>
        <w:tc>
          <w:tcPr>
            <w:tcW w:type="dxa" w:w="1691"/>
            <w:shd w:fill="F7F8F9"/>
            <w:vAlign w:val="top"/>
          </w:tcPr>
          <w:p>
            <w:pPr>
              <w:spacing w:after="0"/>
            </w:pPr>
            <w:r>
              <w:rPr>
                <w:sz w:val="14"/>
              </w:rPr>
              <w:t>R-0904</w:t>
            </w:r>
          </w:p>
        </w:tc>
        <w:tc>
          <w:tcPr>
            <w:tcW w:type="dxa" w:w="1691"/>
            <w:shd w:fill="F7F8F9"/>
            <w:vAlign w:val="top"/>
          </w:tcPr>
          <w:p>
            <w:pPr>
              <w:spacing w:after="0"/>
            </w:pPr>
            <w:r>
              <w:rPr>
                <w:sz w:val="14"/>
              </w:rPr>
              <w:t>Terraform apply differs from reviewed plan</w:t>
            </w:r>
          </w:p>
        </w:tc>
        <w:tc>
          <w:tcPr>
            <w:tcW w:type="dxa" w:w="1691"/>
            <w:shd w:fill="F7F8F9"/>
            <w:vAlign w:val="top"/>
          </w:tcPr>
          <w:p>
            <w:pPr>
              <w:spacing w:after="0"/>
            </w:pPr>
            <w:r>
              <w:rPr>
                <w:sz w:val="14"/>
              </w:rPr>
              <w:t>Medium</w:t>
            </w:r>
          </w:p>
        </w:tc>
        <w:tc>
          <w:tcPr>
            <w:tcW w:type="dxa" w:w="1691"/>
            <w:shd w:fill="F7F8F9"/>
            <w:vAlign w:val="top"/>
          </w:tcPr>
          <w:p>
            <w:pPr>
              <w:spacing w:after="0"/>
            </w:pPr>
            <w:r>
              <w:rPr>
                <w:sz w:val="14"/>
              </w:rPr>
              <w:t>Critical</w:t>
            </w:r>
          </w:p>
        </w:tc>
        <w:tc>
          <w:tcPr>
            <w:tcW w:type="dxa" w:w="1691"/>
            <w:shd w:fill="F7F8F9"/>
            <w:vAlign w:val="top"/>
          </w:tcPr>
          <w:p>
            <w:pPr>
              <w:spacing w:after="0"/>
            </w:pPr>
            <w:r>
              <w:rPr>
                <w:sz w:val="14"/>
              </w:rPr>
              <w:t>saved plan, state serial check, short approval window and apply identity separation</w:t>
            </w:r>
          </w:p>
        </w:tc>
        <w:tc>
          <w:tcPr>
            <w:tcW w:type="dxa" w:w="1691"/>
            <w:shd w:fill="F7F8F9"/>
            <w:vAlign w:val="top"/>
          </w:tcPr>
          <w:p>
            <w:pPr>
              <w:spacing w:after="0"/>
            </w:pPr>
            <w:r>
              <w:rPr>
                <w:sz w:val="14"/>
              </w:rPr>
              <w:t>Platform</w:t>
            </w:r>
          </w:p>
        </w:tc>
      </w:tr>
      <w:tr>
        <w:tc>
          <w:tcPr>
            <w:tcW w:type="dxa" w:w="1691"/>
            <w:vAlign w:val="top"/>
          </w:tcPr>
          <w:p>
            <w:pPr>
              <w:spacing w:after="0"/>
            </w:pPr>
            <w:r>
              <w:rPr>
                <w:sz w:val="14"/>
              </w:rPr>
              <w:t>R-0905</w:t>
            </w:r>
          </w:p>
        </w:tc>
        <w:tc>
          <w:tcPr>
            <w:tcW w:type="dxa" w:w="1691"/>
            <w:vAlign w:val="top"/>
          </w:tcPr>
          <w:p>
            <w:pPr>
              <w:spacing w:after="0"/>
            </w:pPr>
            <w:r>
              <w:rPr>
                <w:sz w:val="14"/>
              </w:rPr>
              <w:t>Schema migration cannot be rolled back</w:t>
            </w:r>
          </w:p>
        </w:tc>
        <w:tc>
          <w:tcPr>
            <w:tcW w:type="dxa" w:w="1691"/>
            <w:vAlign w:val="top"/>
          </w:tcPr>
          <w:p>
            <w:pPr>
              <w:spacing w:after="0"/>
            </w:pPr>
            <w:r>
              <w:rPr>
                <w:sz w:val="14"/>
              </w:rPr>
              <w:t>Medium</w:t>
            </w:r>
          </w:p>
        </w:tc>
        <w:tc>
          <w:tcPr>
            <w:tcW w:type="dxa" w:w="1691"/>
            <w:vAlign w:val="top"/>
          </w:tcPr>
          <w:p>
            <w:pPr>
              <w:spacing w:after="0"/>
            </w:pPr>
            <w:r>
              <w:rPr>
                <w:sz w:val="14"/>
              </w:rPr>
              <w:t>High</w:t>
            </w:r>
          </w:p>
        </w:tc>
        <w:tc>
          <w:tcPr>
            <w:tcW w:type="dxa" w:w="1691"/>
            <w:vAlign w:val="top"/>
          </w:tcPr>
          <w:p>
            <w:pPr>
              <w:spacing w:after="0"/>
            </w:pPr>
            <w:r>
              <w:rPr>
                <w:sz w:val="14"/>
              </w:rPr>
              <w:t>expand/contract, compatibility views, snapshot and forward-fix plan</w:t>
            </w:r>
          </w:p>
        </w:tc>
        <w:tc>
          <w:tcPr>
            <w:tcW w:type="dxa" w:w="1691"/>
            <w:vAlign w:val="top"/>
          </w:tcPr>
          <w:p>
            <w:pPr>
              <w:spacing w:after="0"/>
            </w:pPr>
            <w:r>
              <w:rPr>
                <w:sz w:val="14"/>
              </w:rPr>
              <w:t>Data owner</w:t>
            </w:r>
          </w:p>
        </w:tc>
      </w:tr>
      <w:tr>
        <w:tc>
          <w:tcPr>
            <w:tcW w:type="dxa" w:w="1691"/>
            <w:shd w:fill="F7F8F9"/>
            <w:vAlign w:val="top"/>
          </w:tcPr>
          <w:p>
            <w:pPr>
              <w:spacing w:after="0"/>
            </w:pPr>
            <w:r>
              <w:rPr>
                <w:sz w:val="14"/>
              </w:rPr>
              <w:t>R-0906</w:t>
            </w:r>
          </w:p>
        </w:tc>
        <w:tc>
          <w:tcPr>
            <w:tcW w:type="dxa" w:w="1691"/>
            <w:shd w:fill="F7F8F9"/>
            <w:vAlign w:val="top"/>
          </w:tcPr>
          <w:p>
            <w:pPr>
              <w:spacing w:after="0"/>
            </w:pPr>
            <w:r>
              <w:rPr>
                <w:sz w:val="14"/>
              </w:rPr>
              <w:t>Dataflow update corrupts state or duplicates outputs</w:t>
            </w:r>
          </w:p>
        </w:tc>
        <w:tc>
          <w:tcPr>
            <w:tcW w:type="dxa" w:w="1691"/>
            <w:shd w:fill="F7F8F9"/>
            <w:vAlign w:val="top"/>
          </w:tcPr>
          <w:p>
            <w:pPr>
              <w:spacing w:after="0"/>
            </w:pPr>
            <w:r>
              <w:rPr>
                <w:sz w:val="14"/>
              </w:rPr>
              <w:t>Low</w:t>
            </w:r>
          </w:p>
        </w:tc>
        <w:tc>
          <w:tcPr>
            <w:tcW w:type="dxa" w:w="1691"/>
            <w:shd w:fill="F7F8F9"/>
            <w:vAlign w:val="top"/>
          </w:tcPr>
          <w:p>
            <w:pPr>
              <w:spacing w:after="0"/>
            </w:pPr>
            <w:r>
              <w:rPr>
                <w:sz w:val="14"/>
              </w:rPr>
              <w:t>Critical</w:t>
            </w:r>
          </w:p>
        </w:tc>
        <w:tc>
          <w:tcPr>
            <w:tcW w:type="dxa" w:w="1691"/>
            <w:shd w:fill="F7F8F9"/>
            <w:vAlign w:val="top"/>
          </w:tcPr>
          <w:p>
            <w:pPr>
              <w:spacing w:after="0"/>
            </w:pPr>
            <w:r>
              <w:rPr>
                <w:sz w:val="14"/>
              </w:rPr>
              <w:t>compatibility test, snapshot/drain/replay and reconciliation</w:t>
            </w:r>
          </w:p>
        </w:tc>
        <w:tc>
          <w:tcPr>
            <w:tcW w:type="dxa" w:w="1691"/>
            <w:shd w:fill="F7F8F9"/>
            <w:vAlign w:val="top"/>
          </w:tcPr>
          <w:p>
            <w:pPr>
              <w:spacing w:after="0"/>
            </w:pPr>
            <w:r>
              <w:rPr>
                <w:sz w:val="14"/>
              </w:rPr>
              <w:t>Data engineering</w:t>
            </w:r>
          </w:p>
        </w:tc>
      </w:tr>
      <w:tr>
        <w:tc>
          <w:tcPr>
            <w:tcW w:type="dxa" w:w="1691"/>
            <w:vAlign w:val="top"/>
          </w:tcPr>
          <w:p>
            <w:pPr>
              <w:spacing w:after="0"/>
            </w:pPr>
            <w:r>
              <w:rPr>
                <w:sz w:val="14"/>
              </w:rPr>
              <w:t>R-0907</w:t>
            </w:r>
          </w:p>
        </w:tc>
        <w:tc>
          <w:tcPr>
            <w:tcW w:type="dxa" w:w="1691"/>
            <w:vAlign w:val="top"/>
          </w:tcPr>
          <w:p>
            <w:pPr>
              <w:spacing w:after="0"/>
            </w:pPr>
            <w:r>
              <w:rPr>
                <w:sz w:val="14"/>
              </w:rPr>
              <w:t>Policy gate produces excessive false positives and bypass culture</w:t>
            </w:r>
          </w:p>
        </w:tc>
        <w:tc>
          <w:tcPr>
            <w:tcW w:type="dxa" w:w="1691"/>
            <w:vAlign w:val="top"/>
          </w:tcPr>
          <w:p>
            <w:pPr>
              <w:spacing w:after="0"/>
            </w:pPr>
            <w:r>
              <w:rPr>
                <w:sz w:val="14"/>
              </w:rPr>
              <w:t>High</w:t>
            </w:r>
          </w:p>
        </w:tc>
        <w:tc>
          <w:tcPr>
            <w:tcW w:type="dxa" w:w="1691"/>
            <w:vAlign w:val="top"/>
          </w:tcPr>
          <w:p>
            <w:pPr>
              <w:spacing w:after="0"/>
            </w:pPr>
            <w:r>
              <w:rPr>
                <w:sz w:val="14"/>
              </w:rPr>
              <w:t>Medium</w:t>
            </w:r>
          </w:p>
        </w:tc>
        <w:tc>
          <w:tcPr>
            <w:tcW w:type="dxa" w:w="1691"/>
            <w:vAlign w:val="top"/>
          </w:tcPr>
          <w:p>
            <w:pPr>
              <w:spacing w:after="0"/>
            </w:pPr>
            <w:r>
              <w:rPr>
                <w:sz w:val="14"/>
              </w:rPr>
              <w:t>policy tests, severity tiers, exception expiry and developer feedback</w:t>
            </w:r>
          </w:p>
        </w:tc>
        <w:tc>
          <w:tcPr>
            <w:tcW w:type="dxa" w:w="1691"/>
            <w:vAlign w:val="top"/>
          </w:tcPr>
          <w:p>
            <w:pPr>
              <w:spacing w:after="0"/>
            </w:pPr>
            <w:r>
              <w:rPr>
                <w:sz w:val="14"/>
              </w:rPr>
              <w:t>Security</w:t>
            </w:r>
          </w:p>
        </w:tc>
      </w:tr>
      <w:tr>
        <w:tc>
          <w:tcPr>
            <w:tcW w:type="dxa" w:w="1691"/>
            <w:shd w:fill="F7F8F9"/>
            <w:vAlign w:val="top"/>
          </w:tcPr>
          <w:p>
            <w:pPr>
              <w:spacing w:after="0"/>
            </w:pPr>
            <w:r>
              <w:rPr>
                <w:sz w:val="14"/>
              </w:rPr>
              <w:t>R-0908</w:t>
            </w:r>
          </w:p>
        </w:tc>
        <w:tc>
          <w:tcPr>
            <w:tcW w:type="dxa" w:w="1691"/>
            <w:shd w:fill="F7F8F9"/>
            <w:vAlign w:val="top"/>
          </w:tcPr>
          <w:p>
            <w:pPr>
              <w:spacing w:after="0"/>
            </w:pPr>
            <w:r>
              <w:rPr>
                <w:sz w:val="14"/>
              </w:rPr>
              <w:t>Build pool can exfiltrate source or secrets</w:t>
            </w:r>
          </w:p>
        </w:tc>
        <w:tc>
          <w:tcPr>
            <w:tcW w:type="dxa" w:w="1691"/>
            <w:shd w:fill="F7F8F9"/>
            <w:vAlign w:val="top"/>
          </w:tcPr>
          <w:p>
            <w:pPr>
              <w:spacing w:after="0"/>
            </w:pPr>
            <w:r>
              <w:rPr>
                <w:sz w:val="14"/>
              </w:rPr>
              <w:t>Low</w:t>
            </w:r>
          </w:p>
        </w:tc>
        <w:tc>
          <w:tcPr>
            <w:tcW w:type="dxa" w:w="1691"/>
            <w:shd w:fill="F7F8F9"/>
            <w:vAlign w:val="top"/>
          </w:tcPr>
          <w:p>
            <w:pPr>
              <w:spacing w:after="0"/>
            </w:pPr>
            <w:r>
              <w:rPr>
                <w:sz w:val="14"/>
              </w:rPr>
              <w:t>Critical</w:t>
            </w:r>
          </w:p>
        </w:tc>
        <w:tc>
          <w:tcPr>
            <w:tcW w:type="dxa" w:w="1691"/>
            <w:shd w:fill="F7F8F9"/>
            <w:vAlign w:val="top"/>
          </w:tcPr>
          <w:p>
            <w:pPr>
              <w:spacing w:after="0"/>
            </w:pPr>
            <w:r>
              <w:rPr>
                <w:sz w:val="14"/>
              </w:rPr>
              <w:t>private pool, controlled egress, no long-lived secrets and logging</w:t>
            </w:r>
          </w:p>
        </w:tc>
        <w:tc>
          <w:tcPr>
            <w:tcW w:type="dxa" w:w="1691"/>
            <w:shd w:fill="F7F8F9"/>
            <w:vAlign w:val="top"/>
          </w:tcPr>
          <w:p>
            <w:pPr>
              <w:spacing w:after="0"/>
            </w:pPr>
            <w:r>
              <w:rPr>
                <w:sz w:val="14"/>
              </w:rPr>
              <w:t>Security</w:t>
            </w:r>
          </w:p>
        </w:tc>
      </w:tr>
      <w:tr>
        <w:tc>
          <w:tcPr>
            <w:tcW w:type="dxa" w:w="1691"/>
            <w:vAlign w:val="top"/>
          </w:tcPr>
          <w:p>
            <w:pPr>
              <w:spacing w:after="0"/>
            </w:pPr>
            <w:r>
              <w:rPr>
                <w:sz w:val="14"/>
              </w:rPr>
              <w:t>R-0909</w:t>
            </w:r>
          </w:p>
        </w:tc>
        <w:tc>
          <w:tcPr>
            <w:tcW w:type="dxa" w:w="1691"/>
            <w:vAlign w:val="top"/>
          </w:tcPr>
          <w:p>
            <w:pPr>
              <w:spacing w:after="0"/>
            </w:pPr>
            <w:r>
              <w:rPr>
                <w:sz w:val="14"/>
              </w:rPr>
              <w:t>Canary uses technical health only and misses data/business regression</w:t>
            </w:r>
          </w:p>
        </w:tc>
        <w:tc>
          <w:tcPr>
            <w:tcW w:type="dxa" w:w="1691"/>
            <w:vAlign w:val="top"/>
          </w:tcPr>
          <w:p>
            <w:pPr>
              <w:spacing w:after="0"/>
            </w:pPr>
            <w:r>
              <w:rPr>
                <w:sz w:val="14"/>
              </w:rPr>
              <w:t>Medium</w:t>
            </w:r>
          </w:p>
        </w:tc>
        <w:tc>
          <w:tcPr>
            <w:tcW w:type="dxa" w:w="1691"/>
            <w:vAlign w:val="top"/>
          </w:tcPr>
          <w:p>
            <w:pPr>
              <w:spacing w:after="0"/>
            </w:pPr>
            <w:r>
              <w:rPr>
                <w:sz w:val="14"/>
              </w:rPr>
              <w:t>High</w:t>
            </w:r>
          </w:p>
        </w:tc>
        <w:tc>
          <w:tcPr>
            <w:tcW w:type="dxa" w:w="1691"/>
            <w:vAlign w:val="top"/>
          </w:tcPr>
          <w:p>
            <w:pPr>
              <w:spacing w:after="0"/>
            </w:pPr>
            <w:r>
              <w:rPr>
                <w:sz w:val="14"/>
              </w:rPr>
              <w:t>business KPI and data-quality verification</w:t>
            </w:r>
          </w:p>
        </w:tc>
        <w:tc>
          <w:tcPr>
            <w:tcW w:type="dxa" w:w="1691"/>
            <w:vAlign w:val="top"/>
          </w:tcPr>
          <w:p>
            <w:pPr>
              <w:spacing w:after="0"/>
            </w:pPr>
            <w:r>
              <w:rPr>
                <w:sz w:val="14"/>
              </w:rPr>
              <w:t>Product/SRE</w:t>
            </w:r>
          </w:p>
        </w:tc>
      </w:tr>
      <w:tr>
        <w:tc>
          <w:tcPr>
            <w:tcW w:type="dxa" w:w="1691"/>
            <w:shd w:fill="F7F8F9"/>
            <w:vAlign w:val="top"/>
          </w:tcPr>
          <w:p>
            <w:pPr>
              <w:spacing w:after="0"/>
            </w:pPr>
            <w:r>
              <w:rPr>
                <w:sz w:val="14"/>
              </w:rPr>
              <w:t>R-0910</w:t>
            </w:r>
          </w:p>
        </w:tc>
        <w:tc>
          <w:tcPr>
            <w:tcW w:type="dxa" w:w="1691"/>
            <w:shd w:fill="F7F8F9"/>
            <w:vAlign w:val="top"/>
          </w:tcPr>
          <w:p>
            <w:pPr>
              <w:spacing w:after="0"/>
            </w:pPr>
            <w:r>
              <w:rPr>
                <w:sz w:val="14"/>
              </w:rPr>
              <w:t>Artifact cleanup deletes rollback release</w:t>
            </w:r>
          </w:p>
        </w:tc>
        <w:tc>
          <w:tcPr>
            <w:tcW w:type="dxa" w:w="1691"/>
            <w:shd w:fill="F7F8F9"/>
            <w:vAlign w:val="top"/>
          </w:tcPr>
          <w:p>
            <w:pPr>
              <w:spacing w:after="0"/>
            </w:pPr>
            <w:r>
              <w:rPr>
                <w:sz w:val="14"/>
              </w:rPr>
              <w:t>Low</w:t>
            </w:r>
          </w:p>
        </w:tc>
        <w:tc>
          <w:tcPr>
            <w:tcW w:type="dxa" w:w="1691"/>
            <w:shd w:fill="F7F8F9"/>
            <w:vAlign w:val="top"/>
          </w:tcPr>
          <w:p>
            <w:pPr>
              <w:spacing w:after="0"/>
            </w:pPr>
            <w:r>
              <w:rPr>
                <w:sz w:val="14"/>
              </w:rPr>
              <w:t>High</w:t>
            </w:r>
          </w:p>
        </w:tc>
        <w:tc>
          <w:tcPr>
            <w:tcW w:type="dxa" w:w="1691"/>
            <w:shd w:fill="F7F8F9"/>
            <w:vAlign w:val="top"/>
          </w:tcPr>
          <w:p>
            <w:pPr>
              <w:spacing w:after="0"/>
            </w:pPr>
            <w:r>
              <w:rPr>
                <w:sz w:val="14"/>
              </w:rPr>
              <w:t>keep policy for approved releases and recovery test</w:t>
            </w:r>
          </w:p>
        </w:tc>
        <w:tc>
          <w:tcPr>
            <w:tcW w:type="dxa" w:w="1691"/>
            <w:shd w:fill="F7F8F9"/>
            <w:vAlign w:val="top"/>
          </w:tcPr>
          <w:p>
            <w:pPr>
              <w:spacing w:after="0"/>
            </w:pPr>
            <w:r>
              <w:rPr>
                <w:sz w:val="14"/>
              </w:rPr>
              <w:t>Artifact owner</w:t>
            </w:r>
          </w:p>
        </w:tc>
      </w:tr>
    </w:tbl>
    <w:p>
      <w:pPr>
        <w:spacing w:after="0"/>
      </w:pPr>
    </w:p>
    <w:p>
      <w:r>
        <w:br w:type="page"/>
      </w:r>
    </w:p>
    <w:p>
      <w:pPr>
        <w:pStyle w:val="Heading1"/>
      </w:pPr>
      <w:r>
        <w:t>31. Implementation Roadmap</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5"/>
              </w:rPr>
              <w:t>Phase</w:t>
            </w:r>
          </w:p>
        </w:tc>
        <w:tc>
          <w:tcPr>
            <w:tcW w:type="dxa" w:w="2537"/>
            <w:shd w:fill="174EA6"/>
          </w:tcPr>
          <w:p>
            <w:pPr>
              <w:spacing w:after="0"/>
            </w:pPr>
            <w:r>
              <w:rPr>
                <w:b/>
                <w:color w:val="FFFFFF"/>
                <w:sz w:val="15"/>
              </w:rPr>
              <w:t>Duration</w:t>
            </w:r>
          </w:p>
        </w:tc>
        <w:tc>
          <w:tcPr>
            <w:tcW w:type="dxa" w:w="2537"/>
            <w:shd w:fill="174EA6"/>
          </w:tcPr>
          <w:p>
            <w:pPr>
              <w:spacing w:after="0"/>
            </w:pPr>
            <w:r>
              <w:rPr>
                <w:b/>
                <w:color w:val="FFFFFF"/>
                <w:sz w:val="15"/>
              </w:rPr>
              <w:t>Scope</w:t>
            </w:r>
          </w:p>
        </w:tc>
        <w:tc>
          <w:tcPr>
            <w:tcW w:type="dxa" w:w="2537"/>
            <w:shd w:fill="174EA6"/>
          </w:tcPr>
          <w:p>
            <w:pPr>
              <w:spacing w:after="0"/>
            </w:pPr>
            <w:r>
              <w:rPr>
                <w:b/>
                <w:color w:val="FFFFFF"/>
                <w:sz w:val="15"/>
              </w:rPr>
              <w:t>Exit criteria</w:t>
            </w:r>
          </w:p>
        </w:tc>
      </w:tr>
      <w:tr>
        <w:tc>
          <w:tcPr>
            <w:tcW w:type="dxa" w:w="2537"/>
            <w:vAlign w:val="top"/>
          </w:tcPr>
          <w:p>
            <w:pPr>
              <w:spacing w:after="0"/>
            </w:pPr>
            <w:r>
              <w:rPr>
                <w:sz w:val="15"/>
              </w:rPr>
              <w:t>0 - Mobilize</w:t>
            </w:r>
          </w:p>
        </w:tc>
        <w:tc>
          <w:tcPr>
            <w:tcW w:type="dxa" w:w="2537"/>
            <w:vAlign w:val="top"/>
          </w:tcPr>
          <w:p>
            <w:pPr>
              <w:spacing w:after="0"/>
            </w:pPr>
            <w:r>
              <w:rPr>
                <w:sz w:val="15"/>
              </w:rPr>
              <w:t>2-4 weeks</w:t>
            </w:r>
          </w:p>
        </w:tc>
        <w:tc>
          <w:tcPr>
            <w:tcW w:type="dxa" w:w="2537"/>
            <w:vAlign w:val="top"/>
          </w:tcPr>
          <w:p>
            <w:pPr>
              <w:spacing w:after="0"/>
            </w:pPr>
            <w:r>
              <w:rPr>
                <w:sz w:val="15"/>
              </w:rPr>
              <w:t>inventory repos/pipelines, define standards, owners, risk classes and pilots</w:t>
            </w:r>
          </w:p>
        </w:tc>
        <w:tc>
          <w:tcPr>
            <w:tcW w:type="dxa" w:w="2537"/>
            <w:vAlign w:val="top"/>
          </w:tcPr>
          <w:p>
            <w:pPr>
              <w:spacing w:after="0"/>
            </w:pPr>
            <w:r>
              <w:rPr>
                <w:sz w:val="15"/>
              </w:rPr>
              <w:t>approved target architecture and backlog</w:t>
            </w:r>
          </w:p>
        </w:tc>
      </w:tr>
      <w:tr>
        <w:tc>
          <w:tcPr>
            <w:tcW w:type="dxa" w:w="2537"/>
            <w:shd w:fill="F7F8F9"/>
            <w:vAlign w:val="top"/>
          </w:tcPr>
          <w:p>
            <w:pPr>
              <w:spacing w:after="0"/>
            </w:pPr>
            <w:r>
              <w:rPr>
                <w:sz w:val="15"/>
              </w:rPr>
              <w:t>1 - Source and identity foundation</w:t>
            </w:r>
          </w:p>
        </w:tc>
        <w:tc>
          <w:tcPr>
            <w:tcW w:type="dxa" w:w="2537"/>
            <w:shd w:fill="F7F8F9"/>
            <w:vAlign w:val="top"/>
          </w:tcPr>
          <w:p>
            <w:pPr>
              <w:spacing w:after="0"/>
            </w:pPr>
            <w:r>
              <w:rPr>
                <w:sz w:val="15"/>
              </w:rPr>
              <w:t>4-8 weeks</w:t>
            </w:r>
          </w:p>
        </w:tc>
        <w:tc>
          <w:tcPr>
            <w:tcW w:type="dxa" w:w="2537"/>
            <w:shd w:fill="F7F8F9"/>
            <w:vAlign w:val="top"/>
          </w:tcPr>
          <w:p>
            <w:pPr>
              <w:spacing w:after="0"/>
            </w:pPr>
            <w:r>
              <w:rPr>
                <w:sz w:val="15"/>
              </w:rPr>
              <w:t>GitHub enterprise controls, WIF, groups and audit integration</w:t>
            </w:r>
          </w:p>
        </w:tc>
        <w:tc>
          <w:tcPr>
            <w:tcW w:type="dxa" w:w="2537"/>
            <w:shd w:fill="F7F8F9"/>
            <w:vAlign w:val="top"/>
          </w:tcPr>
          <w:p>
            <w:pPr>
              <w:spacing w:after="0"/>
            </w:pPr>
            <w:r>
              <w:rPr>
                <w:sz w:val="15"/>
              </w:rPr>
              <w:t>keyless pilot repository and denied-claim tests</w:t>
            </w:r>
          </w:p>
        </w:tc>
      </w:tr>
      <w:tr>
        <w:tc>
          <w:tcPr>
            <w:tcW w:type="dxa" w:w="2537"/>
            <w:vAlign w:val="top"/>
          </w:tcPr>
          <w:p>
            <w:pPr>
              <w:spacing w:after="0"/>
            </w:pPr>
            <w:r>
              <w:rPr>
                <w:sz w:val="15"/>
              </w:rPr>
              <w:t>2 - Trusted build and artifacts</w:t>
            </w:r>
          </w:p>
        </w:tc>
        <w:tc>
          <w:tcPr>
            <w:tcW w:type="dxa" w:w="2537"/>
            <w:vAlign w:val="top"/>
          </w:tcPr>
          <w:p>
            <w:pPr>
              <w:spacing w:after="0"/>
            </w:pPr>
            <w:r>
              <w:rPr>
                <w:sz w:val="15"/>
              </w:rPr>
              <w:t>6-10 weeks</w:t>
            </w:r>
          </w:p>
        </w:tc>
        <w:tc>
          <w:tcPr>
            <w:tcW w:type="dxa" w:w="2537"/>
            <w:vAlign w:val="top"/>
          </w:tcPr>
          <w:p>
            <w:pPr>
              <w:spacing w:after="0"/>
            </w:pPr>
            <w:r>
              <w:rPr>
                <w:sz w:val="15"/>
              </w:rPr>
              <w:t>Cloud Build private pools, Artifact Registry, provenance, scans and cleanup</w:t>
            </w:r>
          </w:p>
        </w:tc>
        <w:tc>
          <w:tcPr>
            <w:tcW w:type="dxa" w:w="2537"/>
            <w:vAlign w:val="top"/>
          </w:tcPr>
          <w:p>
            <w:pPr>
              <w:spacing w:after="0"/>
            </w:pPr>
            <w:r>
              <w:rPr>
                <w:sz w:val="15"/>
              </w:rPr>
              <w:t>immutable artifact with evidence</w:t>
            </w:r>
          </w:p>
        </w:tc>
      </w:tr>
      <w:tr>
        <w:tc>
          <w:tcPr>
            <w:tcW w:type="dxa" w:w="2537"/>
            <w:shd w:fill="F7F8F9"/>
            <w:vAlign w:val="top"/>
          </w:tcPr>
          <w:p>
            <w:pPr>
              <w:spacing w:after="0"/>
            </w:pPr>
            <w:r>
              <w:rPr>
                <w:sz w:val="15"/>
              </w:rPr>
              <w:t>3 - Delivery lanes</w:t>
            </w:r>
          </w:p>
        </w:tc>
        <w:tc>
          <w:tcPr>
            <w:tcW w:type="dxa" w:w="2537"/>
            <w:shd w:fill="F7F8F9"/>
            <w:vAlign w:val="top"/>
          </w:tcPr>
          <w:p>
            <w:pPr>
              <w:spacing w:after="0"/>
            </w:pPr>
            <w:r>
              <w:rPr>
                <w:sz w:val="15"/>
              </w:rPr>
              <w:t>8-12 weeks</w:t>
            </w:r>
          </w:p>
        </w:tc>
        <w:tc>
          <w:tcPr>
            <w:tcW w:type="dxa" w:w="2537"/>
            <w:shd w:fill="F7F8F9"/>
            <w:vAlign w:val="top"/>
          </w:tcPr>
          <w:p>
            <w:pPr>
              <w:spacing w:after="0"/>
            </w:pPr>
            <w:r>
              <w:rPr>
                <w:sz w:val="15"/>
              </w:rPr>
              <w:t>Cloud Deploy, Terraform, Dataform, Dataflow, Airflow and BigQuery pipelines</w:t>
            </w:r>
          </w:p>
        </w:tc>
        <w:tc>
          <w:tcPr>
            <w:tcW w:type="dxa" w:w="2537"/>
            <w:shd w:fill="F7F8F9"/>
            <w:vAlign w:val="top"/>
          </w:tcPr>
          <w:p>
            <w:pPr>
              <w:spacing w:after="0"/>
            </w:pPr>
            <w:r>
              <w:rPr>
                <w:sz w:val="15"/>
              </w:rPr>
              <w:t>representative production release and rollback</w:t>
            </w:r>
          </w:p>
        </w:tc>
      </w:tr>
      <w:tr>
        <w:tc>
          <w:tcPr>
            <w:tcW w:type="dxa" w:w="2537"/>
            <w:vAlign w:val="top"/>
          </w:tcPr>
          <w:p>
            <w:pPr>
              <w:spacing w:after="0"/>
            </w:pPr>
            <w:r>
              <w:rPr>
                <w:sz w:val="15"/>
              </w:rPr>
              <w:t>4 - Policy and supply chain</w:t>
            </w:r>
          </w:p>
        </w:tc>
        <w:tc>
          <w:tcPr>
            <w:tcW w:type="dxa" w:w="2537"/>
            <w:vAlign w:val="top"/>
          </w:tcPr>
          <w:p>
            <w:pPr>
              <w:spacing w:after="0"/>
            </w:pPr>
            <w:r>
              <w:rPr>
                <w:sz w:val="15"/>
              </w:rPr>
              <w:t>6-10 weeks</w:t>
            </w:r>
          </w:p>
        </w:tc>
        <w:tc>
          <w:tcPr>
            <w:tcW w:type="dxa" w:w="2537"/>
            <w:vAlign w:val="top"/>
          </w:tcPr>
          <w:p>
            <w:pPr>
              <w:spacing w:after="0"/>
            </w:pPr>
            <w:r>
              <w:rPr>
                <w:sz w:val="15"/>
              </w:rPr>
              <w:t>OPA, Binary Authorization, attestations and continuous validation</w:t>
            </w:r>
          </w:p>
        </w:tc>
        <w:tc>
          <w:tcPr>
            <w:tcW w:type="dxa" w:w="2537"/>
            <w:vAlign w:val="top"/>
          </w:tcPr>
          <w:p>
            <w:pPr>
              <w:spacing w:after="0"/>
            </w:pPr>
            <w:r>
              <w:rPr>
                <w:sz w:val="15"/>
              </w:rPr>
              <w:t>mandatory policy enforced after dry-run</w:t>
            </w:r>
          </w:p>
        </w:tc>
      </w:tr>
      <w:tr>
        <w:tc>
          <w:tcPr>
            <w:tcW w:type="dxa" w:w="2537"/>
            <w:shd w:fill="F7F8F9"/>
            <w:vAlign w:val="top"/>
          </w:tcPr>
          <w:p>
            <w:pPr>
              <w:spacing w:after="0"/>
            </w:pPr>
            <w:r>
              <w:rPr>
                <w:sz w:val="15"/>
              </w:rPr>
              <w:t>5 - Scale and optimize</w:t>
            </w:r>
          </w:p>
        </w:tc>
        <w:tc>
          <w:tcPr>
            <w:tcW w:type="dxa" w:w="2537"/>
            <w:shd w:fill="F7F8F9"/>
            <w:vAlign w:val="top"/>
          </w:tcPr>
          <w:p>
            <w:pPr>
              <w:spacing w:after="0"/>
            </w:pPr>
            <w:r>
              <w:rPr>
                <w:sz w:val="15"/>
              </w:rPr>
              <w:t>ongoing</w:t>
            </w:r>
          </w:p>
        </w:tc>
        <w:tc>
          <w:tcPr>
            <w:tcW w:type="dxa" w:w="2537"/>
            <w:shd w:fill="F7F8F9"/>
            <w:vAlign w:val="top"/>
          </w:tcPr>
          <w:p>
            <w:pPr>
              <w:spacing w:after="0"/>
            </w:pPr>
            <w:r>
              <w:rPr>
                <w:sz w:val="15"/>
              </w:rPr>
              <w:t>domain onboarding, metrics, cost, policy tuning and legacy retirement</w:t>
            </w:r>
          </w:p>
        </w:tc>
        <w:tc>
          <w:tcPr>
            <w:tcW w:type="dxa" w:w="2537"/>
            <w:shd w:fill="F7F8F9"/>
            <w:vAlign w:val="top"/>
          </w:tcPr>
          <w:p>
            <w:pPr>
              <w:spacing w:after="0"/>
            </w:pPr>
            <w:r>
              <w:rPr>
                <w:sz w:val="15"/>
              </w:rPr>
              <w:t>&gt;=90% new production releases on paved roads</w:t>
            </w:r>
          </w:p>
        </w:tc>
      </w:tr>
    </w:tbl>
    <w:p>
      <w:pPr>
        <w:spacing w:after="0"/>
      </w:pPr>
    </w:p>
    <w:p>
      <w:r>
        <w:br w:type="page"/>
      </w:r>
    </w:p>
    <w:p>
      <w:pPr>
        <w:pStyle w:val="Heading1"/>
      </w:pPr>
      <w:r>
        <w:t>32. Validation and Production Readiness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5"/>
              </w:rPr>
              <w:t>Validation area</w:t>
            </w:r>
          </w:p>
        </w:tc>
        <w:tc>
          <w:tcPr>
            <w:tcW w:type="dxa" w:w="5074"/>
            <w:shd w:fill="174EA6"/>
          </w:tcPr>
          <w:p>
            <w:pPr>
              <w:spacing w:after="0"/>
            </w:pPr>
            <w:r>
              <w:rPr>
                <w:b/>
                <w:color w:val="FFFFFF"/>
                <w:sz w:val="15"/>
              </w:rPr>
              <w:t>Acceptance criterion</w:t>
            </w:r>
          </w:p>
        </w:tc>
      </w:tr>
      <w:tr>
        <w:tc>
          <w:tcPr>
            <w:tcW w:type="dxa" w:w="5074"/>
            <w:vAlign w:val="top"/>
          </w:tcPr>
          <w:p>
            <w:pPr>
              <w:spacing w:after="0"/>
            </w:pPr>
            <w:r>
              <w:rPr>
                <w:sz w:val="15"/>
              </w:rPr>
              <w:t>Scope</w:t>
            </w:r>
          </w:p>
        </w:tc>
        <w:tc>
          <w:tcPr>
            <w:tcW w:type="dxa" w:w="5074"/>
            <w:vAlign w:val="top"/>
          </w:tcPr>
          <w:p>
            <w:pPr>
              <w:spacing w:after="0"/>
            </w:pPr>
            <w:r>
              <w:rPr>
                <w:sz w:val="15"/>
              </w:rPr>
              <w:t>All 48 Volume 9 topics are addressed</w:t>
            </w:r>
          </w:p>
        </w:tc>
      </w:tr>
      <w:tr>
        <w:tc>
          <w:tcPr>
            <w:tcW w:type="dxa" w:w="5074"/>
            <w:shd w:fill="F7F8F9"/>
            <w:vAlign w:val="top"/>
          </w:tcPr>
          <w:p>
            <w:pPr>
              <w:spacing w:after="0"/>
            </w:pPr>
            <w:r>
              <w:rPr>
                <w:sz w:val="15"/>
              </w:rPr>
              <w:t>Identity</w:t>
            </w:r>
          </w:p>
        </w:tc>
        <w:tc>
          <w:tcPr>
            <w:tcW w:type="dxa" w:w="5074"/>
            <w:shd w:fill="F7F8F9"/>
            <w:vAlign w:val="top"/>
          </w:tcPr>
          <w:p>
            <w:pPr>
              <w:spacing w:after="0"/>
            </w:pPr>
            <w:r>
              <w:rPr>
                <w:sz w:val="15"/>
              </w:rPr>
              <w:t>No long-lived Google Cloud keys in external pipelines</w:t>
            </w:r>
          </w:p>
        </w:tc>
      </w:tr>
      <w:tr>
        <w:tc>
          <w:tcPr>
            <w:tcW w:type="dxa" w:w="5074"/>
            <w:vAlign w:val="top"/>
          </w:tcPr>
          <w:p>
            <w:pPr>
              <w:spacing w:after="0"/>
            </w:pPr>
            <w:r>
              <w:rPr>
                <w:sz w:val="15"/>
              </w:rPr>
              <w:t>Repositories</w:t>
            </w:r>
          </w:p>
        </w:tc>
        <w:tc>
          <w:tcPr>
            <w:tcW w:type="dxa" w:w="5074"/>
            <w:vAlign w:val="top"/>
          </w:tcPr>
          <w:p>
            <w:pPr>
              <w:spacing w:after="0"/>
            </w:pPr>
            <w:r>
              <w:rPr>
                <w:sz w:val="15"/>
              </w:rPr>
              <w:t>rulesets, CODEOWNERS, environments and audit are enabled</w:t>
            </w:r>
          </w:p>
        </w:tc>
      </w:tr>
      <w:tr>
        <w:tc>
          <w:tcPr>
            <w:tcW w:type="dxa" w:w="5074"/>
            <w:shd w:fill="F7F8F9"/>
            <w:vAlign w:val="top"/>
          </w:tcPr>
          <w:p>
            <w:pPr>
              <w:spacing w:after="0"/>
            </w:pPr>
            <w:r>
              <w:rPr>
                <w:sz w:val="15"/>
              </w:rPr>
              <w:t>Build</w:t>
            </w:r>
          </w:p>
        </w:tc>
        <w:tc>
          <w:tcPr>
            <w:tcW w:type="dxa" w:w="5074"/>
            <w:shd w:fill="F7F8F9"/>
            <w:vAlign w:val="top"/>
          </w:tcPr>
          <w:p>
            <w:pPr>
              <w:spacing w:after="0"/>
            </w:pPr>
            <w:r>
              <w:rPr>
                <w:sz w:val="15"/>
              </w:rPr>
              <w:t>trusted build produces immutable artifact, provenance and test/scan evidence</w:t>
            </w:r>
          </w:p>
        </w:tc>
      </w:tr>
      <w:tr>
        <w:tc>
          <w:tcPr>
            <w:tcW w:type="dxa" w:w="5074"/>
            <w:vAlign w:val="top"/>
          </w:tcPr>
          <w:p>
            <w:pPr>
              <w:spacing w:after="0"/>
            </w:pPr>
            <w:r>
              <w:rPr>
                <w:sz w:val="15"/>
              </w:rPr>
              <w:t>Promotion</w:t>
            </w:r>
          </w:p>
        </w:tc>
        <w:tc>
          <w:tcPr>
            <w:tcW w:type="dxa" w:w="5074"/>
            <w:vAlign w:val="top"/>
          </w:tcPr>
          <w:p>
            <w:pPr>
              <w:spacing w:after="0"/>
            </w:pPr>
            <w:r>
              <w:rPr>
                <w:sz w:val="15"/>
              </w:rPr>
              <w:t>same digest/commit-derived release reaches production</w:t>
            </w:r>
          </w:p>
        </w:tc>
      </w:tr>
      <w:tr>
        <w:tc>
          <w:tcPr>
            <w:tcW w:type="dxa" w:w="5074"/>
            <w:shd w:fill="F7F8F9"/>
            <w:vAlign w:val="top"/>
          </w:tcPr>
          <w:p>
            <w:pPr>
              <w:spacing w:after="0"/>
            </w:pPr>
            <w:r>
              <w:rPr>
                <w:sz w:val="15"/>
              </w:rPr>
              <w:t>Policy</w:t>
            </w:r>
          </w:p>
        </w:tc>
        <w:tc>
          <w:tcPr>
            <w:tcW w:type="dxa" w:w="5074"/>
            <w:shd w:fill="F7F8F9"/>
            <w:vAlign w:val="top"/>
          </w:tcPr>
          <w:p>
            <w:pPr>
              <w:spacing w:after="0"/>
            </w:pPr>
            <w:r>
              <w:rPr>
                <w:sz w:val="15"/>
              </w:rPr>
              <w:t>mandatory security/IaC/artifact gates fail closed and have tested exceptions</w:t>
            </w:r>
          </w:p>
        </w:tc>
      </w:tr>
      <w:tr>
        <w:tc>
          <w:tcPr>
            <w:tcW w:type="dxa" w:w="5074"/>
            <w:vAlign w:val="top"/>
          </w:tcPr>
          <w:p>
            <w:pPr>
              <w:spacing w:after="0"/>
            </w:pPr>
            <w:r>
              <w:rPr>
                <w:sz w:val="15"/>
              </w:rPr>
              <w:t>Deployment</w:t>
            </w:r>
          </w:p>
        </w:tc>
        <w:tc>
          <w:tcPr>
            <w:tcW w:type="dxa" w:w="5074"/>
            <w:vAlign w:val="top"/>
          </w:tcPr>
          <w:p>
            <w:pPr>
              <w:spacing w:after="0"/>
            </w:pPr>
            <w:r>
              <w:rPr>
                <w:sz w:val="15"/>
              </w:rPr>
              <w:t>service-specific verification, canary/blue-green/standard strategy and rollback are tested</w:t>
            </w:r>
          </w:p>
        </w:tc>
      </w:tr>
      <w:tr>
        <w:tc>
          <w:tcPr>
            <w:tcW w:type="dxa" w:w="5074"/>
            <w:shd w:fill="F7F8F9"/>
            <w:vAlign w:val="top"/>
          </w:tcPr>
          <w:p>
            <w:pPr>
              <w:spacing w:after="0"/>
            </w:pPr>
            <w:r>
              <w:rPr>
                <w:sz w:val="15"/>
              </w:rPr>
              <w:t>Data assets</w:t>
            </w:r>
          </w:p>
        </w:tc>
        <w:tc>
          <w:tcPr>
            <w:tcW w:type="dxa" w:w="5074"/>
            <w:shd w:fill="F7F8F9"/>
            <w:vAlign w:val="top"/>
          </w:tcPr>
          <w:p>
            <w:pPr>
              <w:spacing w:after="0"/>
            </w:pPr>
            <w:r>
              <w:rPr>
                <w:sz w:val="15"/>
              </w:rPr>
              <w:t>schema, Dataform, Dataflow and Airflow lanes include data-quality/state recovery controls</w:t>
            </w:r>
          </w:p>
        </w:tc>
      </w:tr>
      <w:tr>
        <w:tc>
          <w:tcPr>
            <w:tcW w:type="dxa" w:w="5074"/>
            <w:vAlign w:val="top"/>
          </w:tcPr>
          <w:p>
            <w:pPr>
              <w:spacing w:after="0"/>
            </w:pPr>
            <w:r>
              <w:rPr>
                <w:sz w:val="15"/>
              </w:rPr>
              <w:t>Audit</w:t>
            </w:r>
          </w:p>
        </w:tc>
        <w:tc>
          <w:tcPr>
            <w:tcW w:type="dxa" w:w="5074"/>
            <w:vAlign w:val="top"/>
          </w:tcPr>
          <w:p>
            <w:pPr>
              <w:spacing w:after="0"/>
            </w:pPr>
            <w:r>
              <w:rPr>
                <w:sz w:val="15"/>
              </w:rPr>
              <w:t>commit-to-production evidence chain is queryable</w:t>
            </w:r>
          </w:p>
        </w:tc>
      </w:tr>
      <w:tr>
        <w:tc>
          <w:tcPr>
            <w:tcW w:type="dxa" w:w="5074"/>
            <w:shd w:fill="F7F8F9"/>
            <w:vAlign w:val="top"/>
          </w:tcPr>
          <w:p>
            <w:pPr>
              <w:spacing w:after="0"/>
            </w:pPr>
            <w:r>
              <w:rPr>
                <w:sz w:val="15"/>
              </w:rPr>
              <w:t>Packaging</w:t>
            </w:r>
          </w:p>
        </w:tc>
        <w:tc>
          <w:tcPr>
            <w:tcW w:type="dxa" w:w="5074"/>
            <w:shd w:fill="F7F8F9"/>
            <w:vAlign w:val="top"/>
          </w:tcPr>
          <w:p>
            <w:pPr>
              <w:spacing w:after="0"/>
            </w:pPr>
            <w:r>
              <w:rPr>
                <w:sz w:val="15"/>
              </w:rPr>
              <w:t>DOCX/PDF, examples, diagrams, matrices, ADRs, manifest and checksums validate</w:t>
            </w:r>
          </w:p>
        </w:tc>
      </w:tr>
    </w:tbl>
    <w:p>
      <w:pPr>
        <w:spacing w:after="0"/>
      </w:pP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tcPr>
          <w:p>
            <w:pPr>
              <w:spacing w:after="0"/>
            </w:pPr>
            <w:r>
              <w:rPr>
                <w:b/>
                <w:color w:val="FFFFFF"/>
                <w:sz w:val="14"/>
              </w:rPr>
              <w:t>ID</w:t>
            </w:r>
          </w:p>
        </w:tc>
        <w:tc>
          <w:tcPr>
            <w:tcW w:type="dxa" w:w="2537"/>
            <w:shd w:fill="174EA6"/>
          </w:tcPr>
          <w:p>
            <w:pPr>
              <w:spacing w:after="0"/>
            </w:pPr>
            <w:r>
              <w:rPr>
                <w:b/>
                <w:color w:val="FFFFFF"/>
                <w:sz w:val="14"/>
              </w:rPr>
              <w:t>Control</w:t>
            </w:r>
          </w:p>
        </w:tc>
        <w:tc>
          <w:tcPr>
            <w:tcW w:type="dxa" w:w="2537"/>
            <w:shd w:fill="174EA6"/>
          </w:tcPr>
          <w:p>
            <w:pPr>
              <w:spacing w:after="0"/>
            </w:pPr>
            <w:r>
              <w:rPr>
                <w:b/>
                <w:color w:val="FFFFFF"/>
                <w:sz w:val="14"/>
              </w:rPr>
              <w:t>Classification</w:t>
            </w:r>
          </w:p>
        </w:tc>
        <w:tc>
          <w:tcPr>
            <w:tcW w:type="dxa" w:w="2537"/>
            <w:shd w:fill="174EA6"/>
          </w:tcPr>
          <w:p>
            <w:pPr>
              <w:spacing w:after="0"/>
            </w:pPr>
            <w:r>
              <w:rPr>
                <w:b/>
                <w:color w:val="FFFFFF"/>
                <w:sz w:val="14"/>
              </w:rPr>
              <w:t>Evidence</w:t>
            </w:r>
          </w:p>
        </w:tc>
      </w:tr>
      <w:tr>
        <w:tc>
          <w:tcPr>
            <w:tcW w:type="dxa" w:w="2537"/>
            <w:vAlign w:val="top"/>
          </w:tcPr>
          <w:p>
            <w:pPr>
              <w:spacing w:after="0"/>
            </w:pPr>
            <w:r>
              <w:rPr>
                <w:sz w:val="14"/>
              </w:rPr>
              <w:t>PR-001</w:t>
            </w:r>
          </w:p>
        </w:tc>
        <w:tc>
          <w:tcPr>
            <w:tcW w:type="dxa" w:w="2537"/>
            <w:vAlign w:val="top"/>
          </w:tcPr>
          <w:p>
            <w:pPr>
              <w:spacing w:after="0"/>
            </w:pPr>
            <w:r>
              <w:rPr>
                <w:sz w:val="14"/>
              </w:rPr>
              <w:t>Repository owner, CODEOWNERS and branch/ruleset controls approved</w:t>
            </w:r>
          </w:p>
        </w:tc>
        <w:tc>
          <w:tcPr>
            <w:tcW w:type="dxa" w:w="2537"/>
            <w:vAlign w:val="top"/>
          </w:tcPr>
          <w:p>
            <w:pPr>
              <w:spacing w:after="0"/>
            </w:pPr>
            <w:r>
              <w:rPr>
                <w:sz w:val="14"/>
              </w:rPr>
              <w:t>Mandatory</w:t>
            </w:r>
          </w:p>
        </w:tc>
        <w:tc>
          <w:tcPr>
            <w:tcW w:type="dxa" w:w="2537"/>
            <w:vAlign w:val="top"/>
          </w:tcPr>
          <w:p>
            <w:pPr>
              <w:spacing w:after="0"/>
            </w:pPr>
            <w:r>
              <w:rPr>
                <w:sz w:val="14"/>
              </w:rPr>
              <w:t>repository settings export</w:t>
            </w:r>
          </w:p>
        </w:tc>
      </w:tr>
      <w:tr>
        <w:tc>
          <w:tcPr>
            <w:tcW w:type="dxa" w:w="2537"/>
            <w:shd w:fill="F7F8F9"/>
            <w:vAlign w:val="top"/>
          </w:tcPr>
          <w:p>
            <w:pPr>
              <w:spacing w:after="0"/>
            </w:pPr>
            <w:r>
              <w:rPr>
                <w:sz w:val="14"/>
              </w:rPr>
              <w:t>PR-002</w:t>
            </w:r>
          </w:p>
        </w:tc>
        <w:tc>
          <w:tcPr>
            <w:tcW w:type="dxa" w:w="2537"/>
            <w:shd w:fill="F7F8F9"/>
            <w:vAlign w:val="top"/>
          </w:tcPr>
          <w:p>
            <w:pPr>
              <w:spacing w:after="0"/>
            </w:pPr>
            <w:r>
              <w:rPr>
                <w:sz w:val="14"/>
              </w:rPr>
              <w:t>Pipeline authentication uses WIF or managed identity; no Google Cloud keys</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IAM/WIF evidence</w:t>
            </w:r>
          </w:p>
        </w:tc>
      </w:tr>
      <w:tr>
        <w:tc>
          <w:tcPr>
            <w:tcW w:type="dxa" w:w="2537"/>
            <w:vAlign w:val="top"/>
          </w:tcPr>
          <w:p>
            <w:pPr>
              <w:spacing w:after="0"/>
            </w:pPr>
            <w:r>
              <w:rPr>
                <w:sz w:val="14"/>
              </w:rPr>
              <w:t>PR-003</w:t>
            </w:r>
          </w:p>
        </w:tc>
        <w:tc>
          <w:tcPr>
            <w:tcW w:type="dxa" w:w="2537"/>
            <w:vAlign w:val="top"/>
          </w:tcPr>
          <w:p>
            <w:pPr>
              <w:spacing w:after="0"/>
            </w:pPr>
            <w:r>
              <w:rPr>
                <w:sz w:val="14"/>
              </w:rPr>
              <w:t>Build, deploy and runtime identities are separate and least privileged</w:t>
            </w:r>
          </w:p>
        </w:tc>
        <w:tc>
          <w:tcPr>
            <w:tcW w:type="dxa" w:w="2537"/>
            <w:vAlign w:val="top"/>
          </w:tcPr>
          <w:p>
            <w:pPr>
              <w:spacing w:after="0"/>
            </w:pPr>
            <w:r>
              <w:rPr>
                <w:sz w:val="14"/>
              </w:rPr>
              <w:t>Mandatory</w:t>
            </w:r>
          </w:p>
        </w:tc>
        <w:tc>
          <w:tcPr>
            <w:tcW w:type="dxa" w:w="2537"/>
            <w:vAlign w:val="top"/>
          </w:tcPr>
          <w:p>
            <w:pPr>
              <w:spacing w:after="0"/>
            </w:pPr>
            <w:r>
              <w:rPr>
                <w:sz w:val="14"/>
              </w:rPr>
              <w:t>IAM matrix</w:t>
            </w:r>
          </w:p>
        </w:tc>
      </w:tr>
      <w:tr>
        <w:tc>
          <w:tcPr>
            <w:tcW w:type="dxa" w:w="2537"/>
            <w:shd w:fill="F7F8F9"/>
            <w:vAlign w:val="top"/>
          </w:tcPr>
          <w:p>
            <w:pPr>
              <w:spacing w:after="0"/>
            </w:pPr>
            <w:r>
              <w:rPr>
                <w:sz w:val="14"/>
              </w:rPr>
              <w:t>PR-004</w:t>
            </w:r>
          </w:p>
        </w:tc>
        <w:tc>
          <w:tcPr>
            <w:tcW w:type="dxa" w:w="2537"/>
            <w:shd w:fill="F7F8F9"/>
            <w:vAlign w:val="top"/>
          </w:tcPr>
          <w:p>
            <w:pPr>
              <w:spacing w:after="0"/>
            </w:pPr>
            <w:r>
              <w:rPr>
                <w:sz w:val="14"/>
              </w:rPr>
              <w:t>Artifact is immutable, digest-addressed and has provenance/test evidence</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release manifest</w:t>
            </w:r>
          </w:p>
        </w:tc>
      </w:tr>
      <w:tr>
        <w:tc>
          <w:tcPr>
            <w:tcW w:type="dxa" w:w="2537"/>
            <w:vAlign w:val="top"/>
          </w:tcPr>
          <w:p>
            <w:pPr>
              <w:spacing w:after="0"/>
            </w:pPr>
            <w:r>
              <w:rPr>
                <w:sz w:val="14"/>
              </w:rPr>
              <w:t>PR-005</w:t>
            </w:r>
          </w:p>
        </w:tc>
        <w:tc>
          <w:tcPr>
            <w:tcW w:type="dxa" w:w="2537"/>
            <w:vAlign w:val="top"/>
          </w:tcPr>
          <w:p>
            <w:pPr>
              <w:spacing w:after="0"/>
            </w:pPr>
            <w:r>
              <w:rPr>
                <w:sz w:val="14"/>
              </w:rPr>
              <w:t>Secret, dependency, container, IaC and policy scans pass</w:t>
            </w:r>
          </w:p>
        </w:tc>
        <w:tc>
          <w:tcPr>
            <w:tcW w:type="dxa" w:w="2537"/>
            <w:vAlign w:val="top"/>
          </w:tcPr>
          <w:p>
            <w:pPr>
              <w:spacing w:after="0"/>
            </w:pPr>
            <w:r>
              <w:rPr>
                <w:sz w:val="14"/>
              </w:rPr>
              <w:t>Mandatory</w:t>
            </w:r>
          </w:p>
        </w:tc>
        <w:tc>
          <w:tcPr>
            <w:tcW w:type="dxa" w:w="2537"/>
            <w:vAlign w:val="top"/>
          </w:tcPr>
          <w:p>
            <w:pPr>
              <w:spacing w:after="0"/>
            </w:pPr>
            <w:r>
              <w:rPr>
                <w:sz w:val="14"/>
              </w:rPr>
              <w:t>scan reports</w:t>
            </w:r>
          </w:p>
        </w:tc>
      </w:tr>
      <w:tr>
        <w:tc>
          <w:tcPr>
            <w:tcW w:type="dxa" w:w="2537"/>
            <w:shd w:fill="F7F8F9"/>
            <w:vAlign w:val="top"/>
          </w:tcPr>
          <w:p>
            <w:pPr>
              <w:spacing w:after="0"/>
            </w:pPr>
            <w:r>
              <w:rPr>
                <w:sz w:val="14"/>
              </w:rPr>
              <w:t>PR-006</w:t>
            </w:r>
          </w:p>
        </w:tc>
        <w:tc>
          <w:tcPr>
            <w:tcW w:type="dxa" w:w="2537"/>
            <w:shd w:fill="F7F8F9"/>
            <w:vAlign w:val="top"/>
          </w:tcPr>
          <w:p>
            <w:pPr>
              <w:spacing w:after="0"/>
            </w:pPr>
            <w:r>
              <w:rPr>
                <w:sz w:val="14"/>
              </w:rPr>
              <w:t>Environment promotion uses same artifact and controlled configuration</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digest comparison</w:t>
            </w:r>
          </w:p>
        </w:tc>
      </w:tr>
      <w:tr>
        <w:tc>
          <w:tcPr>
            <w:tcW w:type="dxa" w:w="2537"/>
            <w:vAlign w:val="top"/>
          </w:tcPr>
          <w:p>
            <w:pPr>
              <w:spacing w:after="0"/>
            </w:pPr>
            <w:r>
              <w:rPr>
                <w:sz w:val="14"/>
              </w:rPr>
              <w:t>PR-007</w:t>
            </w:r>
          </w:p>
        </w:tc>
        <w:tc>
          <w:tcPr>
            <w:tcW w:type="dxa" w:w="2537"/>
            <w:vAlign w:val="top"/>
          </w:tcPr>
          <w:p>
            <w:pPr>
              <w:spacing w:after="0"/>
            </w:pPr>
            <w:r>
              <w:rPr>
                <w:sz w:val="14"/>
              </w:rPr>
              <w:t>Production approval is independent and risk-based</w:t>
            </w:r>
          </w:p>
        </w:tc>
        <w:tc>
          <w:tcPr>
            <w:tcW w:type="dxa" w:w="2537"/>
            <w:vAlign w:val="top"/>
          </w:tcPr>
          <w:p>
            <w:pPr>
              <w:spacing w:after="0"/>
            </w:pPr>
            <w:r>
              <w:rPr>
                <w:sz w:val="14"/>
              </w:rPr>
              <w:t>Mandatory</w:t>
            </w:r>
          </w:p>
        </w:tc>
        <w:tc>
          <w:tcPr>
            <w:tcW w:type="dxa" w:w="2537"/>
            <w:vAlign w:val="top"/>
          </w:tcPr>
          <w:p>
            <w:pPr>
              <w:spacing w:after="0"/>
            </w:pPr>
            <w:r>
              <w:rPr>
                <w:sz w:val="14"/>
              </w:rPr>
              <w:t>approval record</w:t>
            </w:r>
          </w:p>
        </w:tc>
      </w:tr>
      <w:tr>
        <w:tc>
          <w:tcPr>
            <w:tcW w:type="dxa" w:w="2537"/>
            <w:shd w:fill="F7F8F9"/>
            <w:vAlign w:val="top"/>
          </w:tcPr>
          <w:p>
            <w:pPr>
              <w:spacing w:after="0"/>
            </w:pPr>
            <w:r>
              <w:rPr>
                <w:sz w:val="14"/>
              </w:rPr>
              <w:t>PR-008</w:t>
            </w:r>
          </w:p>
        </w:tc>
        <w:tc>
          <w:tcPr>
            <w:tcW w:type="dxa" w:w="2537"/>
            <w:shd w:fill="F7F8F9"/>
            <w:vAlign w:val="top"/>
          </w:tcPr>
          <w:p>
            <w:pPr>
              <w:spacing w:after="0"/>
            </w:pPr>
            <w:r>
              <w:rPr>
                <w:sz w:val="14"/>
              </w:rPr>
              <w:t>Deployment verification includes SLO, business and data-quality checks</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verification job</w:t>
            </w:r>
          </w:p>
        </w:tc>
      </w:tr>
      <w:tr>
        <w:tc>
          <w:tcPr>
            <w:tcW w:type="dxa" w:w="2537"/>
            <w:vAlign w:val="top"/>
          </w:tcPr>
          <w:p>
            <w:pPr>
              <w:spacing w:after="0"/>
            </w:pPr>
            <w:r>
              <w:rPr>
                <w:sz w:val="14"/>
              </w:rPr>
              <w:t>PR-009</w:t>
            </w:r>
          </w:p>
        </w:tc>
        <w:tc>
          <w:tcPr>
            <w:tcW w:type="dxa" w:w="2537"/>
            <w:vAlign w:val="top"/>
          </w:tcPr>
          <w:p>
            <w:pPr>
              <w:spacing w:after="0"/>
            </w:pPr>
            <w:r>
              <w:rPr>
                <w:sz w:val="14"/>
              </w:rPr>
              <w:t>Rollback or forward-fix path is service-specific and tested</w:t>
            </w:r>
          </w:p>
        </w:tc>
        <w:tc>
          <w:tcPr>
            <w:tcW w:type="dxa" w:w="2537"/>
            <w:vAlign w:val="top"/>
          </w:tcPr>
          <w:p>
            <w:pPr>
              <w:spacing w:after="0"/>
            </w:pPr>
            <w:r>
              <w:rPr>
                <w:sz w:val="14"/>
              </w:rPr>
              <w:t>Mandatory</w:t>
            </w:r>
          </w:p>
        </w:tc>
        <w:tc>
          <w:tcPr>
            <w:tcW w:type="dxa" w:w="2537"/>
            <w:vAlign w:val="top"/>
          </w:tcPr>
          <w:p>
            <w:pPr>
              <w:spacing w:after="0"/>
            </w:pPr>
            <w:r>
              <w:rPr>
                <w:sz w:val="14"/>
              </w:rPr>
              <w:t>exercise evidence</w:t>
            </w:r>
          </w:p>
        </w:tc>
      </w:tr>
      <w:tr>
        <w:tc>
          <w:tcPr>
            <w:tcW w:type="dxa" w:w="2537"/>
            <w:shd w:fill="F7F8F9"/>
            <w:vAlign w:val="top"/>
          </w:tcPr>
          <w:p>
            <w:pPr>
              <w:spacing w:after="0"/>
            </w:pPr>
            <w:r>
              <w:rPr>
                <w:sz w:val="14"/>
              </w:rPr>
              <w:t>PR-010</w:t>
            </w:r>
          </w:p>
        </w:tc>
        <w:tc>
          <w:tcPr>
            <w:tcW w:type="dxa" w:w="2537"/>
            <w:shd w:fill="F7F8F9"/>
            <w:vAlign w:val="top"/>
          </w:tcPr>
          <w:p>
            <w:pPr>
              <w:spacing w:after="0"/>
            </w:pPr>
            <w:r>
              <w:rPr>
                <w:sz w:val="14"/>
              </w:rPr>
              <w:t>Release annotations, audit logs, metrics and owner labels are available</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dashboard/audit</w:t>
            </w:r>
          </w:p>
        </w:tc>
      </w:tr>
      <w:tr>
        <w:tc>
          <w:tcPr>
            <w:tcW w:type="dxa" w:w="2537"/>
            <w:vAlign w:val="top"/>
          </w:tcPr>
          <w:p>
            <w:pPr>
              <w:spacing w:after="0"/>
            </w:pPr>
            <w:r>
              <w:rPr>
                <w:sz w:val="14"/>
              </w:rPr>
              <w:t>PR-011</w:t>
            </w:r>
          </w:p>
        </w:tc>
        <w:tc>
          <w:tcPr>
            <w:tcW w:type="dxa" w:w="2537"/>
            <w:vAlign w:val="top"/>
          </w:tcPr>
          <w:p>
            <w:pPr>
              <w:spacing w:after="0"/>
            </w:pPr>
            <w:r>
              <w:rPr>
                <w:sz w:val="14"/>
              </w:rPr>
              <w:t>Emergency change path uses PAM/break-glass and post-review</w:t>
            </w:r>
          </w:p>
        </w:tc>
        <w:tc>
          <w:tcPr>
            <w:tcW w:type="dxa" w:w="2537"/>
            <w:vAlign w:val="top"/>
          </w:tcPr>
          <w:p>
            <w:pPr>
              <w:spacing w:after="0"/>
            </w:pPr>
            <w:r>
              <w:rPr>
                <w:sz w:val="14"/>
              </w:rPr>
              <w:t>Mandatory</w:t>
            </w:r>
          </w:p>
        </w:tc>
        <w:tc>
          <w:tcPr>
            <w:tcW w:type="dxa" w:w="2537"/>
            <w:vAlign w:val="top"/>
          </w:tcPr>
          <w:p>
            <w:pPr>
              <w:spacing w:after="0"/>
            </w:pPr>
            <w:r>
              <w:rPr>
                <w:sz w:val="14"/>
              </w:rPr>
              <w:t>runbook/test</w:t>
            </w:r>
          </w:p>
        </w:tc>
      </w:tr>
      <w:tr>
        <w:tc>
          <w:tcPr>
            <w:tcW w:type="dxa" w:w="2537"/>
            <w:shd w:fill="F7F8F9"/>
            <w:vAlign w:val="top"/>
          </w:tcPr>
          <w:p>
            <w:pPr>
              <w:spacing w:after="0"/>
            </w:pPr>
            <w:r>
              <w:rPr>
                <w:sz w:val="14"/>
              </w:rPr>
              <w:t>PR-012</w:t>
            </w:r>
          </w:p>
        </w:tc>
        <w:tc>
          <w:tcPr>
            <w:tcW w:type="dxa" w:w="2537"/>
            <w:shd w:fill="F7F8F9"/>
            <w:vAlign w:val="top"/>
          </w:tcPr>
          <w:p>
            <w:pPr>
              <w:spacing w:after="0"/>
            </w:pPr>
            <w:r>
              <w:rPr>
                <w:sz w:val="14"/>
              </w:rPr>
              <w:t>Artifact retention and cleanup preserve approved rollback releases</w:t>
            </w:r>
          </w:p>
        </w:tc>
        <w:tc>
          <w:tcPr>
            <w:tcW w:type="dxa" w:w="2537"/>
            <w:shd w:fill="F7F8F9"/>
            <w:vAlign w:val="top"/>
          </w:tcPr>
          <w:p>
            <w:pPr>
              <w:spacing w:after="0"/>
            </w:pPr>
            <w:r>
              <w:rPr>
                <w:sz w:val="14"/>
              </w:rPr>
              <w:t>Mandatory</w:t>
            </w:r>
          </w:p>
        </w:tc>
        <w:tc>
          <w:tcPr>
            <w:tcW w:type="dxa" w:w="2537"/>
            <w:shd w:fill="F7F8F9"/>
            <w:vAlign w:val="top"/>
          </w:tcPr>
          <w:p>
            <w:pPr>
              <w:spacing w:after="0"/>
            </w:pPr>
            <w:r>
              <w:rPr>
                <w:sz w:val="14"/>
              </w:rPr>
              <w:t>repository policy</w:t>
            </w:r>
          </w:p>
        </w:tc>
      </w:tr>
    </w:tbl>
    <w:p>
      <w:pPr>
        <w:spacing w:after="0"/>
      </w:pPr>
    </w:p>
    <w:p>
      <w:r>
        <w:br w:type="page"/>
      </w:r>
    </w:p>
    <w:p>
      <w:pPr>
        <w:pStyle w:val="Heading1"/>
      </w:pPr>
      <w:r>
        <w:t>33. Dependencies, Decisions and Next Actions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5"/>
              </w:rPr>
              <w:t>Dependency</w:t>
            </w:r>
          </w:p>
        </w:tc>
        <w:tc>
          <w:tcPr>
            <w:tcW w:type="dxa" w:w="5074"/>
            <w:shd w:fill="174EA6"/>
          </w:tcPr>
          <w:p>
            <w:pPr>
              <w:spacing w:after="0"/>
            </w:pPr>
            <w:r>
              <w:rPr>
                <w:b/>
                <w:color w:val="FFFFFF"/>
                <w:sz w:val="15"/>
              </w:rPr>
              <w:t>Required interface</w:t>
            </w:r>
          </w:p>
        </w:tc>
      </w:tr>
      <w:tr>
        <w:tc>
          <w:tcPr>
            <w:tcW w:type="dxa" w:w="5074"/>
            <w:vAlign w:val="top"/>
          </w:tcPr>
          <w:p>
            <w:pPr>
              <w:spacing w:after="0"/>
            </w:pPr>
            <w:r>
              <w:rPr>
                <w:sz w:val="15"/>
              </w:rPr>
              <w:t>Volume 4</w:t>
            </w:r>
          </w:p>
        </w:tc>
        <w:tc>
          <w:tcPr>
            <w:tcW w:type="dxa" w:w="5074"/>
            <w:vAlign w:val="top"/>
          </w:tcPr>
          <w:p>
            <w:pPr>
              <w:spacing w:after="0"/>
            </w:pPr>
            <w:r>
              <w:rPr>
                <w:sz w:val="15"/>
              </w:rPr>
              <w:t>Pipeline artifact, state/update, data-quality, replay and rollback requirements</w:t>
            </w:r>
          </w:p>
        </w:tc>
      </w:tr>
      <w:tr>
        <w:tc>
          <w:tcPr>
            <w:tcW w:type="dxa" w:w="5074"/>
            <w:shd w:fill="F7F8F9"/>
            <w:vAlign w:val="top"/>
          </w:tcPr>
          <w:p>
            <w:pPr>
              <w:spacing w:after="0"/>
            </w:pPr>
            <w:r>
              <w:rPr>
                <w:sz w:val="15"/>
              </w:rPr>
              <w:t>Volume 5</w:t>
            </w:r>
          </w:p>
        </w:tc>
        <w:tc>
          <w:tcPr>
            <w:tcW w:type="dxa" w:w="5074"/>
            <w:shd w:fill="F7F8F9"/>
            <w:vAlign w:val="top"/>
          </w:tcPr>
          <w:p>
            <w:pPr>
              <w:spacing w:after="0"/>
            </w:pPr>
            <w:r>
              <w:rPr>
                <w:sz w:val="15"/>
              </w:rPr>
              <w:t>Product ownership, contracts, certification and domain approval</w:t>
            </w:r>
          </w:p>
        </w:tc>
      </w:tr>
      <w:tr>
        <w:tc>
          <w:tcPr>
            <w:tcW w:type="dxa" w:w="5074"/>
            <w:vAlign w:val="top"/>
          </w:tcPr>
          <w:p>
            <w:pPr>
              <w:spacing w:after="0"/>
            </w:pPr>
            <w:r>
              <w:rPr>
                <w:sz w:val="15"/>
              </w:rPr>
              <w:t>Volume 7</w:t>
            </w:r>
          </w:p>
        </w:tc>
        <w:tc>
          <w:tcPr>
            <w:tcW w:type="dxa" w:w="5074"/>
            <w:vAlign w:val="top"/>
          </w:tcPr>
          <w:p>
            <w:pPr>
              <w:spacing w:after="0"/>
            </w:pPr>
            <w:r>
              <w:rPr>
                <w:sz w:val="15"/>
              </w:rPr>
              <w:t>MLOps/LLMOps prompt, model, index, agent and evaluation release bundles</w:t>
            </w:r>
          </w:p>
        </w:tc>
      </w:tr>
      <w:tr>
        <w:tc>
          <w:tcPr>
            <w:tcW w:type="dxa" w:w="5074"/>
            <w:shd w:fill="F7F8F9"/>
            <w:vAlign w:val="top"/>
          </w:tcPr>
          <w:p>
            <w:pPr>
              <w:spacing w:after="0"/>
            </w:pPr>
            <w:r>
              <w:rPr>
                <w:sz w:val="15"/>
              </w:rPr>
              <w:t>Volume 8</w:t>
            </w:r>
          </w:p>
        </w:tc>
        <w:tc>
          <w:tcPr>
            <w:tcW w:type="dxa" w:w="5074"/>
            <w:shd w:fill="F7F8F9"/>
            <w:vAlign w:val="top"/>
          </w:tcPr>
          <w:p>
            <w:pPr>
              <w:spacing w:after="0"/>
            </w:pPr>
            <w:r>
              <w:rPr>
                <w:sz w:val="15"/>
              </w:rPr>
              <w:t>WIF, supply-chain, Binary Authorization, secrets, audit and incident controls</w:t>
            </w:r>
          </w:p>
        </w:tc>
      </w:tr>
      <w:tr>
        <w:tc>
          <w:tcPr>
            <w:tcW w:type="dxa" w:w="5074"/>
            <w:vAlign w:val="top"/>
          </w:tcPr>
          <w:p>
            <w:pPr>
              <w:spacing w:after="0"/>
            </w:pPr>
            <w:r>
              <w:rPr>
                <w:sz w:val="15"/>
              </w:rPr>
              <w:t>Volume 10</w:t>
            </w:r>
          </w:p>
        </w:tc>
        <w:tc>
          <w:tcPr>
            <w:tcW w:type="dxa" w:w="5074"/>
            <w:vAlign w:val="top"/>
          </w:tcPr>
          <w:p>
            <w:pPr>
              <w:spacing w:after="0"/>
            </w:pPr>
            <w:r>
              <w:rPr>
                <w:sz w:val="15"/>
              </w:rPr>
              <w:t>CI/CD cost allocation and optimization</w:t>
            </w:r>
          </w:p>
        </w:tc>
      </w:tr>
      <w:tr>
        <w:tc>
          <w:tcPr>
            <w:tcW w:type="dxa" w:w="5074"/>
            <w:shd w:fill="F7F8F9"/>
            <w:vAlign w:val="top"/>
          </w:tcPr>
          <w:p>
            <w:pPr>
              <w:spacing w:after="0"/>
            </w:pPr>
            <w:r>
              <w:rPr>
                <w:sz w:val="15"/>
              </w:rPr>
              <w:t>Volume 11</w:t>
            </w:r>
          </w:p>
        </w:tc>
        <w:tc>
          <w:tcPr>
            <w:tcW w:type="dxa" w:w="5074"/>
            <w:shd w:fill="F7F8F9"/>
            <w:vAlign w:val="top"/>
          </w:tcPr>
          <w:p>
            <w:pPr>
              <w:spacing w:after="0"/>
            </w:pPr>
            <w:r>
              <w:rPr>
                <w:sz w:val="15"/>
              </w:rPr>
              <w:t>release annotations, deployment monitoring, SLOs and incident/PIR</w:t>
            </w:r>
          </w:p>
        </w:tc>
      </w:tr>
      <w:tr>
        <w:tc>
          <w:tcPr>
            <w:tcW w:type="dxa" w:w="5074"/>
            <w:vAlign w:val="top"/>
          </w:tcPr>
          <w:p>
            <w:pPr>
              <w:spacing w:after="0"/>
            </w:pPr>
            <w:r>
              <w:rPr>
                <w:sz w:val="15"/>
              </w:rPr>
              <w:t>Volume 12</w:t>
            </w:r>
          </w:p>
        </w:tc>
        <w:tc>
          <w:tcPr>
            <w:tcW w:type="dxa" w:w="5074"/>
            <w:vAlign w:val="top"/>
          </w:tcPr>
          <w:p>
            <w:pPr>
              <w:spacing w:after="0"/>
            </w:pPr>
            <w:r>
              <w:rPr>
                <w:sz w:val="15"/>
              </w:rPr>
              <w:t>source/artifact/configuration recovery and alternate delivery paths</w:t>
            </w:r>
          </w:p>
        </w:tc>
      </w:tr>
      <w:tr>
        <w:tc>
          <w:tcPr>
            <w:tcW w:type="dxa" w:w="5074"/>
            <w:shd w:fill="F7F8F9"/>
            <w:vAlign w:val="top"/>
          </w:tcPr>
          <w:p>
            <w:pPr>
              <w:spacing w:after="0"/>
            </w:pPr>
            <w:r>
              <w:rPr>
                <w:sz w:val="15"/>
              </w:rPr>
              <w:t>Volume 13</w:t>
            </w:r>
          </w:p>
        </w:tc>
        <w:tc>
          <w:tcPr>
            <w:tcW w:type="dxa" w:w="5074"/>
            <w:shd w:fill="F7F8F9"/>
            <w:vAlign w:val="top"/>
          </w:tcPr>
          <w:p>
            <w:pPr>
              <w:spacing w:after="0"/>
            </w:pPr>
            <w:r>
              <w:rPr>
                <w:sz w:val="15"/>
              </w:rPr>
              <w:t>golden Terraform modules, state and apply pipelines</w:t>
            </w:r>
          </w:p>
        </w:tc>
      </w:tr>
    </w:tbl>
    <w:p>
      <w:pPr>
        <w:spacing w:after="0"/>
      </w:pPr>
    </w:p>
    <w:p>
      <w:pPr>
        <w:pStyle w:val="ListNumber"/>
      </w:pPr>
      <w:r>
        <w:t>Approve the ten Volume 9 ADRs and repository/identity model.</w:t>
      </w:r>
    </w:p>
    <w:p>
      <w:pPr>
        <w:pStyle w:val="ListNumber"/>
      </w:pPr>
      <w:r>
        <w:t>Pilot one application, Terraform root, Dataform product and Dataflow streaming release lane.</w:t>
      </w:r>
    </w:p>
    <w:p>
      <w:pPr>
        <w:pStyle w:val="ListNumber"/>
      </w:pPr>
      <w:r>
        <w:t>Create GitHub organization rulesets, WIF providers and private Cloud Build pools in non-production.</w:t>
      </w:r>
    </w:p>
    <w:p>
      <w:pPr>
        <w:pStyle w:val="ListNumber"/>
      </w:pPr>
      <w:r>
        <w:t>Publish release manifest, policy library, test-stage and approval standards.</w:t>
      </w:r>
    </w:p>
    <w:p>
      <w:pPr>
        <w:pStyle w:val="ListNumber"/>
      </w:pPr>
      <w:r>
        <w:t>Enable immutable Artifact Registry repositories, scanning and retention controls.</w:t>
      </w:r>
    </w:p>
    <w:p>
      <w:pPr>
        <w:pStyle w:val="ListNumber"/>
      </w:pPr>
      <w:r>
        <w:t>Exercise canary, application rollback, Terraform recovery, schema forward-fix and Dataflow drain/replay.</w:t>
      </w:r>
    </w:p>
    <w:p>
      <w:pPr>
        <w:pStyle w:val="ListNumber"/>
      </w:pPr>
      <w:r>
        <w:t>Begin cross-volume validation after Volume 13 completion.</w:t>
      </w:r>
    </w:p>
    <w:p>
      <w:r>
        <w:br w:type="page"/>
      </w:r>
    </w:p>
    <w:p>
      <w:pPr>
        <w:pStyle w:val="Heading1"/>
      </w:pPr>
      <w:r>
        <w:t>34. References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tcPr>
          <w:p>
            <w:pPr>
              <w:spacing w:after="0"/>
            </w:pPr>
            <w:r>
              <w:rPr>
                <w:b/>
                <w:color w:val="FFFFFF"/>
                <w:sz w:val="14"/>
              </w:rPr>
              <w:t>Reference</w:t>
            </w:r>
          </w:p>
        </w:tc>
        <w:tc>
          <w:tcPr>
            <w:tcW w:type="dxa" w:w="5074"/>
            <w:shd w:fill="174EA6"/>
          </w:tcPr>
          <w:p>
            <w:pPr>
              <w:spacing w:after="0"/>
            </w:pPr>
            <w:r>
              <w:rPr>
                <w:b/>
                <w:color w:val="FFFFFF"/>
                <w:sz w:val="14"/>
              </w:rPr>
              <w:t>Official location</w:t>
            </w:r>
          </w:p>
        </w:tc>
      </w:tr>
      <w:tr>
        <w:tc>
          <w:tcPr>
            <w:tcW w:type="dxa" w:w="5074"/>
            <w:vAlign w:val="top"/>
          </w:tcPr>
          <w:p>
            <w:pPr>
              <w:spacing w:after="0"/>
            </w:pPr>
            <w:r>
              <w:rPr>
                <w:sz w:val="14"/>
              </w:rPr>
              <w:t>Cloud Build private pools</w:t>
            </w:r>
          </w:p>
        </w:tc>
        <w:tc>
          <w:tcPr>
            <w:tcW w:type="dxa" w:w="5074"/>
            <w:vAlign w:val="top"/>
          </w:tcPr>
          <w:p>
            <w:pPr>
              <w:spacing w:after="0"/>
            </w:pPr>
            <w:r>
              <w:rPr>
                <w:sz w:val="14"/>
              </w:rPr>
              <w:t>https://docs.cloud.google.com/build/docs/private-pools/private-pools-overview</w:t>
            </w:r>
          </w:p>
        </w:tc>
      </w:tr>
      <w:tr>
        <w:tc>
          <w:tcPr>
            <w:tcW w:type="dxa" w:w="5074"/>
            <w:shd w:fill="F7F8F9"/>
            <w:vAlign w:val="top"/>
          </w:tcPr>
          <w:p>
            <w:pPr>
              <w:spacing w:after="0"/>
            </w:pPr>
            <w:r>
              <w:rPr>
                <w:sz w:val="14"/>
              </w:rPr>
              <w:t>Cloud Build provenance</w:t>
            </w:r>
          </w:p>
        </w:tc>
        <w:tc>
          <w:tcPr>
            <w:tcW w:type="dxa" w:w="5074"/>
            <w:shd w:fill="F7F8F9"/>
            <w:vAlign w:val="top"/>
          </w:tcPr>
          <w:p>
            <w:pPr>
              <w:spacing w:after="0"/>
            </w:pPr>
            <w:r>
              <w:rPr>
                <w:sz w:val="14"/>
              </w:rPr>
              <w:t>https://docs.cloud.google.com/build/docs/securing-builds/generate-validate-build-provenance</w:t>
            </w:r>
          </w:p>
        </w:tc>
      </w:tr>
      <w:tr>
        <w:tc>
          <w:tcPr>
            <w:tcW w:type="dxa" w:w="5074"/>
            <w:vAlign w:val="top"/>
          </w:tcPr>
          <w:p>
            <w:pPr>
              <w:spacing w:after="0"/>
            </w:pPr>
            <w:r>
              <w:rPr>
                <w:sz w:val="14"/>
              </w:rPr>
              <w:t>Workload Identity Federation for deployment pipelines</w:t>
            </w:r>
          </w:p>
        </w:tc>
        <w:tc>
          <w:tcPr>
            <w:tcW w:type="dxa" w:w="5074"/>
            <w:vAlign w:val="top"/>
          </w:tcPr>
          <w:p>
            <w:pPr>
              <w:spacing w:after="0"/>
            </w:pPr>
            <w:r>
              <w:rPr>
                <w:sz w:val="14"/>
              </w:rPr>
              <w:t>https://docs.cloud.google.com/iam/docs/workload-identity-federation-with-deployment-pipelines</w:t>
            </w:r>
          </w:p>
        </w:tc>
      </w:tr>
      <w:tr>
        <w:tc>
          <w:tcPr>
            <w:tcW w:type="dxa" w:w="5074"/>
            <w:shd w:fill="F7F8F9"/>
            <w:vAlign w:val="top"/>
          </w:tcPr>
          <w:p>
            <w:pPr>
              <w:spacing w:after="0"/>
            </w:pPr>
            <w:r>
              <w:rPr>
                <w:sz w:val="14"/>
              </w:rPr>
              <w:t>Service-account best practices for deployment pipelines</w:t>
            </w:r>
          </w:p>
        </w:tc>
        <w:tc>
          <w:tcPr>
            <w:tcW w:type="dxa" w:w="5074"/>
            <w:shd w:fill="F7F8F9"/>
            <w:vAlign w:val="top"/>
          </w:tcPr>
          <w:p>
            <w:pPr>
              <w:spacing w:after="0"/>
            </w:pPr>
            <w:r>
              <w:rPr>
                <w:sz w:val="14"/>
              </w:rPr>
              <w:t>https://docs.cloud.google.com/iam/docs/best-practices-for-using-service-accounts-in-deployment-pipelines</w:t>
            </w:r>
          </w:p>
        </w:tc>
      </w:tr>
      <w:tr>
        <w:tc>
          <w:tcPr>
            <w:tcW w:type="dxa" w:w="5074"/>
            <w:vAlign w:val="top"/>
          </w:tcPr>
          <w:p>
            <w:pPr>
              <w:spacing w:after="0"/>
            </w:pPr>
            <w:r>
              <w:rPr>
                <w:sz w:val="14"/>
              </w:rPr>
              <w:t>Artifact Registry analysis</w:t>
            </w:r>
          </w:p>
        </w:tc>
        <w:tc>
          <w:tcPr>
            <w:tcW w:type="dxa" w:w="5074"/>
            <w:vAlign w:val="top"/>
          </w:tcPr>
          <w:p>
            <w:pPr>
              <w:spacing w:after="0"/>
            </w:pPr>
            <w:r>
              <w:rPr>
                <w:sz w:val="14"/>
              </w:rPr>
              <w:t>https://docs.cloud.google.com/artifact-registry/docs/analysis</w:t>
            </w:r>
          </w:p>
        </w:tc>
      </w:tr>
      <w:tr>
        <w:tc>
          <w:tcPr>
            <w:tcW w:type="dxa" w:w="5074"/>
            <w:shd w:fill="F7F8F9"/>
            <w:vAlign w:val="top"/>
          </w:tcPr>
          <w:p>
            <w:pPr>
              <w:spacing w:after="0"/>
            </w:pPr>
            <w:r>
              <w:rPr>
                <w:sz w:val="14"/>
              </w:rPr>
              <w:t>Artifact Registry repository settings</w:t>
            </w:r>
          </w:p>
        </w:tc>
        <w:tc>
          <w:tcPr>
            <w:tcW w:type="dxa" w:w="5074"/>
            <w:shd w:fill="F7F8F9"/>
            <w:vAlign w:val="top"/>
          </w:tcPr>
          <w:p>
            <w:pPr>
              <w:spacing w:after="0"/>
            </w:pPr>
            <w:r>
              <w:rPr>
                <w:sz w:val="14"/>
              </w:rPr>
              <w:t>https://docs.cloud.google.com/artifact-registry/docs/repositories/update-repo-settings</w:t>
            </w:r>
          </w:p>
        </w:tc>
      </w:tr>
      <w:tr>
        <w:tc>
          <w:tcPr>
            <w:tcW w:type="dxa" w:w="5074"/>
            <w:vAlign w:val="top"/>
          </w:tcPr>
          <w:p>
            <w:pPr>
              <w:spacing w:after="0"/>
            </w:pPr>
            <w:r>
              <w:rPr>
                <w:sz w:val="14"/>
              </w:rPr>
              <w:t>Artifact Registry cleanup policies</w:t>
            </w:r>
          </w:p>
        </w:tc>
        <w:tc>
          <w:tcPr>
            <w:tcW w:type="dxa" w:w="5074"/>
            <w:vAlign w:val="top"/>
          </w:tcPr>
          <w:p>
            <w:pPr>
              <w:spacing w:after="0"/>
            </w:pPr>
            <w:r>
              <w:rPr>
                <w:sz w:val="14"/>
              </w:rPr>
              <w:t>https://docs.cloud.google.com/artifact-registry/docs/repositories/cleanup-policy</w:t>
            </w:r>
          </w:p>
        </w:tc>
      </w:tr>
      <w:tr>
        <w:tc>
          <w:tcPr>
            <w:tcW w:type="dxa" w:w="5074"/>
            <w:shd w:fill="F7F8F9"/>
            <w:vAlign w:val="top"/>
          </w:tcPr>
          <w:p>
            <w:pPr>
              <w:spacing w:after="0"/>
            </w:pPr>
            <w:r>
              <w:rPr>
                <w:sz w:val="14"/>
              </w:rPr>
              <w:t>Cloud Deploy overview</w:t>
            </w:r>
          </w:p>
        </w:tc>
        <w:tc>
          <w:tcPr>
            <w:tcW w:type="dxa" w:w="5074"/>
            <w:shd w:fill="F7F8F9"/>
            <w:vAlign w:val="top"/>
          </w:tcPr>
          <w:p>
            <w:pPr>
              <w:spacing w:after="0"/>
            </w:pPr>
            <w:r>
              <w:rPr>
                <w:sz w:val="14"/>
              </w:rPr>
              <w:t>https://docs.cloud.google.com/deploy/docs/overview</w:t>
            </w:r>
          </w:p>
        </w:tc>
      </w:tr>
      <w:tr>
        <w:tc>
          <w:tcPr>
            <w:tcW w:type="dxa" w:w="5074"/>
            <w:vAlign w:val="top"/>
          </w:tcPr>
          <w:p>
            <w:pPr>
              <w:spacing w:after="0"/>
            </w:pPr>
            <w:r>
              <w:rPr>
                <w:sz w:val="14"/>
              </w:rPr>
              <w:t>Cloud Deploy deployment strategies</w:t>
            </w:r>
          </w:p>
        </w:tc>
        <w:tc>
          <w:tcPr>
            <w:tcW w:type="dxa" w:w="5074"/>
            <w:vAlign w:val="top"/>
          </w:tcPr>
          <w:p>
            <w:pPr>
              <w:spacing w:after="0"/>
            </w:pPr>
            <w:r>
              <w:rPr>
                <w:sz w:val="14"/>
              </w:rPr>
              <w:t>https://docs.cloud.google.com/deploy/docs/deployment-strategies</w:t>
            </w:r>
          </w:p>
        </w:tc>
      </w:tr>
      <w:tr>
        <w:tc>
          <w:tcPr>
            <w:tcW w:type="dxa" w:w="5074"/>
            <w:shd w:fill="F7F8F9"/>
            <w:vAlign w:val="top"/>
          </w:tcPr>
          <w:p>
            <w:pPr>
              <w:spacing w:after="0"/>
            </w:pPr>
            <w:r>
              <w:rPr>
                <w:sz w:val="14"/>
              </w:rPr>
              <w:t>Cloud Deploy verification</w:t>
            </w:r>
          </w:p>
        </w:tc>
        <w:tc>
          <w:tcPr>
            <w:tcW w:type="dxa" w:w="5074"/>
            <w:shd w:fill="F7F8F9"/>
            <w:vAlign w:val="top"/>
          </w:tcPr>
          <w:p>
            <w:pPr>
              <w:spacing w:after="0"/>
            </w:pPr>
            <w:r>
              <w:rPr>
                <w:sz w:val="14"/>
              </w:rPr>
              <w:t>https://docs.cloud.google.com/deploy/docs/verify-deployment</w:t>
            </w:r>
          </w:p>
        </w:tc>
      </w:tr>
      <w:tr>
        <w:tc>
          <w:tcPr>
            <w:tcW w:type="dxa" w:w="5074"/>
            <w:vAlign w:val="top"/>
          </w:tcPr>
          <w:p>
            <w:pPr>
              <w:spacing w:after="0"/>
            </w:pPr>
            <w:r>
              <w:rPr>
                <w:sz w:val="14"/>
              </w:rPr>
              <w:t>Cloud Deploy metrics</w:t>
            </w:r>
          </w:p>
        </w:tc>
        <w:tc>
          <w:tcPr>
            <w:tcW w:type="dxa" w:w="5074"/>
            <w:vAlign w:val="top"/>
          </w:tcPr>
          <w:p>
            <w:pPr>
              <w:spacing w:after="0"/>
            </w:pPr>
            <w:r>
              <w:rPr>
                <w:sz w:val="14"/>
              </w:rPr>
              <w:t>https://docs.cloud.google.com/deploy/docs/metrics</w:t>
            </w:r>
          </w:p>
        </w:tc>
      </w:tr>
      <w:tr>
        <w:tc>
          <w:tcPr>
            <w:tcW w:type="dxa" w:w="5074"/>
            <w:shd w:fill="F7F8F9"/>
            <w:vAlign w:val="top"/>
          </w:tcPr>
          <w:p>
            <w:pPr>
              <w:spacing w:after="0"/>
            </w:pPr>
            <w:r>
              <w:rPr>
                <w:sz w:val="14"/>
              </w:rPr>
              <w:t>Binary Authorization overview</w:t>
            </w:r>
          </w:p>
        </w:tc>
        <w:tc>
          <w:tcPr>
            <w:tcW w:type="dxa" w:w="5074"/>
            <w:shd w:fill="F7F8F9"/>
            <w:vAlign w:val="top"/>
          </w:tcPr>
          <w:p>
            <w:pPr>
              <w:spacing w:after="0"/>
            </w:pPr>
            <w:r>
              <w:rPr>
                <w:sz w:val="14"/>
              </w:rPr>
              <w:t>https://docs.cloud.google.com/binary-authorization/docs/overview</w:t>
            </w:r>
          </w:p>
        </w:tc>
      </w:tr>
      <w:tr>
        <w:tc>
          <w:tcPr>
            <w:tcW w:type="dxa" w:w="5074"/>
            <w:vAlign w:val="top"/>
          </w:tcPr>
          <w:p>
            <w:pPr>
              <w:spacing w:after="0"/>
            </w:pPr>
            <w:r>
              <w:rPr>
                <w:sz w:val="14"/>
              </w:rPr>
              <w:t>Binary Authorization continuous validation</w:t>
            </w:r>
          </w:p>
        </w:tc>
        <w:tc>
          <w:tcPr>
            <w:tcW w:type="dxa" w:w="5074"/>
            <w:vAlign w:val="top"/>
          </w:tcPr>
          <w:p>
            <w:pPr>
              <w:spacing w:after="0"/>
            </w:pPr>
            <w:r>
              <w:rPr>
                <w:sz w:val="14"/>
              </w:rPr>
              <w:t>https://docs.cloud.google.com/binary-authorization/docs/overview-cv</w:t>
            </w:r>
          </w:p>
        </w:tc>
      </w:tr>
      <w:tr>
        <w:tc>
          <w:tcPr>
            <w:tcW w:type="dxa" w:w="5074"/>
            <w:shd w:fill="F7F8F9"/>
            <w:vAlign w:val="top"/>
          </w:tcPr>
          <w:p>
            <w:pPr>
              <w:spacing w:after="0"/>
            </w:pPr>
            <w:r>
              <w:rPr>
                <w:sz w:val="14"/>
              </w:rPr>
              <w:t>SLSA specification</w:t>
            </w:r>
          </w:p>
        </w:tc>
        <w:tc>
          <w:tcPr>
            <w:tcW w:type="dxa" w:w="5074"/>
            <w:shd w:fill="F7F8F9"/>
            <w:vAlign w:val="top"/>
          </w:tcPr>
          <w:p>
            <w:pPr>
              <w:spacing w:after="0"/>
            </w:pPr>
            <w:r>
              <w:rPr>
                <w:sz w:val="14"/>
              </w:rPr>
              <w:t>https://slsa.dev/spec/v1.2/</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365D"/>
              </w:rPr>
              <w:t xml:space="preserve">Validation note - </w:t>
            </w:r>
            <w:r>
              <w:t>Official documentation was checked for the July 2026 baseline. Exact feature support, API schema, quotas, regions, pricing and release stages must be revalidated during implementation.</w:t>
            </w:r>
          </w:p>
        </w:tc>
        <w:trPr>
          <w:tblHeader/>
        </w:trPr>
      </w:tr>
    </w:tbl>
    <w:p>
      <w:pPr>
        <w:spacing w:after="0"/>
      </w:pPr>
    </w:p>
    <w:sectPr w:rsidR="00FC693F" w:rsidRPr="0006063C" w:rsidSect="00034616">
      <w:headerReference w:type="default" r:id="rId9"/>
      <w:footerReference w:type="default" r:id="rId10"/>
      <w:pgSz w:w="11906" w:h="16838"/>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DevSecOps and CI/CD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368"/>
        <w:sz w:val="16"/>
      </w:rPr>
      <w:t>Enterprise Google Cloud Data Platform Blueprint | Volume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Liberation Sans" w:hAnsi="Liberation Sans"/>
      <w:b/>
      <w:bCs/>
      <w:color w:val="174EA6"/>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174EA6"/>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Liberation Sans" w:hAnsi="Liberation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Liberation Mono" w:hAnsi="Liberation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