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01: Executive Architecture Guide</w:t>
      </w:r>
    </w:p>
    <w:p>
      <w:pPr>
        <w:jc w:val="center"/>
      </w:pPr>
      <w:r>
        <w:rPr>
          <w:sz w:val="24"/>
        </w:rPr>
        <w:t>Executive strategy, architecture overview, decisions and roadmap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Business Drivers and Requirements</w:t>
      </w:r>
    </w:p>
    <w:p>
      <w:pPr>
        <w:pStyle w:val="ListNumber"/>
      </w:pPr>
      <w:r>
        <w:t>3. Architecture Principles</w:t>
      </w:r>
    </w:p>
    <w:p>
      <w:pPr>
        <w:pStyle w:val="ListNumber"/>
      </w:pPr>
      <w:r>
        <w:t>4. Reference Architecture</w:t>
      </w:r>
    </w:p>
    <w:p>
      <w:pPr>
        <w:pStyle w:val="ListNumber"/>
      </w:pPr>
      <w:r>
        <w:t>5. Roadmap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volume defines the enterprise architecture vision for a Fortune 100 Google Cloud Data Platform. The platform standardizes ingestion, storage, processing, governance, analytics, AI, security, operations and cost management across global business units.</w:t>
      </w:r>
    </w:p>
    <w:p>
      <w:pPr>
        <w:pStyle w:val="ListBullet"/>
      </w:pPr>
      <w:r>
        <w:t>Business outcomes include faster trusted analytics, governed AI enablement, reduced duplicated platforms, stronger privacy controls, reusable engineering patterns and transparent cost accountability.</w:t>
      </w:r>
    </w:p>
    <w:p>
      <w:pPr>
        <w:pStyle w:val="Heading1"/>
      </w:pPr>
      <w:r>
        <w:t>2. Business Drivers and Requirements</w:t>
      </w:r>
    </w:p>
    <w:p>
      <w:r>
        <w:t>The program is driven by legacy data-warehouse modernization, regulatory pressure, AI-readiness, faster product analytics, real-time decisioning and cost transparency. Requirements are prioritized using a must/should/could/future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Architecture Response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Petabyte-scale analytics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BigQuery curated serving layer with BigLake open lakehouse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Real-time and batch processing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Pub/Sub, Dataflow, Datastream, Composer and Dataform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Governed 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Should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Certified data products, Vertex AI, Vector Search and RAG guardrails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Regulated workloads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VPC SC, IAM, KMS, DLP/Sensitive Data Protection and audit logging</w:t>
            </w:r>
          </w:p>
        </w:tc>
      </w:tr>
    </w:tbl>
    <w:p/>
    <w:p>
      <w:r>
        <w:t>Figure: Enterprise Google Cloud Data Platform - Conceptual Reference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1164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concep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4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Google Cloud Landing Zone and Shared VPC</w:t>
      </w:r>
    </w:p>
    <w:p>
      <w:r>
        <w:drawing>
          <wp:inline xmlns:a="http://schemas.openxmlformats.org/drawingml/2006/main" xmlns:pic="http://schemas.openxmlformats.org/drawingml/2006/picture">
            <wp:extent cx="6309360" cy="3051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z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Architecture Principles</w:t>
      </w:r>
    </w:p>
    <w:p>
      <w:pPr>
        <w:pStyle w:val="ListBullet"/>
      </w:pPr>
      <w:r>
        <w:t>Secure by design and privacy by design across every layer.</w:t>
      </w:r>
    </w:p>
    <w:p>
      <w:pPr>
        <w:pStyle w:val="ListBullet"/>
      </w:pPr>
      <w:r>
        <w:t>Use managed and serverless services by default.</w:t>
      </w:r>
    </w:p>
    <w:p>
      <w:pPr>
        <w:pStyle w:val="ListBullet"/>
      </w:pPr>
      <w:r>
        <w:t>Treat data as a product with ownership, quality and SLOs.</w:t>
      </w:r>
    </w:p>
    <w:p>
      <w:pPr>
        <w:pStyle w:val="ListBullet"/>
      </w:pPr>
      <w:r>
        <w:t>Automate infrastructure, policies and deployment.</w:t>
      </w:r>
    </w:p>
    <w:p>
      <w:pPr>
        <w:pStyle w:val="ListBullet"/>
      </w:pPr>
      <w:r>
        <w:t>Separate storage and compute; standardize metadata and observability.</w:t>
      </w:r>
    </w:p>
    <w:p>
      <w:pPr>
        <w:pStyle w:val="Heading1"/>
      </w:pPr>
      <w:r>
        <w:t>4. Reference Architecture</w:t>
      </w:r>
    </w:p>
    <w:p>
      <w:r>
        <w:t>The conceptual architecture separates source integration, ingestion, lakehouse storage, processing, governance, security, consumption, AI, operations and FinOps planes.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Limitations / Pitfalls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Cost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BigQuery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analytics warehouse and curated serving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Serverless SQL, separation of storage/compute, strong ecosystem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Poor partitioning and unrestricted ad-hoc queries can create high costs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Reservations, labels, max bytes billed, partitioning, clustering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Raw, landing, archive and open-format lakehouse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Durable object storage, lifecycle policies, broad integration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Bucket sprawl and direct consumer access can weaken governance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Lifecycle policies, storage classes, retention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BigLake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Governed access to Cloud Storage data through BigQuery interfaces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Fine-grained access without direct bucket reads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Requires metadata and permission design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Table lifecycle, open-format governance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Dataflow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Batch and streaming pipelines using Apache Beam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Unified model, autoscaling, managed execution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Complex stateful pipelines require strong testing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Autoscaling, worker sizing, streaming engine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Pub/Sub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Event ingestion and decoupling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Reliable async messaging, retry and dead-letter support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Schema/version drift can impact consumers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Retention tuning and payload design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Knowledge Catalog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Metadata, glossary, lineage, governance and data discovery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context layer for data and AI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Incomplete stewardship reduces trust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 ownership and lifecycle controls</w:t>
            </w:r>
          </w:p>
        </w:tc>
      </w:tr>
    </w:tbl>
    <w:p/>
    <w:p>
      <w:pPr>
        <w:pStyle w:val="Heading1"/>
      </w:pPr>
      <w:r>
        <w:t>5. Roadmap</w:t>
      </w:r>
    </w:p>
    <w:p>
      <w:r>
        <w:t>The transformation should progress from enterprise foundation to platform MVP, domain pilots, migration waves, AI enablement and continuous optimization.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Outcome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1. Foundation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8-12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Landing zone, security baseline, CI/CD, logging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2. MVP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12-16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Raw/curated layers, reference pipelines, catalog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3. Pilot 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8-12 weeks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Customer or finance data product in production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4. Scale-out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6-18 months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Migration waves and domain onboarding</w:t>
            </w:r>
          </w:p>
        </w:tc>
      </w:tr>
    </w:tbl>
    <w:p/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