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73E8"/>
          <w:sz w:val="44"/>
        </w:rPr>
        <w:t>Enterprise Google Cloud Data Platform Blueprint</w:t>
      </w:r>
    </w:p>
    <w:p>
      <w:pPr>
        <w:jc w:val="center"/>
      </w:pPr>
      <w:r>
        <w:rPr>
          <w:b/>
          <w:sz w:val="40"/>
        </w:rPr>
        <w:t>Volume 02: Landing Zone</w:t>
      </w:r>
    </w:p>
    <w:p>
      <w:pPr>
        <w:jc w:val="center"/>
      </w:pPr>
      <w:r>
        <w:rPr>
          <w:sz w:val="24"/>
        </w:rPr>
        <w:t>Google Cloud organization, network, identity and security foundation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Document attribute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Value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0.1 reference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2026-07-10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Intended audience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Executive, architecture, security, platform engineering, data, AI, SRE and FinOps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Fortune 100 reference blueprint for petabyte-scale Google Cloud data platform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Generated implementation starter set; verify service-specific settings against current Google Cloud documentation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Landing Zone Objectives</w:t>
      </w:r>
    </w:p>
    <w:p>
      <w:pPr>
        <w:pStyle w:val="ListNumber"/>
      </w:pPr>
      <w:r>
        <w:t>2. Organization and Folder Structure</w:t>
      </w:r>
    </w:p>
    <w:p>
      <w:pPr>
        <w:pStyle w:val="ListNumber"/>
      </w:pPr>
      <w:r>
        <w:t>3. Network Architecture</w:t>
      </w:r>
    </w:p>
    <w:p>
      <w:pPr>
        <w:pStyle w:val="ListNumber"/>
      </w:pPr>
      <w:r>
        <w:t>4. Identity and IAM</w:t>
      </w:r>
    </w:p>
    <w:p>
      <w:pPr>
        <w:pStyle w:val="ListNumber"/>
      </w:pPr>
      <w:r>
        <w:t>5. Security Foundation</w:t>
      </w:r>
    </w:p>
    <w:p>
      <w:r>
        <w:br w:type="page"/>
      </w:r>
    </w:p>
    <w:p>
      <w:pPr>
        <w:pStyle w:val="Heading1"/>
      </w:pPr>
      <w:r>
        <w:t>Inherited Fortune 100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Area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Assumption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Scale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10-50 PB historical data; 50-250 TB/day new data; billions of events/day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Organization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Global enterprise with central platform team and federated domain teams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Regulatory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GDPR, HIPAA, PCI DSS, SOC 2, ISO 27001, NIST and regional residency constraints may apply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Availability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Tier 0 RTO &lt;1 hour and RPO &lt;5 minutes; Tier 1 RTO &lt;4 hours and RPO &lt;15 minutes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Cloud posture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Hybrid and multi-cloud integration with Google Cloud as the enterprise data platform foundation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Zero Trust, least privilege, private connectivity, service perimeters, CMEK for restricted data</w:t>
            </w:r>
          </w:p>
        </w:tc>
      </w:tr>
    </w:tbl>
    <w:p/>
    <w:p>
      <w:pPr>
        <w:pStyle w:val="Heading1"/>
      </w:pPr>
      <w:r>
        <w:t>1. Landing Zone Objectives</w:t>
      </w:r>
    </w:p>
    <w:p>
      <w:r>
        <w:t>The landing zone provides governed, repeatable, secure foundations for data and AI workloads across development, test, staging, production and sandbox environments.</w:t>
      </w:r>
    </w:p>
    <w:p>
      <w:pPr>
        <w:pStyle w:val="Heading1"/>
      </w:pPr>
      <w:r>
        <w:t>2. Organization and Folder Structure</w:t>
      </w:r>
    </w:p>
    <w:p>
      <w:r>
        <w:t>The hierarchy separates platform, security, network, logging, monitoring, CI/CD, domain and sandbox responsibilities. Production and non-production isolation is enforced at folder, project, network, IAM and KMS boundaries.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Folder</w:t>
            </w:r>
          </w:p>
        </w:tc>
        <w:tc>
          <w:tcPr>
            <w:tcW w:type="dxa" w:w="518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platform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Shared services, CI/CD and platform automation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security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SCC, KMS, centralized controls, SIEM integration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networking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Shared VPC host projects and connectivity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data-domains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Domain service projects for data products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sandbox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6"/>
              </w:rPr>
              <w:t>Time-bound experimentation with quotas</w:t>
            </w:r>
          </w:p>
        </w:tc>
      </w:tr>
    </w:tbl>
    <w:p/>
    <w:p>
      <w:r>
        <w:t>Figure: Google Cloud Landing Zone and Shared VPC</w:t>
      </w:r>
    </w:p>
    <w:p>
      <w:r>
        <w:drawing>
          <wp:inline xmlns:a="http://schemas.openxmlformats.org/drawingml/2006/main" xmlns:pic="http://schemas.openxmlformats.org/drawingml/2006/picture">
            <wp:extent cx="6309360" cy="3051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z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Figure: Security and Zero Trust Control Plane</w:t>
      </w:r>
    </w:p>
    <w:p>
      <w:r>
        <w:drawing>
          <wp:inline xmlns:a="http://schemas.openxmlformats.org/drawingml/2006/main" xmlns:pic="http://schemas.openxmlformats.org/drawingml/2006/picture">
            <wp:extent cx="6309360" cy="24627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zero_tru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462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Network Architecture</w:t>
      </w:r>
    </w:p>
    <w:p>
      <w:r>
        <w:t>Use Shared VPC with host projects, private Google access, Private Service Connect for service access, hierarchical firewall policies and Cloud Interconnect or VPN for hybrid connectivity.</w:t>
      </w:r>
    </w:p>
    <w:p>
      <w:pPr>
        <w:pStyle w:val="Heading1"/>
      </w:pPr>
      <w:r>
        <w:t>4. Identity and IAM</w:t>
      </w:r>
    </w:p>
    <w:p>
      <w:r>
        <w:t>Use group-based IAM for humans, dedicated service accounts for workloads, service-account impersonation, Workforce Identity Federation and Workload Identity Federation. Privileged access must be just-in-time and audited.</w:t>
      </w:r>
    </w:p>
    <w:p>
      <w:pPr>
        <w:pStyle w:val="Heading1"/>
      </w:pPr>
      <w:r>
        <w:t>5. Security Foundation</w:t>
      </w:r>
    </w:p>
    <w:p>
      <w:r>
        <w:t>VPC Service Controls, Organization Policy, Cloud KMS, Secret Manager, Security Command Center, centralized logging and monitoring form the mandatory security baseline.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Service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Purpose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Benefits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Limitations / Pitfalls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6"/>
              </w:rPr>
              <w:t>Cost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BigQuery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analytics warehouse and curated serving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Serverless SQL, separation of storage/compute, strong ecosystem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Poor partitioning and unrestricted ad-hoc queries can create high costs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Reservations, labels, max bytes billed, partitioning, clustering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Cloud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Raw, landing, archive and open-format lakehouse storage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Durable object storage, lifecycle policies, broad integration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Bucket sprawl and direct consumer access can weaken governance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Lifecycle policies, storage classes, retention controls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BigLake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Governed access to Cloud Storage data through BigQuery interfaces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Fine-grained access without direct bucket reads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Requires metadata and permission design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Table lifecycle, open-format governance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Dataflow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Batch and streaming pipelines using Apache Beam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Unified model, autoscaling, managed execution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Complex stateful pipelines require strong testing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Autoscaling, worker sizing, streaming engine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Pub/Sub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Event ingestion and decoupling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Reliable async messaging, retry and dead-letter support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Schema/version drift can impact consumers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Retention tuning and payload design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Knowledge Catalog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Metadata, glossary, lineage, governance and data discovery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Enterprise context layer for data and AI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Incomplete stewardship reduces trust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6"/>
              </w:rPr>
              <w:t>Metadata ownership and lifecycle controls</w:t>
            </w:r>
          </w:p>
        </w:tc>
      </w:tr>
    </w:tbl>
    <w:p/>
    <w:p>
      <w:pPr>
        <w:pStyle w:val="Heading1"/>
      </w:pPr>
      <w:r>
        <w:t>Architecture Decision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ADR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Problem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Alternatives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Tradeoffs/Risks</w:t>
            </w:r>
          </w:p>
        </w:tc>
        <w:tc>
          <w:tcPr>
            <w:tcW w:type="dxa" w:w="1481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ADR-001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Google Cloud as enterprise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Fragmented analytics estate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Continue legacy; multi-cloud split; Google Cloud data platform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Adopt Google Cloud data platform with hybrid integration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Requires operating-model change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Phased landing zone, domain pilots, and governance automation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ADR-002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 analytical core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PB-scale SQL analytics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Legacy EDW; Spark-only; third-party warehouse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BigQuery for curated/serving layers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Cost governance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Reservations, labels, query controls, FinOps dashboards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ADR-003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Lakehouse with Cloud Storage and BigLake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Need open data and governed access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BigQuery-only; unmanaged object lake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Cloud Storage + BigLake + BigQuery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Open table governance maturity required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Catalog, policies, certified data-product lifecycle</w:t>
            </w:r>
          </w:p>
        </w:tc>
      </w:tr>
      <w:tr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ADR-004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Zero Trust and VPC SC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Exfiltration risk and regulated data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Network-only perimeter; IAM-only controls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Use identity, network, data and service perimeters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Service exceptions require testing</w:t>
            </w:r>
          </w:p>
        </w:tc>
        <w:tc>
          <w:tcPr>
            <w:tcW w:type="dxa" w:w="1481"/>
            <w:vAlign w:val="top"/>
          </w:tcPr>
          <w:p>
            <w:r/>
            <w:r>
              <w:rPr>
                <w:b w:val="0"/>
                <w:sz w:val="16"/>
              </w:rPr>
              <w:t>Perimeter dry runs and explicit ingress/egress policies</w:t>
            </w:r>
          </w:p>
        </w:tc>
      </w:tr>
    </w:tbl>
    <w:p/>
    <w:p>
      <w:pPr>
        <w:pStyle w:val="Heading1"/>
      </w:pPr>
      <w:r>
        <w:t>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Impact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Underestimated legacy complexity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Complete source, pipeline, report and dependency assessment before migration waves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Data ownership gaps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Create domain owner RACI and data-product certification gate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Cost overrun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Enforce labels, budgets, reservations, query guardrails and monthly FinOps reviews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Security control drift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Deploy IaC, policy-as-code, automated IAM review and security posture monitoring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AI data leakage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Critical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Use certified datasets, service perimeters, DLP, RAG guardrails and model governance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projects, networks, KMS keys and service accounts deployed through Terraform.</w:t>
      </w:r>
    </w:p>
    <w:p>
      <w:pPr>
        <w:pStyle w:val="ListBullet"/>
      </w:pPr>
      <w:r>
        <w:t>All data products registered with owner, steward, classification, SLO, contract and support model.</w:t>
      </w:r>
    </w:p>
    <w:p>
      <w:pPr>
        <w:pStyle w:val="ListBullet"/>
      </w:pPr>
      <w:r>
        <w:t>All restricted paths validated against VPC Service Controls and private connectivity requirements.</w:t>
      </w:r>
    </w:p>
    <w:p>
      <w:pPr>
        <w:pStyle w:val="ListBullet"/>
      </w:pPr>
      <w:r>
        <w:t>All pipelines implement retries, dead-letter handling, reconciliation and operational metrics.</w:t>
      </w:r>
    </w:p>
    <w:p>
      <w:pPr>
        <w:pStyle w:val="ListBullet"/>
      </w:pPr>
      <w:r>
        <w:t>All dashboards, alerts, runbooks and escalation routes tested before production cutover.</w:t>
      </w:r>
    </w:p>
    <w:p>
      <w:pPr>
        <w:pStyle w:val="ListBullet"/>
      </w:pPr>
      <w:r>
        <w:t>All cost allocation labels present and billing export dashboards available to product owners.</w:t>
      </w:r>
    </w:p>
    <w:p>
      <w:pPr>
        <w:pStyle w:val="Heading1"/>
      </w:pPr>
      <w:r>
        <w:t>References</w:t>
      </w:r>
    </w:p>
    <w:p>
      <w:pPr>
        <w:pStyle w:val="ListBullet"/>
      </w:pPr>
      <w:r>
        <w:t>Google Cloud Architecture Framework: https://docs.cloud.google.com/architecture/framework</w:t>
      </w:r>
    </w:p>
    <w:p>
      <w:pPr>
        <w:pStyle w:val="ListBullet"/>
      </w:pPr>
      <w:r>
        <w:t>Google Cloud Enterprise Foundations Blueprint: https://docs.cloud.google.com/architecture/blueprints/security-foundations</w:t>
      </w:r>
    </w:p>
    <w:p>
      <w:pPr>
        <w:pStyle w:val="ListBullet"/>
      </w:pPr>
      <w:r>
        <w:t>Google Cloud Terraform blueprints and modules: https://docs.cloud.google.com/docs/terraform/blueprints/terraform-blueprints</w:t>
      </w:r>
    </w:p>
    <w:p>
      <w:pPr>
        <w:pStyle w:val="ListBullet"/>
      </w:pPr>
      <w:r>
        <w:t>Build data products in a data mesh: https://docs.cloud.google.com/architecture/build-data-products-data-mesh</w:t>
      </w:r>
    </w:p>
    <w:p>
      <w:pPr>
        <w:pStyle w:val="ListBullet"/>
      </w:pPr>
      <w:r>
        <w:t>Architecture and functions in a data mesh: https://docs.cloud.google.com/architecture/data-mesh</w:t>
      </w:r>
    </w:p>
    <w:p>
      <w:pPr>
        <w:pStyle w:val="ListBullet"/>
      </w:pPr>
      <w:r>
        <w:t>Knowledge Catalog formerly Dataplex: https://cloud.google.com/products/knowledge-catalog</w:t>
      </w:r>
    </w:p>
    <w:p>
      <w:pPr>
        <w:pStyle w:val="ListBullet"/>
      </w:pPr>
      <w:r>
        <w:t>Optimize costs with FinOps hub: https://docs.cloud.google.com/billing/docs/how-to/finops-hub</w:t>
      </w:r>
    </w:p>
    <w:p>
      <w:pPr>
        <w:pStyle w:val="ListBullet"/>
      </w:pPr>
      <w:r>
        <w:t>VPC Service Controls supported products: https://docs.cloud.google.com/vpc-service-controls/docs/supported-products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