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06: AI Platform</w:t>
      </w:r>
    </w:p>
    <w:p>
      <w:pPr>
        <w:jc w:val="center"/>
      </w:pPr>
      <w:r>
        <w:rPr>
          <w:sz w:val="24"/>
        </w:rPr>
        <w:t>Vertex AI, Gemini, RAG, LLMOps and AI governance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AI Platform Vision</w:t>
      </w:r>
    </w:p>
    <w:p>
      <w:pPr>
        <w:pStyle w:val="ListNumber"/>
      </w:pPr>
      <w:r>
        <w:t>2. RAG Architecture</w:t>
      </w:r>
    </w:p>
    <w:p>
      <w:pPr>
        <w:pStyle w:val="ListNumber"/>
      </w:pPr>
      <w:r>
        <w:t>3. MLOps and LLMOps</w:t>
      </w:r>
    </w:p>
    <w:p>
      <w:pPr>
        <w:pStyle w:val="ListNumber"/>
      </w:pPr>
      <w:r>
        <w:t>4. AI Security</w:t>
      </w:r>
    </w:p>
    <w:p>
      <w:pPr>
        <w:pStyle w:val="ListNumber"/>
      </w:pPr>
      <w:r>
        <w:t>5. AI FinOps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AI Platform Vision</w:t>
      </w:r>
    </w:p>
    <w:p>
      <w:r>
        <w:t>The AI platform extends governed data products into model training, inference, RAG, agents and enterprise search while enforcing data security and responsible AI.</w:t>
      </w:r>
    </w:p>
    <w:p>
      <w:pPr>
        <w:pStyle w:val="Heading1"/>
      </w:pPr>
      <w:r>
        <w:t>2. RAG Architecture</w:t>
      </w:r>
    </w:p>
    <w:p>
      <w:r>
        <w:t>Documents and certified datasets are processed, chunked, embedded, indexed in Vector Search, retrieved with policy-aware filters, and grounded into Gemini responses with guardrails and citations.</w:t>
      </w:r>
    </w:p>
    <w:p>
      <w:r>
        <w:t>Figure: Enterprise AI, GenAI, RAG, and LLMOps Architecture</w:t>
      </w:r>
    </w:p>
    <w:p>
      <w:r>
        <w:drawing>
          <wp:inline xmlns:a="http://schemas.openxmlformats.org/drawingml/2006/main" xmlns:pic="http://schemas.openxmlformats.org/drawingml/2006/picture">
            <wp:extent cx="6309360" cy="1349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plat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49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Security and Zero Trust Control Plane</w:t>
      </w:r>
    </w:p>
    <w:p>
      <w:r>
        <w:drawing>
          <wp:inline xmlns:a="http://schemas.openxmlformats.org/drawingml/2006/main" xmlns:pic="http://schemas.openxmlformats.org/drawingml/2006/picture">
            <wp:extent cx="6309360" cy="2462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zero_tru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MLOps and LLMOps</w:t>
      </w:r>
    </w:p>
    <w:p>
      <w:r>
        <w:t>Vertex AI Pipelines, Model Registry, evaluation, prompt management, model monitoring and responsible-AI review provide lifecycle governance.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Google Cloud Service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Control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Model training/deployment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Vertex AI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IAM, metadata, endpoints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RAG retrieval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Vector Search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Classification-aware filtering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Document ingestion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Document AI/Dataflow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Redaction and quality checks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Agent workflows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Agent Builder/Gemini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Tool permissions and audit logs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Vertex AI Monitoring/Cloud Monitoring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Drift, safety, token costs</w:t>
            </w:r>
          </w:p>
        </w:tc>
      </w:tr>
    </w:tbl>
    <w:p/>
    <w:p>
      <w:pPr>
        <w:pStyle w:val="Heading1"/>
      </w:pPr>
      <w:r>
        <w:t>4. AI Security</w:t>
      </w:r>
    </w:p>
    <w:p>
      <w:r>
        <w:t>Certified datasets, VPC Service Controls, Sensitive Data Protection, prompt-injection testing, model access controls and audit logging are mandatory for regulated AI use cases.</w:t>
      </w:r>
    </w:p>
    <w:p>
      <w:pPr>
        <w:pStyle w:val="Heading1"/>
      </w:pPr>
      <w:r>
        <w:t>5. AI FinOps</w:t>
      </w:r>
    </w:p>
    <w:p>
      <w:r>
        <w:t>Track training cost, endpoint utilization, token consumption, embedding volume, vector index size and experiment spend by data product and use case.</w:t>
      </w:r>
    </w:p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