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07: Security Blueprint</w:t>
      </w:r>
    </w:p>
    <w:p>
      <w:pPr>
        <w:jc w:val="center"/>
      </w:pPr>
      <w:r>
        <w:rPr>
          <w:sz w:val="24"/>
        </w:rPr>
        <w:t>Zero Trust, control mapping and regulated-workload security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Security Strategy</w:t>
      </w:r>
    </w:p>
    <w:p>
      <w:pPr>
        <w:pStyle w:val="ListNumber"/>
      </w:pPr>
      <w:r>
        <w:t>2. Control Architecture</w:t>
      </w:r>
    </w:p>
    <w:p>
      <w:pPr>
        <w:pStyle w:val="ListNumber"/>
      </w:pPr>
      <w:r>
        <w:t>3. Regulatory Mapping</w:t>
      </w:r>
    </w:p>
    <w:p>
      <w:pPr>
        <w:pStyle w:val="ListNumber"/>
      </w:pPr>
      <w:r>
        <w:t>4. Threat Model</w:t>
      </w:r>
    </w:p>
    <w:p>
      <w:pPr>
        <w:pStyle w:val="ListNumber"/>
      </w:pPr>
      <w:r>
        <w:t>5. Security Readiness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Security Strategy</w:t>
      </w:r>
    </w:p>
    <w:p>
      <w:r>
        <w:t>The blueprint applies Zero Trust through identity, device, network, workload, data and service-control layers. Every workload is authenticated, authorized, encrypted, logged and monitored.</w:t>
      </w:r>
    </w:p>
    <w:p>
      <w:pPr>
        <w:pStyle w:val="Heading1"/>
      </w:pPr>
      <w:r>
        <w:t>2. Control Architecture</w:t>
      </w:r>
    </w:p>
    <w:p>
      <w:r>
        <w:t>Controls include IAM, Organization Policies, VPC SC, Access Context Manager, KMS, Secret Manager, Sensitive Data Protection, SCC and centralized audit logging.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Limitations / Pitfalls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Cost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BigQuery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analytics warehouse and curated serving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Serverless SQL, separation of storage/compute, strong ecosystem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Poor partitioning and unrestricted ad-hoc queries can create high costs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Reservations, labels, max bytes billed, partitioning, clustering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Raw, landing, archive and open-format lakehouse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Durable object storage, lifecycle policies, broad integration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Bucket sprawl and direct consumer access can weaken governance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Lifecycle policies, storage classes, retention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BigLake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Governed access to Cloud Storage data through BigQuery interfaces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Fine-grained access without direct bucket reads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Requires metadata and permission design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Table lifecycle, open-format governance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Dataflow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Batch and streaming pipelines using Apache Beam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Unified model, autoscaling, managed execution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Complex stateful pipelines require strong testing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Autoscaling, worker sizing, streaming engine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Pub/Sub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Event ingestion and decoupling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Reliable async messaging, retry and dead-letter support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Schema/version drift can impact consumers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Retention tuning and payload design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Knowledge Catalog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Metadata, glossary, lineage, governance and data discovery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context layer for data and AI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Incomplete stewardship reduces trust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 ownership and lifecycle controls</w:t>
            </w:r>
          </w:p>
        </w:tc>
      </w:tr>
    </w:tbl>
    <w:p/>
    <w:p>
      <w:r>
        <w:t>Figure: Security and Zero Trust Control Plane</w:t>
      </w:r>
    </w:p>
    <w:p>
      <w:r>
        <w:drawing>
          <wp:inline xmlns:a="http://schemas.openxmlformats.org/drawingml/2006/main" xmlns:pic="http://schemas.openxmlformats.org/drawingml/2006/picture">
            <wp:extent cx="6309360" cy="2462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zero_tru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Google Cloud Landing Zone and Shared VPC</w:t>
      </w:r>
    </w:p>
    <w:p>
      <w:r>
        <w:drawing>
          <wp:inline xmlns:a="http://schemas.openxmlformats.org/drawingml/2006/main" xmlns:pic="http://schemas.openxmlformats.org/drawingml/2006/picture">
            <wp:extent cx="6309360" cy="3051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z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Regulatory Mapping</w:t>
      </w:r>
    </w:p>
    <w:p>
      <w:r>
        <w:t>NIST, HIPAA, GDPR, PCI DSS, SOC 2 and ISO 27001 controls are mapped to platform capabilities and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Regulatory Theme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Platform Control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Access control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IAM groups, custom roles, JIT access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IAM policy export and audit logs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KMS/CMEK, TLS, private access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KMS inventory and key-rotation logs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Cloud Audit Logs and SIEM 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Log retention and query evidence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privacy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Classification, DLP, masking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Scan reports and policy tags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Exfiltration prevention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VPC SC, egress controls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Perimeter policy and violation logs</w:t>
            </w:r>
          </w:p>
        </w:tc>
      </w:tr>
    </w:tbl>
    <w:p/>
    <w:p>
      <w:pPr>
        <w:pStyle w:val="Heading1"/>
      </w:pPr>
      <w:r>
        <w:t>4. Threat Model</w:t>
      </w:r>
    </w:p>
    <w:p>
      <w:r>
        <w:t>Primary threats include credential misuse, privilege escalation, accidental data exposure, cross-region residency breach, model/prompt leakage and supply-chain compromise.</w:t>
      </w:r>
    </w:p>
    <w:p>
      <w:pPr>
        <w:pStyle w:val="Heading1"/>
      </w:pPr>
      <w:r>
        <w:t>5. Security Readiness</w:t>
      </w:r>
    </w:p>
    <w:p>
      <w:r>
        <w:t>All production services require threat modeling, control mapping, penetration-test scope, logging validation and incident-response runbook.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