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Enterprise Google Cloud Data Platform Blueprint</w:t>
      </w:r>
    </w:p>
    <w:p>
      <w:pPr>
        <w:jc w:val="center"/>
      </w:pPr>
      <w:r>
        <w:rPr>
          <w:b/>
          <w:sz w:val="40"/>
        </w:rPr>
        <w:t>Volume 09: FinOps</w:t>
      </w:r>
    </w:p>
    <w:p>
      <w:pPr>
        <w:jc w:val="center"/>
      </w:pPr>
      <w:r>
        <w:rPr>
          <w:sz w:val="24"/>
        </w:rPr>
        <w:t>Chargeback, reservations and cost optimization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0.1 reference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2026-07-10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Executive, architecture, security, platform engineering, data, AI, SRE and FinOps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Fortune 100 reference blueprint for petabyte-scale Google Cloud data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Generated implementation starter set; verify service-specific settings against current Google Cloud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FinOps Strategy</w:t>
      </w:r>
    </w:p>
    <w:p>
      <w:pPr>
        <w:pStyle w:val="ListNumber"/>
      </w:pPr>
      <w:r>
        <w:t>2. Cost Allocation</w:t>
      </w:r>
    </w:p>
    <w:p>
      <w:pPr>
        <w:pStyle w:val="ListNumber"/>
      </w:pPr>
      <w:r>
        <w:t>3. Showback and Chargeback</w:t>
      </w:r>
    </w:p>
    <w:p>
      <w:pPr>
        <w:pStyle w:val="ListNumber"/>
      </w:pPr>
      <w:r>
        <w:t>4. BigQuery Optimization</w:t>
      </w:r>
    </w:p>
    <w:p>
      <w:pPr>
        <w:pStyle w:val="ListNumber"/>
      </w:pPr>
      <w:r>
        <w:t>5. Governance Rhythm</w:t>
      </w:r>
    </w:p>
    <w:p>
      <w:r>
        <w:br w:type="page"/>
      </w:r>
    </w:p>
    <w:p>
      <w:pPr>
        <w:pStyle w:val="Heading1"/>
      </w:pPr>
      <w:r>
        <w:t>Inherited Fortune 100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10-50 PB historical data; 50-250 TB/day new data; billions of events/day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Global enterprise with central platform team and federated domain teams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GDPR, HIPAA, PCI DSS, SOC 2, ISO 27001, NIST and regional residency constraints may apply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Tier 0 RTO &lt;1 hour and RPO &lt;5 minutes; Tier 1 RTO &lt;4 hours and RPO &lt;15 minutes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Hybrid and multi-cloud integration with Google Cloud as the enterprise data platform foundation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Zero Trust, least privilege, private connectivity, service perimeters, CMEK for restricted data</w:t>
            </w:r>
          </w:p>
        </w:tc>
      </w:tr>
    </w:tbl>
    <w:p/>
    <w:p>
      <w:pPr>
        <w:pStyle w:val="Heading1"/>
      </w:pPr>
      <w:r>
        <w:t>1. FinOps Strategy</w:t>
      </w:r>
    </w:p>
    <w:p>
      <w:r>
        <w:t>FinOps creates accountability and optimization across domains and data products using labels, budgets, billing export, dashboards, reservations and optimization backlogs.</w:t>
      </w:r>
    </w:p>
    <w:p>
      <w:pPr>
        <w:pStyle w:val="Heading1"/>
      </w:pPr>
      <w:r>
        <w:t>2. Cost Allocation</w:t>
      </w:r>
    </w:p>
    <w:p>
      <w:r>
        <w:t>Mandatory labels include business_domain, data_product, environment, cost_center, owner, criticality, compliance_class and managed_by.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Cost Driver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Optimization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BigQuery compute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Reservations, slot autoscaling, partition pruning, query controls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BigQuery storage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Lifecycle, table expiration, deduplication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Storage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Storage classes, lifecycle policies, object hygiene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Dataflow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Autoscaling, right-sized workers, template reuse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Exclusions, retention tiers, log-based metrics only where useful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Vertex AI/Gemini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Endpoint utilization, token budgets, prompt caching where applicable</w:t>
            </w:r>
          </w:p>
        </w:tc>
      </w:tr>
    </w:tbl>
    <w:p/>
    <w:p>
      <w:r>
        <w:t>Figure: FinOps Cost Governance Model</w:t>
      </w:r>
    </w:p>
    <w:p>
      <w:r>
        <w:drawing>
          <wp:inline xmlns:a="http://schemas.openxmlformats.org/drawingml/2006/main" xmlns:pic="http://schemas.openxmlformats.org/drawingml/2006/picture">
            <wp:extent cx="6309360" cy="2004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o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Enterprise Google Cloud Data Platform - Conceptual Reference Architecture</w:t>
      </w:r>
    </w:p>
    <w:p>
      <w:r>
        <w:drawing>
          <wp:inline xmlns:a="http://schemas.openxmlformats.org/drawingml/2006/main" xmlns:pic="http://schemas.openxmlformats.org/drawingml/2006/picture">
            <wp:extent cx="6309360" cy="1164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_concep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64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Showback and Chargeback</w:t>
      </w:r>
    </w:p>
    <w:p>
      <w:r>
        <w:t>Start with showback dashboards by domain and data product; move to chargeback after tagging, ownership and variance processes are mature.</w:t>
      </w:r>
    </w:p>
    <w:p>
      <w:pPr>
        <w:pStyle w:val="Heading1"/>
      </w:pPr>
      <w:r>
        <w:t>4. BigQuery Optimization</w:t>
      </w:r>
    </w:p>
    <w:p>
      <w:r>
        <w:t>Use workload separation, materialized views, BI Engine where justified, partitioning, clustering and reservation assignments for predictable demand.</w:t>
      </w:r>
    </w:p>
    <w:p>
      <w:pPr>
        <w:pStyle w:val="Heading1"/>
      </w:pPr>
      <w:r>
        <w:t>5. Governance Rhythm</w:t>
      </w:r>
    </w:p>
    <w:p>
      <w:r>
        <w:t>Conduct monthly cost reviews, quarterly architecture optimization and annual commitment planning.</w:t>
      </w:r>
    </w:p>
    <w:p>
      <w:pPr>
        <w:pStyle w:val="Heading1"/>
      </w:pPr>
      <w:r>
        <w:t>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Alternatives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Tradeoffs/Risks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Google Cloud as enterprise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Fragmented analytics estate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Continue legacy; multi-cloud split; Google Cloud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Adopt Google Cloud data platform with hybrid integration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Requires operating-model change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Phased landing zone, domain pilots, and governance automation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 analytical core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PB-scale SQL analytics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Legacy EDW; Spark-only; third-party warehouse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BigQuery for curated/serving layers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Cost governance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Reservations, labels, query controls, FinOps dashboards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Lakehouse with Cloud Storage and BigLake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open data and governed access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BigQuery-only; unmanaged object 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Cloud Storage + BigLake + BigQuery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Open table governance maturity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Catalog, policies, certified data-product lifecycle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Zero Trust and VPC SC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Exfiltration risk and regulated 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Network-only perimeter; IAM-only controls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identity, network, data and service perimeters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Service exceptions require testing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Perimeter dry runs and explicit ingress/egress policies</w:t>
            </w:r>
          </w:p>
        </w:tc>
      </w:tr>
    </w:tbl>
    <w:p/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Underestimated legacy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Complete source, pipeline, report and dependency assessment before migration waves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ownership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domain owner RACI and data-product certification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Cost overrun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Enforce labels, budgets, reservations, query guardrails and monthly FinOps 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Security control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IaC, policy-as-code, automated IAM review and security posture monitoring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data leakage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 certified datasets, service perimeters, DLP, RAG guardrails and model governance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projects, networks, KMS keys and service accounts deployed through Terraform.</w:t>
      </w:r>
    </w:p>
    <w:p>
      <w:pPr>
        <w:pStyle w:val="ListBullet"/>
      </w:pPr>
      <w:r>
        <w:t>All data products registered with owner, steward, classification, SLO, contract and support model.</w:t>
      </w:r>
    </w:p>
    <w:p>
      <w:pPr>
        <w:pStyle w:val="ListBullet"/>
      </w:pPr>
      <w:r>
        <w:t>All restricted paths validated against VPC Service Controls and private connectivity requirements.</w:t>
      </w:r>
    </w:p>
    <w:p>
      <w:pPr>
        <w:pStyle w:val="ListBullet"/>
      </w:pPr>
      <w:r>
        <w:t>All pipelines implement retries, dead-letter handling, reconciliation and operational metrics.</w:t>
      </w:r>
    </w:p>
    <w:p>
      <w:pPr>
        <w:pStyle w:val="ListBullet"/>
      </w:pPr>
      <w:r>
        <w:t>All dashboards, alerts, runbooks and escalation routes tested before production cutover.</w:t>
      </w:r>
    </w:p>
    <w:p>
      <w:pPr>
        <w:pStyle w:val="ListBullet"/>
      </w:pPr>
      <w:r>
        <w:t>All cost allocation labels present and billing export dashboards available to product owners.</w:t>
      </w:r>
    </w:p>
    <w:p>
      <w:pPr>
        <w:pStyle w:val="Heading1"/>
      </w:pPr>
      <w:r>
        <w:t>References</w:t>
      </w:r>
    </w:p>
    <w:p>
      <w:pPr>
        <w:pStyle w:val="ListBullet"/>
      </w:pPr>
      <w:r>
        <w:t>Google Cloud Architecture Framework: https://docs.cloud.google.com/architecture/framework</w:t>
      </w:r>
    </w:p>
    <w:p>
      <w:pPr>
        <w:pStyle w:val="ListBullet"/>
      </w:pPr>
      <w:r>
        <w:t>Google Cloud Enterprise Foundations Blueprint: https://docs.cloud.google.com/architecture/blueprints/security-foundations</w:t>
      </w:r>
    </w:p>
    <w:p>
      <w:pPr>
        <w:pStyle w:val="ListBullet"/>
      </w:pPr>
      <w:r>
        <w:t>Google Cloud Terraform blueprints and modules: https://docs.cloud.google.com/docs/terraform/blueprints/terraform-blueprints</w:t>
      </w:r>
    </w:p>
    <w:p>
      <w:pPr>
        <w:pStyle w:val="ListBullet"/>
      </w:pPr>
      <w:r>
        <w:t>Build data products in a data mesh: https://docs.cloud.google.com/architecture/build-data-products-data-mesh</w:t>
      </w:r>
    </w:p>
    <w:p>
      <w:pPr>
        <w:pStyle w:val="ListBullet"/>
      </w:pPr>
      <w:r>
        <w:t>Architecture and functions in a data mesh: https://docs.cloud.google.com/architecture/data-mesh</w:t>
      </w:r>
    </w:p>
    <w:p>
      <w:pPr>
        <w:pStyle w:val="ListBullet"/>
      </w:pPr>
      <w:r>
        <w:t>Knowledge Catalog formerly Dataplex: https://cloud.google.com/products/knowledge-catalog</w:t>
      </w:r>
    </w:p>
    <w:p>
      <w:pPr>
        <w:pStyle w:val="ListBullet"/>
      </w:pPr>
      <w:r>
        <w:t>Optimize costs with FinOps hub: https://docs.cloud.google.com/billing/docs/how-to/finops-hub</w:t>
      </w:r>
    </w:p>
    <w:p>
      <w:pPr>
        <w:pStyle w:val="ListBullet"/>
      </w:pPr>
      <w:r>
        <w:t>VPC Service Controls supported products: https://docs.cloud.google.com/vpc-service-controls/docs/supported-products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