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73E8"/>
          <w:sz w:val="44"/>
        </w:rPr>
        <w:t>Enterprise Google Cloud Data Platform Blueprint</w:t>
      </w:r>
    </w:p>
    <w:p>
      <w:pPr>
        <w:jc w:val="center"/>
      </w:pPr>
      <w:r>
        <w:rPr>
          <w:b/>
          <w:sz w:val="40"/>
        </w:rPr>
        <w:t>Volume 10: Operations SRE</w:t>
      </w:r>
    </w:p>
    <w:p>
      <w:pPr>
        <w:jc w:val="center"/>
      </w:pPr>
      <w:r>
        <w:rPr>
          <w:sz w:val="24"/>
        </w:rPr>
        <w:t>Observability, runbooks, SLIs, SLOs and incident management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</w:tcPr>
          <w:p>
            <w:r/>
            <w:r>
              <w:rPr>
                <w:b/>
                <w:sz w:val="16"/>
              </w:rPr>
              <w:t>Document attribute</w:t>
            </w:r>
          </w:p>
        </w:tc>
        <w:tc>
          <w:tcPr>
            <w:tcW w:type="dxa" w:w="5184"/>
            <w:shd w:fill="D9EAF7"/>
          </w:tcPr>
          <w:p>
            <w:r/>
            <w:r>
              <w:rPr>
                <w:b/>
                <w:sz w:val="16"/>
              </w:rPr>
              <w:t>Value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Version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0.1 reference implementation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Date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2026-07-10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Intended audience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Executive, architecture, security, platform engineering, data, AI, SRE and FinOps stakeholders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Scope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Fortune 100 reference blueprint for petabyte-scale Google Cloud data platform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Status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Generated implementation starter set; verify service-specific settings against current Google Cloud documentation</w:t>
            </w:r>
          </w:p>
        </w:tc>
      </w:tr>
    </w:tbl>
    <w:p/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Number"/>
      </w:pPr>
      <w:r>
        <w:t>1. Operations Strategy</w:t>
      </w:r>
    </w:p>
    <w:p>
      <w:pPr>
        <w:pStyle w:val="ListNumber"/>
      </w:pPr>
      <w:r>
        <w:t>2. SLI/SLO Catalog</w:t>
      </w:r>
    </w:p>
    <w:p>
      <w:pPr>
        <w:pStyle w:val="ListNumber"/>
      </w:pPr>
      <w:r>
        <w:t>3. Incident Management</w:t>
      </w:r>
    </w:p>
    <w:p>
      <w:pPr>
        <w:pStyle w:val="ListNumber"/>
      </w:pPr>
      <w:r>
        <w:t>4. Runbooks</w:t>
      </w:r>
    </w:p>
    <w:p>
      <w:pPr>
        <w:pStyle w:val="ListNumber"/>
      </w:pPr>
      <w:r>
        <w:t>5. Readiness Reviews</w:t>
      </w:r>
    </w:p>
    <w:p>
      <w:r>
        <w:br w:type="page"/>
      </w:r>
    </w:p>
    <w:p>
      <w:pPr>
        <w:pStyle w:val="Heading1"/>
      </w:pPr>
      <w:r>
        <w:t>Inherited Fortune 100 Assumptions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</w:tcPr>
          <w:p>
            <w:r/>
            <w:r>
              <w:rPr>
                <w:b/>
                <w:sz w:val="16"/>
              </w:rPr>
              <w:t>Area</w:t>
            </w:r>
          </w:p>
        </w:tc>
        <w:tc>
          <w:tcPr>
            <w:tcW w:type="dxa" w:w="5184"/>
            <w:shd w:fill="D9EAF7"/>
          </w:tcPr>
          <w:p>
            <w:r/>
            <w:r>
              <w:rPr>
                <w:b/>
                <w:sz w:val="16"/>
              </w:rPr>
              <w:t>Assumption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Scale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10-50 PB historical data; 50-250 TB/day new data; billions of events/day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Organization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Global enterprise with central platform team and federated domain teams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Regulatory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GDPR, HIPAA, PCI DSS, SOC 2, ISO 27001, NIST and regional residency constraints may apply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Availability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Tier 0 RTO &lt;1 hour and RPO &lt;5 minutes; Tier 1 RTO &lt;4 hours and RPO &lt;15 minutes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Cloud posture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Hybrid and multi-cloud integration with Google Cloud as the enterprise data platform foundation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Security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Zero Trust, least privilege, private connectivity, service perimeters, CMEK for restricted data</w:t>
            </w:r>
          </w:p>
        </w:tc>
      </w:tr>
    </w:tbl>
    <w:p/>
    <w:p>
      <w:pPr>
        <w:pStyle w:val="Heading1"/>
      </w:pPr>
      <w:r>
        <w:t>1. Operations Strategy</w:t>
      </w:r>
    </w:p>
    <w:p>
      <w:r>
        <w:t>SRE practices apply to platform services, domain data products, pipelines, BI, AI and security controls. Each data product has ownership, SLOs and runbooks.</w:t>
      </w:r>
    </w:p>
    <w:p>
      <w:pPr>
        <w:pStyle w:val="Heading1"/>
      </w:pPr>
      <w:r>
        <w:t>2. SLI/SLO Catalog</w:t>
      </w:r>
    </w:p>
    <w:p>
      <w:r>
        <w:t>Key SLIs include pipeline success rate, data freshness, streaming backlog, data-quality pass rate, query latency, model endpoint availability and cost variance.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</w:tcPr>
          <w:p>
            <w:r/>
            <w:r>
              <w:rPr>
                <w:b/>
                <w:sz w:val="16"/>
              </w:rPr>
              <w:t>Service</w:t>
            </w:r>
          </w:p>
        </w:tc>
        <w:tc>
          <w:tcPr>
            <w:tcW w:type="dxa" w:w="3456"/>
            <w:shd w:fill="D9EAF7"/>
          </w:tcPr>
          <w:p>
            <w:r/>
            <w:r>
              <w:rPr>
                <w:b/>
                <w:sz w:val="16"/>
              </w:rPr>
              <w:t>SLI</w:t>
            </w:r>
          </w:p>
        </w:tc>
        <w:tc>
          <w:tcPr>
            <w:tcW w:type="dxa" w:w="3456"/>
            <w:shd w:fill="D9EAF7"/>
          </w:tcPr>
          <w:p>
            <w:r/>
            <w:r>
              <w:rPr>
                <w:b/>
                <w:sz w:val="16"/>
              </w:rPr>
              <w:t>Default SLO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Batch pipeline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Successful runs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99% monthly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Streaming pipeline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End-to-end latency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95% under 5 minutes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Data product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Freshness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99% within published SLA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BigQuery BI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Dashboard load time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95% under target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AI endpoint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Availability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99.5%+ by tier</w:t>
            </w:r>
          </w:p>
        </w:tc>
      </w:tr>
    </w:tbl>
    <w:p/>
    <w:p>
      <w:r>
        <w:t>Figure: SRE Observability and Incident Management</w:t>
      </w:r>
    </w:p>
    <w:p>
      <w:r>
        <w:drawing>
          <wp:inline xmlns:a="http://schemas.openxmlformats.org/drawingml/2006/main" xmlns:pic="http://schemas.openxmlformats.org/drawingml/2006/picture">
            <wp:extent cx="6309360" cy="104849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erations_s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0484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Data Engineering Pipeline Patterns</w:t>
      </w:r>
    </w:p>
    <w:p>
      <w:r>
        <w:drawing>
          <wp:inline xmlns:a="http://schemas.openxmlformats.org/drawingml/2006/main" xmlns:pic="http://schemas.openxmlformats.org/drawingml/2006/picture">
            <wp:extent cx="6309360" cy="22156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peline_pattern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215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3. Incident Management</w:t>
      </w:r>
    </w:p>
    <w:p>
      <w:r>
        <w:t>Alerts route by severity to the responsible platform or domain team. Incidents include timeline, impact, mitigation, root cause, prevention and owner.</w:t>
      </w:r>
    </w:p>
    <w:p>
      <w:pPr>
        <w:pStyle w:val="Heading1"/>
      </w:pPr>
      <w:r>
        <w:t>4. Runbooks</w:t>
      </w:r>
    </w:p>
    <w:p>
      <w:r>
        <w:t>Runbooks cover pipeline failure, freshness breach, BigQuery cost spike, VPC SC access failure, KMS denial, data-quality breach and AI safety alert.</w:t>
      </w:r>
    </w:p>
    <w:p>
      <w:pPr>
        <w:pStyle w:val="Heading1"/>
      </w:pPr>
      <w:r>
        <w:t>5. Readiness Reviews</w:t>
      </w:r>
    </w:p>
    <w:p>
      <w:r>
        <w:t>Operational readiness review and production readiness review are mandatory before go-live.</w:t>
      </w:r>
    </w:p>
    <w:p>
      <w:pPr>
        <w:pStyle w:val="Heading1"/>
      </w:pPr>
      <w:r>
        <w:t>Architecture Decision Records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c>
          <w:tcPr>
            <w:tcW w:type="dxa" w:w="1481"/>
            <w:shd w:fill="D9EAF7"/>
          </w:tcPr>
          <w:p>
            <w:r/>
            <w:r>
              <w:rPr>
                <w:b/>
                <w:sz w:val="16"/>
              </w:rPr>
              <w:t>ADR</w:t>
            </w:r>
          </w:p>
        </w:tc>
        <w:tc>
          <w:tcPr>
            <w:tcW w:type="dxa" w:w="1481"/>
            <w:shd w:fill="D9EAF7"/>
          </w:tcPr>
          <w:p>
            <w:r/>
            <w:r>
              <w:rPr>
                <w:b/>
                <w:sz w:val="16"/>
              </w:rPr>
              <w:t>Decision</w:t>
            </w:r>
          </w:p>
        </w:tc>
        <w:tc>
          <w:tcPr>
            <w:tcW w:type="dxa" w:w="1481"/>
            <w:shd w:fill="D9EAF7"/>
          </w:tcPr>
          <w:p>
            <w:r/>
            <w:r>
              <w:rPr>
                <w:b/>
                <w:sz w:val="16"/>
              </w:rPr>
              <w:t>Problem</w:t>
            </w:r>
          </w:p>
        </w:tc>
        <w:tc>
          <w:tcPr>
            <w:tcW w:type="dxa" w:w="1481"/>
            <w:shd w:fill="D9EAF7"/>
          </w:tcPr>
          <w:p>
            <w:r/>
            <w:r>
              <w:rPr>
                <w:b/>
                <w:sz w:val="16"/>
              </w:rPr>
              <w:t>Alternatives</w:t>
            </w:r>
          </w:p>
        </w:tc>
        <w:tc>
          <w:tcPr>
            <w:tcW w:type="dxa" w:w="1481"/>
            <w:shd w:fill="D9EAF7"/>
          </w:tcPr>
          <w:p>
            <w:r/>
            <w:r>
              <w:rPr>
                <w:b/>
                <w:sz w:val="16"/>
              </w:rPr>
              <w:t>Decision</w:t>
            </w:r>
          </w:p>
        </w:tc>
        <w:tc>
          <w:tcPr>
            <w:tcW w:type="dxa" w:w="1481"/>
            <w:shd w:fill="D9EAF7"/>
          </w:tcPr>
          <w:p>
            <w:r/>
            <w:r>
              <w:rPr>
                <w:b/>
                <w:sz w:val="16"/>
              </w:rPr>
              <w:t>Tradeoffs/Risks</w:t>
            </w:r>
          </w:p>
        </w:tc>
        <w:tc>
          <w:tcPr>
            <w:tcW w:type="dxa" w:w="1481"/>
            <w:shd w:fill="D9EAF7"/>
          </w:tcPr>
          <w:p>
            <w:r/>
            <w:r>
              <w:rPr>
                <w:b/>
                <w:sz w:val="16"/>
              </w:rPr>
              <w:t>Mitigation</w:t>
            </w:r>
          </w:p>
        </w:tc>
      </w:tr>
      <w:tr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ADR-001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Google Cloud as enterprise data platform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Fragmented analytics estate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Continue legacy; multi-cloud split; Google Cloud data platform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Adopt Google Cloud data platform with hybrid integration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Requires operating-model change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Phased landing zone, domain pilots, and governance automation</w:t>
            </w:r>
          </w:p>
        </w:tc>
      </w:tr>
      <w:tr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ADR-002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BigQuery analytical core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Need PB-scale SQL analytics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Legacy EDW; Spark-only; third-party warehouse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Use BigQuery for curated/serving layers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Cost governance required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Reservations, labels, query controls, FinOps dashboards</w:t>
            </w:r>
          </w:p>
        </w:tc>
      </w:tr>
      <w:tr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ADR-003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Lakehouse with Cloud Storage and BigLake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Need open data and governed access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BigQuery-only; unmanaged object lake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Use Cloud Storage + BigLake + BigQuery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Open table governance maturity required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Catalog, policies, certified data-product lifecycle</w:t>
            </w:r>
          </w:p>
        </w:tc>
      </w:tr>
      <w:tr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ADR-004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Zero Trust and VPC SC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Exfiltration risk and regulated data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Network-only perimeter; IAM-only controls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Use identity, network, data and service perimeters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Service exceptions require testing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Perimeter dry runs and explicit ingress/egress policies</w:t>
            </w:r>
          </w:p>
        </w:tc>
      </w:tr>
    </w:tbl>
    <w:p/>
    <w:p>
      <w:pPr>
        <w:pStyle w:val="Heading1"/>
      </w:pPr>
      <w:r>
        <w:t>Risks and Mitigations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</w:tcPr>
          <w:p>
            <w:r/>
            <w:r>
              <w:rPr>
                <w:b/>
                <w:sz w:val="16"/>
              </w:rPr>
              <w:t>Risk</w:t>
            </w:r>
          </w:p>
        </w:tc>
        <w:tc>
          <w:tcPr>
            <w:tcW w:type="dxa" w:w="3456"/>
            <w:shd w:fill="D9EAF7"/>
          </w:tcPr>
          <w:p>
            <w:r/>
            <w:r>
              <w:rPr>
                <w:b/>
                <w:sz w:val="16"/>
              </w:rPr>
              <w:t>Impact</w:t>
            </w:r>
          </w:p>
        </w:tc>
        <w:tc>
          <w:tcPr>
            <w:tcW w:type="dxa" w:w="3456"/>
            <w:shd w:fill="D9EAF7"/>
          </w:tcPr>
          <w:p>
            <w:r/>
            <w:r>
              <w:rPr>
                <w:b/>
                <w:sz w:val="16"/>
              </w:rPr>
              <w:t>Mitigation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Underestimated legacy complexity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Complete source, pipeline, report and dependency assessment before migration waves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Data ownership gaps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Create domain owner RACI and data-product certification gate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Cost overrun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Enforce labels, budgets, reservations, query guardrails and monthly FinOps reviews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Security control drift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Critical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Deploy IaC, policy-as-code, automated IAM review and security posture monitoring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AI data leakage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Critical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Use certified datasets, service perimeters, DLP, RAG guardrails and model governance</w:t>
            </w:r>
          </w:p>
        </w:tc>
      </w:tr>
    </w:tbl>
    <w:p/>
    <w:p>
      <w:pPr>
        <w:pStyle w:val="Heading1"/>
      </w:pPr>
      <w:r>
        <w:t>Production Readiness Checklist</w:t>
      </w:r>
    </w:p>
    <w:p>
      <w:pPr>
        <w:pStyle w:val="ListBullet"/>
      </w:pPr>
      <w:r>
        <w:t>All projects, networks, KMS keys and service accounts deployed through Terraform.</w:t>
      </w:r>
    </w:p>
    <w:p>
      <w:pPr>
        <w:pStyle w:val="ListBullet"/>
      </w:pPr>
      <w:r>
        <w:t>All data products registered with owner, steward, classification, SLO, contract and support model.</w:t>
      </w:r>
    </w:p>
    <w:p>
      <w:pPr>
        <w:pStyle w:val="ListBullet"/>
      </w:pPr>
      <w:r>
        <w:t>All restricted paths validated against VPC Service Controls and private connectivity requirements.</w:t>
      </w:r>
    </w:p>
    <w:p>
      <w:pPr>
        <w:pStyle w:val="ListBullet"/>
      </w:pPr>
      <w:r>
        <w:t>All pipelines implement retries, dead-letter handling, reconciliation and operational metrics.</w:t>
      </w:r>
    </w:p>
    <w:p>
      <w:pPr>
        <w:pStyle w:val="ListBullet"/>
      </w:pPr>
      <w:r>
        <w:t>All dashboards, alerts, runbooks and escalation routes tested before production cutover.</w:t>
      </w:r>
    </w:p>
    <w:p>
      <w:pPr>
        <w:pStyle w:val="ListBullet"/>
      </w:pPr>
      <w:r>
        <w:t>All cost allocation labels present and billing export dashboards available to product owners.</w:t>
      </w:r>
    </w:p>
    <w:p>
      <w:pPr>
        <w:pStyle w:val="Heading1"/>
      </w:pPr>
      <w:r>
        <w:t>References</w:t>
      </w:r>
    </w:p>
    <w:p>
      <w:pPr>
        <w:pStyle w:val="ListBullet"/>
      </w:pPr>
      <w:r>
        <w:t>Google Cloud Architecture Framework: https://docs.cloud.google.com/architecture/framework</w:t>
      </w:r>
    </w:p>
    <w:p>
      <w:pPr>
        <w:pStyle w:val="ListBullet"/>
      </w:pPr>
      <w:r>
        <w:t>Google Cloud Enterprise Foundations Blueprint: https://docs.cloud.google.com/architecture/blueprints/security-foundations</w:t>
      </w:r>
    </w:p>
    <w:p>
      <w:pPr>
        <w:pStyle w:val="ListBullet"/>
      </w:pPr>
      <w:r>
        <w:t>Google Cloud Terraform blueprints and modules: https://docs.cloud.google.com/docs/terraform/blueprints/terraform-blueprints</w:t>
      </w:r>
    </w:p>
    <w:p>
      <w:pPr>
        <w:pStyle w:val="ListBullet"/>
      </w:pPr>
      <w:r>
        <w:t>Build data products in a data mesh: https://docs.cloud.google.com/architecture/build-data-products-data-mesh</w:t>
      </w:r>
    </w:p>
    <w:p>
      <w:pPr>
        <w:pStyle w:val="ListBullet"/>
      </w:pPr>
      <w:r>
        <w:t>Architecture and functions in a data mesh: https://docs.cloud.google.com/architecture/data-mesh</w:t>
      </w:r>
    </w:p>
    <w:p>
      <w:pPr>
        <w:pStyle w:val="ListBullet"/>
      </w:pPr>
      <w:r>
        <w:t>Knowledge Catalog formerly Dataplex: https://cloud.google.com/products/knowledge-catalog</w:t>
      </w:r>
    </w:p>
    <w:p>
      <w:pPr>
        <w:pStyle w:val="ListBullet"/>
      </w:pPr>
      <w:r>
        <w:t>Optimize costs with FinOps hub: https://docs.cloud.google.com/billing/docs/how-to/finops-hub</w:t>
      </w:r>
    </w:p>
    <w:p>
      <w:pPr>
        <w:pStyle w:val="ListBullet"/>
      </w:pPr>
      <w:r>
        <w:t>VPC Service Controls supported products: https://docs.cloud.google.com/vpc-service-controls/docs/supported-products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