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12: Industry Reference Implementations</w:t>
      </w:r>
    </w:p>
    <w:p>
      <w:pPr>
        <w:jc w:val="center"/>
      </w:pPr>
      <w:r>
        <w:rPr>
          <w:sz w:val="24"/>
        </w:rPr>
        <w:t>Healthcare, banking, retail and telecom patterns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Industry Blueprint Strategy</w:t>
      </w:r>
    </w:p>
    <w:p>
      <w:pPr>
        <w:pStyle w:val="ListNumber"/>
      </w:pPr>
      <w:r>
        <w:t>2. Healthcare</w:t>
      </w:r>
    </w:p>
    <w:p>
      <w:pPr>
        <w:pStyle w:val="ListNumber"/>
      </w:pPr>
      <w:r>
        <w:t>3. Banking</w:t>
      </w:r>
    </w:p>
    <w:p>
      <w:pPr>
        <w:pStyle w:val="ListNumber"/>
      </w:pPr>
      <w:r>
        <w:t>4. Retail and Telecom</w:t>
      </w:r>
    </w:p>
    <w:p>
      <w:pPr>
        <w:pStyle w:val="ListNumber"/>
      </w:pPr>
      <w:r>
        <w:t>5. Reuse Model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Industry Blueprint Strategy</w:t>
      </w:r>
    </w:p>
    <w:p>
      <w:r>
        <w:t>Industry patterns extend the core platform with domain-specific regulations, source systems, data products, AI use cases, controls and dashboards.</w:t>
      </w:r>
    </w:p>
    <w:p>
      <w:pPr>
        <w:pStyle w:val="Heading1"/>
      </w:pPr>
      <w:r>
        <w:t>2. Healthcare</w:t>
      </w:r>
    </w:p>
    <w:p>
      <w:r>
        <w:t>Healthcare patterns focus on PHI, patient 360, claims analytics, care quality metrics, clinical document processing and strict access controls.</w:t>
      </w:r>
    </w:p>
    <w:p>
      <w:r>
        <w:t>Figure: Industry Reference Implementation Pattern</w:t>
      </w:r>
    </w:p>
    <w:p>
      <w:r>
        <w:drawing>
          <wp:inline xmlns:a="http://schemas.openxmlformats.org/drawingml/2006/main" xmlns:pic="http://schemas.openxmlformats.org/drawingml/2006/picture">
            <wp:extent cx="6309360" cy="3687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Enterprise Data Mesh Operating Model</w:t>
      </w:r>
    </w:p>
    <w:p>
      <w:r>
        <w:drawing>
          <wp:inline xmlns:a="http://schemas.openxmlformats.org/drawingml/2006/main" xmlns:pic="http://schemas.openxmlformats.org/drawingml/2006/picture">
            <wp:extent cx="6309360" cy="2651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5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Banking</w:t>
      </w:r>
    </w:p>
    <w:p>
      <w:r>
        <w:t>Banking patterns focus on PCI, risk, fraud, regulatory reporting, transaction analytics, model risk governance and high-resilience data products.</w:t>
      </w:r>
    </w:p>
    <w:p>
      <w:pPr>
        <w:pStyle w:val="Heading1"/>
      </w:pPr>
      <w:r>
        <w:t>4. Retail and Telecom</w:t>
      </w:r>
    </w:p>
    <w:p>
      <w:r>
        <w:t>Retail emphasizes customer 360, personalization, merchandising and inventory. Telecom emphasizes network events, subscriber analytics, churn, assurance and capacity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Core Data Products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AI Use Cases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Healthcare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Patient 360, Claims, Care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Clinical document summarization, prior authorization assistance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Banking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Customer Risk, Transactions, Fraud Signals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Fraud detection, risk explainability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Retail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Customer 360, Demand, Inventory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Personalization, demand forecasting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Telecom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Subscriber 360, Network 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Churn prediction, network anomaly detection</w:t>
            </w:r>
          </w:p>
        </w:tc>
      </w:tr>
    </w:tbl>
    <w:p/>
    <w:p>
      <w:pPr>
        <w:pStyle w:val="Heading1"/>
      </w:pPr>
      <w:r>
        <w:t>5. Reuse Model</w:t>
      </w:r>
    </w:p>
    <w:p>
      <w:r>
        <w:t>Each industry implementation reuses landing zone, data platform, mesh, AI, security, DevSecOps, SRE and FinOps controls.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