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2023-10-12</w:t>
      </w:r>
    </w:p>
    <w:bookmarkStart w:id="34" w:name="activity-uno"/>
    <w:p>
      <w:pPr>
        <w:pStyle w:val="Heading1"/>
      </w:pPr>
      <w:r>
        <w:t xml:space="preserve">Activity uno</w:t>
      </w:r>
    </w:p>
    <w:bookmarkStart w:id="33" w:name="advantage-of-r-markdown"/>
    <w:p>
      <w:pPr>
        <w:pStyle w:val="Heading2"/>
      </w:pPr>
      <w:r>
        <w:t xml:space="preserve">Advantage of R Markdown</w:t>
      </w:r>
    </w:p>
    <w:bookmarkStart w:id="32"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 To assess the impact of study time and course taken on the overall grades, we fitted a linear regression model with the number of hours as the independent variable and number of courses enrolled in and marks are response variable;(</w:t>
      </w:r>
      <m:oMath>
        <m:r>
          <m:t>m</m:t>
        </m:r>
        <m:r>
          <m:t>a</m:t>
        </m:r>
        <m:r>
          <m:t>r</m:t>
        </m:r>
        <m:r>
          <m:t>k</m:t>
        </m:r>
        <m:r>
          <m:t>s</m:t>
        </m:r>
        <m:r>
          <m:rPr>
            <m:sty m:val="p"/>
          </m:rPr>
          <m:t>=</m:t>
        </m:r>
        <m:sSub>
          <m:e>
            <m:r>
              <m:t>β</m:t>
            </m:r>
          </m:e>
          <m:sub>
            <m:r>
              <m:t>1</m:t>
            </m:r>
          </m:sub>
        </m:sSub>
        <m:r>
          <m:rPr>
            <m:sty m:val="p"/>
          </m:rPr>
          <m:t>*</m:t>
        </m:r>
        <m:r>
          <m:t>N</m:t>
        </m:r>
        <m:r>
          <m:t>u</m:t>
        </m:r>
        <m:r>
          <m:t>m</m:t>
        </m:r>
        <m:r>
          <m:t>b</m:t>
        </m:r>
        <m:r>
          <m:t>e</m:t>
        </m:r>
        <m:r>
          <m:t>r</m:t>
        </m:r>
        <m:r>
          <m:t>o</m:t>
        </m:r>
        <m:r>
          <m:t>f</m:t>
        </m:r>
        <m:r>
          <m:t>c</m:t>
        </m:r>
        <m:r>
          <m:t>o</m:t>
        </m:r>
        <m:r>
          <m:t>u</m:t>
        </m:r>
        <m:r>
          <m:t>r</m:t>
        </m:r>
        <m:r>
          <m:t>s</m:t>
        </m:r>
        <m:r>
          <m:t>e</m:t>
        </m:r>
        <m:r>
          <m:rPr>
            <m:sty m:val="p"/>
          </m:rPr>
          <m:t>+</m:t>
        </m:r>
        <m:sSub>
          <m:e>
            <m:r>
              <m:t>β</m:t>
            </m:r>
          </m:e>
          <m:sub>
            <m:r>
              <m:t>2</m:t>
            </m:r>
          </m:sub>
        </m:sSub>
        <m:r>
          <m:rPr>
            <m:sty m:val="p"/>
          </m:rPr>
          <m:t>*</m:t>
        </m:r>
        <m:r>
          <m:t>H</m:t>
        </m:r>
        <m:r>
          <m:t>o</m:t>
        </m:r>
        <m:r>
          <m:t>u</m:t>
        </m:r>
        <m:r>
          <m:t>r</m:t>
        </m:r>
        <m:r>
          <m:t>s</m:t>
        </m:r>
        <m:r>
          <m:t>s</m:t>
        </m:r>
        <m:r>
          <m:t>t</m:t>
        </m:r>
        <m:r>
          <m:t>u</m:t>
        </m:r>
        <m:r>
          <m:t>d</m:t>
        </m:r>
        <m:r>
          <m:t>y</m:t>
        </m:r>
        <m:r>
          <m:rPr>
            <m:sty m:val="p"/>
          </m:rPr>
          <m:t>+</m:t>
        </m:r>
        <m:r>
          <m:t>ϵ</m:t>
        </m:r>
      </m:oMath>
      <w:r>
        <w:t xml:space="preserve">), where</w:t>
      </w:r>
      <w:r>
        <w:t xml:space="preserve"> </w:t>
      </w:r>
      <m:oMath>
        <m:r>
          <m:t>ϵ</m:t>
        </m:r>
        <m:r>
          <m:t> </m:t>
        </m:r>
        <m:r>
          <m:t>N</m:t>
        </m:r>
        <m:d>
          <m:dPr>
            <m:begChr m:val="("/>
            <m:endChr m:val=")"/>
            <m:sepChr m:val=""/>
            <m:grow/>
          </m:dPr>
          <m:e>
            <m:r>
              <m:t>0</m:t>
            </m:r>
            <m:r>
              <m:rPr>
                <m:sty m:val="p"/>
              </m:rPr>
              <m:t>,</m:t>
            </m:r>
            <m:r>
              <m:t>1</m:t>
            </m:r>
          </m:e>
        </m:d>
      </m:oMath>
      <w:r>
        <w:t xml:space="preserve"> </w:t>
      </w:r>
      <w:r>
        <w:t xml:space="preserve">. All analyses were performed in R statistical software R version 4.1.2 (2021-11-01) (</w:t>
      </w:r>
      <w:r>
        <w:t xml:space="preserve">R Core Team (2019)</w:t>
      </w:r>
      <w:r>
        <w:t xml:space="preserve">).</w:t>
      </w:r>
    </w:p>
    <w:bookmarkEnd w:id="21"/>
    <w:bookmarkStart w:id="25"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24.42 in log scale, ranging from 5.61 to 55.3..</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(Marks</w:t>
      </w:r>
      <w:r>
        <w:rPr>
          <w:rStyle w:val="SpecialCharTok"/>
        </w:rPr>
        <w:t xml:space="preserve">~</w:t>
      </w:r>
      <w:r>
        <w:rPr>
          <w:rStyle w:val="NormalTok"/>
        </w:rPr>
        <w:t xml:space="preserve">number_courses</w:t>
      </w:r>
      <w:r>
        <w:rPr>
          <w:rStyle w:val="SpecialCharTok"/>
        </w:rPr>
        <w:t xml:space="preserve">+</w:t>
      </w:r>
      <w:r>
        <w:rPr>
          <w:rStyle w:val="NormalTok"/>
        </w:rPr>
        <w:t xml:space="preserve">time_study,</w:t>
      </w:r>
      <w:r>
        <w:rPr>
          <w:rStyle w:val="AttributeTok"/>
        </w:rPr>
        <w:t xml:space="preserve">data =</w:t>
      </w:r>
      <w:r>
        <w:rPr>
          <w:rStyle w:val="NormalTok"/>
        </w:rPr>
        <w:t xml:space="preserve"> student_marks)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summary_table </w:t>
      </w:r>
      <w:r>
        <w:rPr>
          <w:rStyle w:val="OtherTok"/>
        </w:rPr>
        <w:t xml:space="preserve">&lt;-</w:t>
      </w:r>
      <w:r>
        <w:rPr>
          <w:rStyle w:val="NormalTok"/>
        </w:rPr>
        <w:t xml:space="preserve"> model_summary</w:t>
      </w:r>
      <w:r>
        <w:rPr>
          <w:rStyle w:val="SpecialCharTok"/>
        </w:rPr>
        <w:t xml:space="preserve">$</w:t>
      </w:r>
      <w:r>
        <w:rPr>
          <w:rStyle w:val="NormalTok"/>
        </w:rPr>
        <w:t xml:space="preserve">coefficients</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FunctionTok"/>
        </w:rPr>
        <w:t xml:space="preserve">rownames</w:t>
      </w:r>
      <w:r>
        <w:rPr>
          <w:rStyle w:val="NormalTok"/>
        </w:rPr>
        <w:t xml:space="preserve">(summary_table)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"Courses enrolled-in"</w:t>
      </w:r>
      <w:r>
        <w:rPr>
          <w:rStyle w:val="NormalTok"/>
        </w:rPr>
        <w:t xml:space="preserve">,</w:t>
      </w:r>
      <w:r>
        <w:rPr>
          <w:rStyle w:val="StringTok"/>
        </w:rPr>
        <w:t xml:space="preserve">"Per day hours of study"</w:t>
      </w:r>
      <w:r>
        <w:rPr>
          <w:rStyle w:val="NormalTok"/>
        </w:rPr>
        <w:t xml:space="preserve">)</w:t>
      </w:r>
    </w:p>
    <w:p>
      <w:pPr>
        <w:pStyle w:val="FirstParagraph"/>
      </w:pPr>
      <w:r>
        <w:t xml:space="preserve">In our model, the number of courses(1,283.298,</w:t>
      </w:r>
      <w:r>
        <w:rPr>
          <w:iCs/>
          <w:i/>
          <w:bCs/>
          <w:b/>
        </w:rPr>
        <w:t xml:space="preserve">p&lt;0.005</w:t>
      </w:r>
      <w:r>
        <w:t xml:space="preserve"> </w:t>
      </w:r>
      <w:r>
        <w:t xml:space="preserve">) and study times (1,1246.281,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93.91% of the variation in the marks of students. With the increase in each course, the student average grades improved by -7.456(1.174). Similarly, each extra hour of study will increase the score by a factor of 1.864(0.202)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3538.880</w:t>
            </w:r>
          </w:p>
        </w:tc>
        <w:tc>
          <w:tcPr/>
          <w:p>
            <w:pPr>
              <w:pStyle w:val="Compact"/>
              <w:jc w:val="right"/>
            </w:pPr>
            <w:r>
              <w:t xml:space="preserve">3538.880</w:t>
            </w:r>
          </w:p>
        </w:tc>
        <w:tc>
          <w:tcPr/>
          <w:p>
            <w:pPr>
              <w:pStyle w:val="Compact"/>
              <w:jc w:val="right"/>
            </w:pPr>
            <w:r>
              <w:t xml:space="preserve">283.298</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15568.180</w:t>
            </w:r>
          </w:p>
        </w:tc>
        <w:tc>
          <w:tcPr/>
          <w:p>
            <w:pPr>
              <w:pStyle w:val="Compact"/>
              <w:jc w:val="right"/>
            </w:pPr>
            <w:r>
              <w:t xml:space="preserve">15568.180</w:t>
            </w:r>
          </w:p>
        </w:tc>
        <w:tc>
          <w:tcPr/>
          <w:p>
            <w:pPr>
              <w:pStyle w:val="Compact"/>
              <w:jc w:val="right"/>
            </w:pPr>
            <w:r>
              <w:t xml:space="preserve">1246.281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1211.696</w:t>
            </w:r>
          </w:p>
        </w:tc>
        <w:tc>
          <w:tcPr/>
          <w:p>
            <w:pPr>
              <w:pStyle w:val="Compact"/>
              <w:jc w:val="right"/>
            </w:pPr>
            <w:r>
              <w:t xml:space="preserve">12.492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-7.456</w:t>
            </w:r>
          </w:p>
        </w:tc>
        <w:tc>
          <w:tcPr/>
          <w:p>
            <w:pPr>
              <w:pStyle w:val="Compact"/>
              <w:jc w:val="right"/>
            </w:pPr>
            <w:r>
              <w:t xml:space="preserve">1.174</w:t>
            </w:r>
          </w:p>
        </w:tc>
        <w:tc>
          <w:tcPr/>
          <w:p>
            <w:pPr>
              <w:pStyle w:val="Compact"/>
              <w:jc w:val="right"/>
            </w:pPr>
            <w:r>
              <w:t xml:space="preserve">-6.349</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1.864</w:t>
            </w:r>
          </w:p>
        </w:tc>
        <w:tc>
          <w:tcPr/>
          <w:p>
            <w:pPr>
              <w:pStyle w:val="Compact"/>
              <w:jc w:val="right"/>
            </w:pPr>
            <w:r>
              <w:t xml:space="preserve">0.202</w:t>
            </w:r>
          </w:p>
        </w:tc>
        <w:tc>
          <w:tcPr/>
          <w:p>
            <w:pPr>
              <w:pStyle w:val="Compact"/>
              <w:jc w:val="right"/>
            </w:pPr>
            <w:r>
              <w:t xml:space="preserve">9.243</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5.399</w:t>
            </w:r>
          </w:p>
        </w:tc>
        <w:tc>
          <w:tcPr/>
          <w:p>
            <w:pPr>
              <w:pStyle w:val="Compact"/>
              <w:jc w:val="right"/>
            </w:pPr>
            <w:r>
              <w:t xml:space="preserve">0.153</w:t>
            </w:r>
          </w:p>
        </w:tc>
        <w:tc>
          <w:tcPr/>
          <w:p>
            <w:pPr>
              <w:pStyle w:val="Compact"/>
              <w:jc w:val="right"/>
            </w:pPr>
            <w:r>
              <w:t xml:space="preserve">35.303</w:t>
            </w:r>
          </w:p>
        </w:tc>
        <w:tc>
          <w:tcPr/>
          <w:p>
            <w:pPr>
              <w:pStyle w:val="Compact"/>
              <w:jc w:val="right"/>
            </w:pPr>
            <w:r>
              <w:t xml:space="preserve">0</w:t>
            </w:r>
          </w:p>
        </w:tc>
      </w:tr>
    </w:tbl>
    <w:p>
      <w:pPr>
        <w:pStyle w:val="CaptionedFigure"/>
      </w:pPr>
      <w:r>
        <w:drawing>
          <wp:inline>
            <wp:extent cx="5334000" cy="3556000"/>
            <wp:effectExtent b="0" l="0" r="0" t="0"/>
            <wp:docPr descr="Student performace in relation to number of hours study and courses enrolled in" title="" id="23" name="Picture"/>
            <a:graphic>
              <a:graphicData uri="http://schemas.openxmlformats.org/drawingml/2006/picture">
                <pic:pic>
                  <pic:nvPicPr>
                    <pic:cNvPr descr="Workshop_mark_down_files/figure-docx/graphs-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Student performace in relation to number of hours study and courses enrolled in</w:t>
      </w:r>
    </w:p>
    <w:bookmarkEnd w:id="25"/>
    <w:bookmarkStart w:id="31" w:name="discussion"/>
    <w:p>
      <w:pPr>
        <w:pStyle w:val="Heading4"/>
      </w:pPr>
      <w:r>
        <w:t xml:space="preserve">Discussion</w:t>
      </w:r>
    </w:p>
    <w:p>
      <w:pPr>
        <w:numPr>
          <w:ilvl w:val="0"/>
          <w:numId w:val="1001"/>
        </w:numPr>
        <w:pStyle w:val="Compact"/>
      </w:pPr>
      <w:r>
        <w:t xml:space="preserve">Our study align with results of</w:t>
      </w:r>
      <w:r>
        <w:t xml:space="preserve"> </w:t>
      </w:r>
      <w:r>
        <w:t xml:space="preserve">Yu (2011)</w:t>
      </w:r>
      <w:r>
        <w:t xml:space="preserve"> </w:t>
      </w:r>
      <w:r>
        <w:t xml:space="preserve">and</w:t>
      </w:r>
      <w:r>
        <w:t xml:space="preserve"> </w:t>
      </w:r>
      <w:r>
        <w:t xml:space="preserve">Borg</w:t>
      </w:r>
      <w:r>
        <w:t xml:space="preserve"> </w:t>
      </w:r>
      <w:r>
        <w:rPr>
          <w:iCs/>
          <w:i/>
        </w:rPr>
        <w:t xml:space="preserve">et al.</w:t>
      </w:r>
      <w:r>
        <w:t xml:space="preserve"> </w:t>
      </w:r>
      <w:r>
        <w:t xml:space="preserve">(1989)</w:t>
      </w:r>
      <w:r>
        <w:t xml:space="preserve"> </w:t>
      </w:r>
      <w:r>
        <w:t xml:space="preserve">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p>
      <w:pPr>
        <w:pStyle w:val="FirstParagraph"/>
      </w:pPr>
      <w:r>
        <w:t xml:space="preserve">References:</w:t>
      </w:r>
    </w:p>
    <w:bookmarkStart w:id="30" w:name="refs"/>
    <w:bookmarkStart w:id="26" w:name="ref-borg1989case"/>
    <w:p>
      <w:pPr>
        <w:pStyle w:val="Bibliography"/>
      </w:pPr>
      <w:r>
        <w:rPr>
          <w:smallCaps/>
        </w:rPr>
        <w:t xml:space="preserve">Borg M.O.</w:t>
      </w:r>
      <w:r>
        <w:t xml:space="preserve">,</w:t>
      </w:r>
      <w:r>
        <w:t xml:space="preserve"> </w:t>
      </w:r>
      <w:r>
        <w:rPr>
          <w:smallCaps/>
        </w:rPr>
        <w:t xml:space="preserve">Mason P.M.</w:t>
      </w:r>
      <w:r>
        <w:t xml:space="preserve"> </w:t>
      </w:r>
      <w:r>
        <w:t xml:space="preserve">&amp;</w:t>
      </w:r>
      <w:r>
        <w:t xml:space="preserve"> </w:t>
      </w:r>
      <w:r>
        <w:rPr>
          <w:smallCaps/>
        </w:rPr>
        <w:t xml:space="preserve">Shapiro S.L.</w:t>
      </w:r>
      <w:r>
        <w:t xml:space="preserve"> </w:t>
      </w:r>
      <w:r>
        <w:t xml:space="preserve">1989. — The case of effort variables in student performance.</w:t>
      </w:r>
      <w:r>
        <w:t xml:space="preserve"> </w:t>
      </w:r>
      <w:r>
        <w:rPr>
          <w:iCs/>
          <w:i/>
        </w:rPr>
        <w:t xml:space="preserve">The Journal of Economic Education</w:t>
      </w:r>
      <w:r>
        <w:t xml:space="preserve"> </w:t>
      </w:r>
      <w:r>
        <w:t xml:space="preserve">20 (3): 308–313</w:t>
      </w:r>
    </w:p>
    <w:bookmarkEnd w:id="26"/>
    <w:bookmarkStart w:id="28" w:name="ref-R-base"/>
    <w:p>
      <w:pPr>
        <w:pStyle w:val="Bibliography"/>
      </w:pPr>
      <w:r>
        <w:rPr>
          <w:smallCaps/>
        </w:rPr>
        <w:t xml:space="preserve">R Core Team</w:t>
      </w:r>
      <w:r>
        <w:t xml:space="preserve"> </w:t>
      </w:r>
      <w:r>
        <w:t xml:space="preserve">2019. —</w:t>
      </w:r>
      <w:r>
        <w:t xml:space="preserve"> </w:t>
      </w:r>
      <w:hyperlink r:id="rId27">
        <w:r>
          <w:rPr>
            <w:rStyle w:val="Hyperlink"/>
            <w:iCs/>
            <w:i/>
          </w:rPr>
          <w:t xml:space="preserve">R: A language and environment for statistical computing</w:t>
        </w:r>
      </w:hyperlink>
      <w:r>
        <w:t xml:space="preserve">. Vienna, Austria, R Foundation for Statistical Computing.</w:t>
      </w:r>
    </w:p>
    <w:bookmarkEnd w:id="28"/>
    <w:bookmarkStart w:id="29" w:name="ref-yu2011much"/>
    <w:p>
      <w:pPr>
        <w:pStyle w:val="Bibliography"/>
      </w:pPr>
      <w:r>
        <w:rPr>
          <w:smallCaps/>
        </w:rPr>
        <w:t xml:space="preserve">Yu D.D.</w:t>
      </w:r>
      <w:r>
        <w:t xml:space="preserve"> </w:t>
      </w:r>
      <w:r>
        <w:t xml:space="preserve">2011. — How much do study habits, skills, and attitudes affect student performance in introductory college accounting courses?</w:t>
      </w:r>
    </w:p>
    <w:bookmarkEnd w:id="29"/>
    <w:bookmarkEnd w:id="30"/>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2023-10-12T05:07:07Z</dcterms:created>
  <dcterms:modified xsi:type="dcterms:W3CDTF">2023-10-12T05:07:07Z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museum-national-dhistoire-naturelle.csl</vt:lpwstr>
  </property>
  <property fmtid="{D5CDD505-2E9C-101B-9397-08002B2CF9AE}" pid="4" name="date">
    <vt:lpwstr>2023-10-12</vt:lpwstr>
  </property>
  <property fmtid="{D5CDD505-2E9C-101B-9397-08002B2CF9AE}" pid="5" name="output">
    <vt:lpwstr/>
  </property>
</Properties>
</file>