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My</w:t>
      </w:r>
      <w:r>
        <w:t xml:space="preserve"> </w:t>
      </w:r>
      <w:r>
        <w:t xml:space="preserve">first</w:t>
      </w:r>
      <w:r>
        <w:t xml:space="preserve"> </w:t>
      </w:r>
      <w:r>
        <w:t xml:space="preserve">notebook</w:t>
      </w:r>
    </w:p>
    <w:p>
      <w:pPr>
        <w:pStyle w:val="Author"/>
      </w:pPr>
      <w:r>
        <w:t xml:space="preserve">Chandan</w:t>
      </w:r>
      <w:r>
        <w:t xml:space="preserve"> </w:t>
      </w:r>
      <w:r>
        <w:t xml:space="preserve">Kumar</w:t>
      </w:r>
      <w:r>
        <w:t xml:space="preserve"> </w:t>
      </w:r>
      <w:r>
        <w:t xml:space="preserve">Pandey</w:t>
      </w:r>
    </w:p>
    <w:p>
      <w:pPr>
        <w:pStyle w:val="Date"/>
      </w:pPr>
      <w:r>
        <w:t xml:space="preserve">2023-10-12</w:t>
      </w:r>
    </w:p>
    <w:bookmarkStart w:id="31" w:name="activity-uno"/>
    <w:p>
      <w:pPr>
        <w:pStyle w:val="Heading1"/>
      </w:pPr>
      <w:r>
        <w:t xml:space="preserve">Activity uno</w:t>
      </w:r>
    </w:p>
    <w:bookmarkStart w:id="30" w:name="advantage-of-r-markdown"/>
    <w:p>
      <w:pPr>
        <w:pStyle w:val="Heading2"/>
      </w:pPr>
      <w:r>
        <w:t xml:space="preserve">Advantage of R Markdown</w:t>
      </w:r>
    </w:p>
    <w:bookmarkStart w:id="29" w:name="Xc5132ddfbb28f15d8d4905b88feea5348c28769"/>
    <w:p>
      <w:pPr>
        <w:pStyle w:val="Heading3"/>
      </w:pPr>
      <w:r>
        <w:t xml:space="preserve">Question 1:- Does the number of hours students study impact their grades?</w:t>
      </w:r>
    </w:p>
    <w:bookmarkStart w:id="20" w:name="introduction"/>
    <w:p>
      <w:pPr>
        <w:pStyle w:val="Heading4"/>
      </w:pPr>
      <w:r>
        <w:t xml:space="preserve">Introduction</w:t>
      </w:r>
    </w:p>
    <w:p>
      <w:pPr>
        <w:pStyle w:val="FirstParagraph"/>
      </w:pPr>
      <w:r>
        <w:t xml:space="preserve">You can write your introduction here</w:t>
      </w:r>
    </w:p>
    <w:bookmarkEnd w:id="20"/>
    <w:bookmarkStart w:id="21" w:name="method-hypothetical"/>
    <w:p>
      <w:pPr>
        <w:pStyle w:val="Heading4"/>
      </w:pPr>
      <w:r>
        <w:t xml:space="preserve">Method (Hypothetical)</w:t>
      </w:r>
    </w:p>
    <w:p>
      <w:pPr>
        <w:pStyle w:val="FirstParagraph"/>
      </w:pPr>
      <w:r>
        <w:t xml:space="preserve">We conducted a survey in schools of Bangalore North Taluk to understand the impact of the number of hours of study on student final scores. Student’s parents were interviewed during parent-teacher meetings (PTA) to collect data on number of hours the child. Further from the school records, we collected overall final grades. To assess the impact of study time and course taken on the overall grades, we fitted a linear regression model with the number of hours as the independent variable and number of courses enrolled in and marks are response variable;(</w:t>
      </w:r>
      <m:oMath>
        <m:r>
          <m:t>m</m:t>
        </m:r>
        <m:r>
          <m:t>a</m:t>
        </m:r>
        <m:r>
          <m:t>r</m:t>
        </m:r>
        <m:r>
          <m:t>k</m:t>
        </m:r>
        <m:r>
          <m:t>s</m:t>
        </m:r>
        <m:r>
          <m:rPr>
            <m:sty m:val="p"/>
          </m:rPr>
          <m:t>=</m:t>
        </m:r>
        <m:sSub>
          <m:e>
            <m:r>
              <m:t>β</m:t>
            </m:r>
          </m:e>
          <m:sub>
            <m:r>
              <m:t>1</m:t>
            </m:r>
          </m:sub>
        </m:sSub>
        <m:r>
          <m:rPr>
            <m:sty m:val="p"/>
          </m:rPr>
          <m:t>*</m:t>
        </m:r>
        <m:r>
          <m:t>N</m:t>
        </m:r>
        <m:r>
          <m:t>u</m:t>
        </m:r>
        <m:r>
          <m:t>m</m:t>
        </m:r>
        <m:r>
          <m:t>b</m:t>
        </m:r>
        <m:r>
          <m:t>e</m:t>
        </m:r>
        <m:r>
          <m:t>r</m:t>
        </m:r>
        <m:r>
          <m:t>o</m:t>
        </m:r>
        <m:r>
          <m:t>f</m:t>
        </m:r>
        <m:r>
          <m:t>c</m:t>
        </m:r>
        <m:r>
          <m:t>o</m:t>
        </m:r>
        <m:r>
          <m:t>u</m:t>
        </m:r>
        <m:r>
          <m:t>r</m:t>
        </m:r>
        <m:r>
          <m:t>s</m:t>
        </m:r>
        <m:r>
          <m:t>e</m:t>
        </m:r>
        <m:r>
          <m:rPr>
            <m:sty m:val="p"/>
          </m:rPr>
          <m:t>+</m:t>
        </m:r>
        <m:sSub>
          <m:e>
            <m:r>
              <m:t>β</m:t>
            </m:r>
          </m:e>
          <m:sub>
            <m:r>
              <m:t>2</m:t>
            </m:r>
          </m:sub>
        </m:sSub>
        <m:r>
          <m:rPr>
            <m:sty m:val="p"/>
          </m:rPr>
          <m:t>*</m:t>
        </m:r>
        <m:r>
          <m:t>H</m:t>
        </m:r>
        <m:r>
          <m:t>o</m:t>
        </m:r>
        <m:r>
          <m:t>u</m:t>
        </m:r>
        <m:r>
          <m:t>r</m:t>
        </m:r>
        <m:r>
          <m:t>s</m:t>
        </m:r>
        <m:r>
          <m:t>s</m:t>
        </m:r>
        <m:r>
          <m:t>t</m:t>
        </m:r>
        <m:r>
          <m:t>u</m:t>
        </m:r>
        <m:r>
          <m:t>d</m:t>
        </m:r>
        <m:r>
          <m:t>y</m:t>
        </m:r>
        <m:r>
          <m:rPr>
            <m:sty m:val="p"/>
          </m:rPr>
          <m:t>+</m:t>
        </m:r>
        <m:r>
          <m:t>ϵ</m:t>
        </m:r>
      </m:oMath>
      <w:r>
        <w:t xml:space="preserve">), where</w:t>
      </w:r>
      <w:r>
        <w:t xml:space="preserve"> </w:t>
      </w:r>
      <m:oMath>
        <m:r>
          <m:t>ϵ</m:t>
        </m:r>
        <m:r>
          <m:t> </m:t>
        </m:r>
        <m:r>
          <m:t>N</m:t>
        </m:r>
        <m:d>
          <m:dPr>
            <m:begChr m:val="("/>
            <m:endChr m:val=")"/>
            <m:sepChr m:val=""/>
            <m:grow/>
          </m:dPr>
          <m:e>
            <m:r>
              <m:t>0</m:t>
            </m:r>
            <m:r>
              <m:rPr>
                <m:sty m:val="p"/>
              </m:rPr>
              <m:t>,</m:t>
            </m:r>
            <m:r>
              <m:t>1</m:t>
            </m:r>
          </m:e>
        </m:d>
      </m:oMath>
      <w:r>
        <w:t xml:space="preserve"> </w:t>
      </w:r>
      <w:r>
        <w:t xml:space="preserve">. All analyses were performed in R statistical software R version 4.3.1 (2023-06-16 ucrt) (</w:t>
      </w:r>
      <w:r>
        <w:t xml:space="preserve">R Core Team (2019)</w:t>
      </w:r>
      <w:r>
        <w:t xml:space="preserve">).</w:t>
      </w:r>
    </w:p>
    <w:bookmarkEnd w:id="21"/>
    <w:bookmarkStart w:id="22" w:name="results"/>
    <w:p>
      <w:pPr>
        <w:pStyle w:val="Heading4"/>
      </w:pPr>
      <w:r>
        <w:t xml:space="preserve">Results</w:t>
      </w:r>
    </w:p>
    <w:p>
      <w:pPr>
        <w:pStyle w:val="FirstParagraph"/>
      </w:pPr>
      <w:r>
        <w:t xml:space="preserve">A total of 100 student records were collected, with the number of courses students were enrolled in ranging between 3 and 8. Based on parents’ interviews, on average, students studied for 4.08 hours per day (ranging from 0.1 to 7.96 per day). Further, the average mark scored was 3.01 in log scale, ranging from 1.72 to 4.01..</w:t>
      </w:r>
    </w:p>
    <w:p>
      <w:pPr>
        <w:pStyle w:val="BodyText"/>
      </w:pPr>
      <w:r>
        <w:t xml:space="preserve">In our model, the number of courses(1,688.561,</w:t>
      </w:r>
      <w:r>
        <w:rPr>
          <w:iCs/>
          <w:i/>
          <w:bCs/>
          <w:b/>
        </w:rPr>
        <w:t xml:space="preserve">p&lt;0.005</w:t>
      </w:r>
      <w:r>
        <w:t xml:space="preserve"> </w:t>
      </w:r>
      <w:r>
        <w:t xml:space="preserve">) and study times (1,2629.841,</w:t>
      </w:r>
      <w:r>
        <w:rPr>
          <w:iCs/>
          <w:i/>
          <w:bCs/>
          <w:b/>
        </w:rPr>
        <w:t xml:space="preserve">p&lt;0.005</w:t>
      </w:r>
      <w:r>
        <w:t xml:space="preserve"> </w:t>
      </w:r>
      <w:r>
        <w:t xml:space="preserve">)were significant in explaining the student’s grades in the final examination (</w:t>
      </w:r>
      <w:r>
        <w:rPr>
          <w:bCs/>
          <w:b/>
        </w:rPr>
        <w:t xml:space="preserve">Table 1</w:t>
      </w:r>
      <w:r>
        <w:t xml:space="preserve">). Overall, our model was able to explain 97.1% of the variation in the marks of students. With the increase in each course, the student average grades improved by 1.544(0.036). Similarly, each extra hour of study will increase the score by a factor of 0.093(0.006) (Table 2, Fig1)</w:t>
      </w:r>
    </w:p>
    <w:p>
      <w:pPr>
        <w:pStyle w:val="TableCaption"/>
      </w:pPr>
      <w:r>
        <w:t xml:space="preserve">Table1: Annova output of the model</w:t>
      </w:r>
    </w:p>
    <w:tbl>
      <w:tblPr>
        <w:tblStyle w:val="Table"/>
        <w:tblW w:type="auto" w:w="0"/>
        <w:tblLook w:firstRow="1" w:lastRow="0" w:firstColumn="0" w:lastColumn="0" w:noHBand="0" w:noVBand="0" w:val="0020"/>
        <w:jc w:val="start"/>
        <w:tblCaption w:val="Table1: Annova output of the model"/>
      </w:tblPr>
      <w:tblGrid>
        <w:gridCol w:w="1320"/>
        <w:gridCol w:w="1320"/>
        <w:gridCol w:w="1320"/>
        <w:gridCol w:w="1320"/>
        <w:gridCol w:w="1320"/>
        <w:gridCol w:w="1320"/>
      </w:tblGrid>
      <w:tr>
        <w:trPr>
          <w:tblHeader w:val="true"/>
        </w:trPr>
        <w:tc>
          <w:tcPr/>
          <w:p>
            <w:pPr>
              <w:pStyle w:val="Compact"/>
            </w:pPr>
          </w:p>
        </w:tc>
        <w:tc>
          <w:tcPr/>
          <w:p>
            <w:pPr>
              <w:pStyle w:val="Compact"/>
              <w:jc w:val="right"/>
            </w:pPr>
            <w:r>
              <w:t xml:space="preserve">Df</w:t>
            </w:r>
          </w:p>
        </w:tc>
        <w:tc>
          <w:tcPr/>
          <w:p>
            <w:pPr>
              <w:pStyle w:val="Compact"/>
              <w:jc w:val="right"/>
            </w:pPr>
            <w:r>
              <w:t xml:space="preserve">Sum Sq</w:t>
            </w:r>
          </w:p>
        </w:tc>
        <w:tc>
          <w:tcPr/>
          <w:p>
            <w:pPr>
              <w:pStyle w:val="Compact"/>
              <w:jc w:val="right"/>
            </w:pPr>
            <w:r>
              <w:t xml:space="preserve">Mean Sq</w:t>
            </w:r>
          </w:p>
        </w:tc>
        <w:tc>
          <w:tcPr/>
          <w:p>
            <w:pPr>
              <w:pStyle w:val="Compact"/>
              <w:jc w:val="right"/>
            </w:pPr>
            <w:r>
              <w:t xml:space="preserve">F value</w:t>
            </w:r>
          </w:p>
        </w:tc>
        <w:tc>
          <w:tcPr/>
          <w:p>
            <w:pPr>
              <w:pStyle w:val="Compact"/>
              <w:jc w:val="right"/>
            </w:pPr>
            <w:r>
              <w:t xml:space="preserve">Pr(&gt;F)</w:t>
            </w:r>
          </w:p>
        </w:tc>
      </w:tr>
      <w:tr>
        <w:tc>
          <w:tcPr/>
          <w:p>
            <w:pPr>
              <w:pStyle w:val="Compact"/>
              <w:jc w:val="left"/>
            </w:pPr>
            <w:r>
              <w:t xml:space="preserve">number_courses</w:t>
            </w:r>
          </w:p>
        </w:tc>
        <w:tc>
          <w:tcPr/>
          <w:p>
            <w:pPr>
              <w:pStyle w:val="Compact"/>
              <w:jc w:val="right"/>
            </w:pPr>
            <w:r>
              <w:t xml:space="preserve">1</w:t>
            </w:r>
          </w:p>
        </w:tc>
        <w:tc>
          <w:tcPr/>
          <w:p>
            <w:pPr>
              <w:pStyle w:val="Compact"/>
              <w:jc w:val="right"/>
            </w:pPr>
            <w:r>
              <w:t xml:space="preserve">7.974</w:t>
            </w:r>
          </w:p>
        </w:tc>
        <w:tc>
          <w:tcPr/>
          <w:p>
            <w:pPr>
              <w:pStyle w:val="Compact"/>
              <w:jc w:val="right"/>
            </w:pPr>
            <w:r>
              <w:t xml:space="preserve">7.974</w:t>
            </w:r>
          </w:p>
        </w:tc>
        <w:tc>
          <w:tcPr/>
          <w:p>
            <w:pPr>
              <w:pStyle w:val="Compact"/>
              <w:jc w:val="right"/>
            </w:pPr>
            <w:r>
              <w:t xml:space="preserve">688.561</w:t>
            </w:r>
          </w:p>
        </w:tc>
        <w:tc>
          <w:tcPr/>
          <w:p>
            <w:pPr>
              <w:pStyle w:val="Compact"/>
              <w:jc w:val="right"/>
            </w:pPr>
            <w:r>
              <w:t xml:space="preserve">0</w:t>
            </w:r>
          </w:p>
        </w:tc>
      </w:tr>
      <w:tr>
        <w:tc>
          <w:tcPr/>
          <w:p>
            <w:pPr>
              <w:pStyle w:val="Compact"/>
              <w:jc w:val="left"/>
            </w:pPr>
            <w:r>
              <w:t xml:space="preserve">time_study</w:t>
            </w:r>
          </w:p>
        </w:tc>
        <w:tc>
          <w:tcPr/>
          <w:p>
            <w:pPr>
              <w:pStyle w:val="Compact"/>
              <w:jc w:val="right"/>
            </w:pPr>
            <w:r>
              <w:t xml:space="preserve">1</w:t>
            </w:r>
          </w:p>
        </w:tc>
        <w:tc>
          <w:tcPr/>
          <w:p>
            <w:pPr>
              <w:pStyle w:val="Compact"/>
              <w:jc w:val="right"/>
            </w:pPr>
            <w:r>
              <w:t xml:space="preserve">30.454</w:t>
            </w:r>
          </w:p>
        </w:tc>
        <w:tc>
          <w:tcPr/>
          <w:p>
            <w:pPr>
              <w:pStyle w:val="Compact"/>
              <w:jc w:val="right"/>
            </w:pPr>
            <w:r>
              <w:t xml:space="preserve">30.454</w:t>
            </w:r>
          </w:p>
        </w:tc>
        <w:tc>
          <w:tcPr/>
          <w:p>
            <w:pPr>
              <w:pStyle w:val="Compact"/>
              <w:jc w:val="right"/>
            </w:pPr>
            <w:r>
              <w:t xml:space="preserve">2629.841</w:t>
            </w:r>
          </w:p>
        </w:tc>
        <w:tc>
          <w:tcPr/>
          <w:p>
            <w:pPr>
              <w:pStyle w:val="Compact"/>
              <w:jc w:val="right"/>
            </w:pPr>
            <w:r>
              <w:t xml:space="preserve">0</w:t>
            </w:r>
          </w:p>
        </w:tc>
      </w:tr>
      <w:tr>
        <w:tc>
          <w:tcPr/>
          <w:p>
            <w:pPr>
              <w:pStyle w:val="Compact"/>
              <w:jc w:val="left"/>
            </w:pPr>
            <w:r>
              <w:t xml:space="preserve">Residuals</w:t>
            </w:r>
          </w:p>
        </w:tc>
        <w:tc>
          <w:tcPr/>
          <w:p>
            <w:pPr>
              <w:pStyle w:val="Compact"/>
              <w:jc w:val="right"/>
            </w:pPr>
            <w:r>
              <w:t xml:space="preserve">97</w:t>
            </w:r>
          </w:p>
        </w:tc>
        <w:tc>
          <w:tcPr/>
          <w:p>
            <w:pPr>
              <w:pStyle w:val="Compact"/>
              <w:jc w:val="right"/>
            </w:pPr>
            <w:r>
              <w:t xml:space="preserve">1.123</w:t>
            </w:r>
          </w:p>
        </w:tc>
        <w:tc>
          <w:tcPr/>
          <w:p>
            <w:pPr>
              <w:pStyle w:val="Compact"/>
              <w:jc w:val="right"/>
            </w:pPr>
            <w:r>
              <w:t xml:space="preserve">0.012</w:t>
            </w:r>
          </w:p>
        </w:tc>
        <w:tc>
          <w:tcPr/>
          <w:p>
            <w:pPr>
              <w:pStyle w:val="Compact"/>
              <w:jc w:val="right"/>
            </w:pPr>
            <w:r>
              <w:t xml:space="preserve">NA</w:t>
            </w:r>
          </w:p>
        </w:tc>
        <w:tc>
          <w:tcPr/>
          <w:p>
            <w:pPr>
              <w:pStyle w:val="Compact"/>
              <w:jc w:val="right"/>
            </w:pPr>
            <w:r>
              <w:t xml:space="preserve">NA</w:t>
            </w:r>
          </w:p>
        </w:tc>
      </w:tr>
    </w:tbl>
    <w:p/>
    <w:p>
      <w:pPr>
        <w:pStyle w:val="TableCaption"/>
      </w:pPr>
      <w:r>
        <w:t xml:space="preserve">Table2: model summary</w:t>
      </w:r>
    </w:p>
    <w:tbl>
      <w:tblPr>
        <w:tblStyle w:val="Table"/>
        <w:tblW w:type="pct" w:w="5000"/>
        <w:tblLook w:firstRow="1" w:lastRow="0" w:firstColumn="0" w:lastColumn="0" w:noHBand="0" w:noVBand="0" w:val="0020"/>
        <w:jc w:val="start"/>
        <w:tblCaption w:val="Table2: model summary"/>
      </w:tblPr>
      <w:tblGrid>
        <w:gridCol w:w="2602"/>
        <w:gridCol w:w="1018"/>
        <w:gridCol w:w="1244"/>
        <w:gridCol w:w="905"/>
        <w:gridCol w:w="2149"/>
      </w:tblGrid>
      <w:tr>
        <w:trPr>
          <w:tblHeader w:val="true"/>
        </w:trPr>
        <w:tc>
          <w:tcPr/>
          <w:p>
            <w:pPr>
              <w:pStyle w:val="Compact"/>
            </w:pPr>
          </w:p>
        </w:tc>
        <w:tc>
          <w:tcPr/>
          <w:p>
            <w:pPr>
              <w:pStyle w:val="Compact"/>
              <w:jc w:val="right"/>
            </w:pPr>
            <w:r>
              <w:t xml:space="preserve">Estimate</w:t>
            </w:r>
          </w:p>
        </w:tc>
        <w:tc>
          <w:tcPr/>
          <w:p>
            <w:pPr>
              <w:pStyle w:val="Compact"/>
              <w:jc w:val="right"/>
            </w:pPr>
            <w:r>
              <w:t xml:space="preserve">Std. Error</w:t>
            </w:r>
          </w:p>
        </w:tc>
        <w:tc>
          <w:tcPr/>
          <w:p>
            <w:pPr>
              <w:pStyle w:val="Compact"/>
              <w:jc w:val="right"/>
            </w:pPr>
            <w:r>
              <w:t xml:space="preserve">t value</w:t>
            </w:r>
          </w:p>
        </w:tc>
        <w:tc>
          <w:tcPr/>
          <w:p>
            <w:pPr>
              <w:pStyle w:val="Compact"/>
              <w:jc w:val="right"/>
            </w:pPr>
            <w:r>
              <w:t xml:space="preserve">Pr(&gt;|t|)</w:t>
            </w:r>
          </w:p>
        </w:tc>
      </w:tr>
      <w:tr>
        <w:tc>
          <w:tcPr/>
          <w:p>
            <w:pPr>
              <w:pStyle w:val="Compact"/>
              <w:jc w:val="left"/>
            </w:pPr>
            <w:r>
              <w:t xml:space="preserve">Intercept</w:t>
            </w:r>
          </w:p>
        </w:tc>
        <w:tc>
          <w:tcPr/>
          <w:p>
            <w:pPr>
              <w:pStyle w:val="Compact"/>
              <w:jc w:val="right"/>
            </w:pPr>
            <w:r>
              <w:t xml:space="preserve">1.544</w:t>
            </w:r>
          </w:p>
        </w:tc>
        <w:tc>
          <w:tcPr/>
          <w:p>
            <w:pPr>
              <w:pStyle w:val="Compact"/>
              <w:jc w:val="right"/>
            </w:pPr>
            <w:r>
              <w:t xml:space="preserve">0.036</w:t>
            </w:r>
          </w:p>
        </w:tc>
        <w:tc>
          <w:tcPr/>
          <w:p>
            <w:pPr>
              <w:pStyle w:val="Compact"/>
              <w:jc w:val="right"/>
            </w:pPr>
            <w:r>
              <w:t xml:space="preserve">43.186</w:t>
            </w:r>
          </w:p>
        </w:tc>
        <w:tc>
          <w:tcPr/>
          <w:p>
            <w:pPr>
              <w:pStyle w:val="Compact"/>
              <w:jc w:val="right"/>
            </w:pPr>
            <w:r>
              <w:t xml:space="preserve">0</w:t>
            </w:r>
          </w:p>
        </w:tc>
      </w:tr>
      <w:tr>
        <w:tc>
          <w:tcPr/>
          <w:p>
            <w:pPr>
              <w:pStyle w:val="Compact"/>
              <w:jc w:val="left"/>
            </w:pPr>
            <w:r>
              <w:t xml:space="preserve">Courses enrolled-in</w:t>
            </w:r>
          </w:p>
        </w:tc>
        <w:tc>
          <w:tcPr/>
          <w:p>
            <w:pPr>
              <w:pStyle w:val="Compact"/>
              <w:jc w:val="right"/>
            </w:pPr>
            <w:r>
              <w:t xml:space="preserve">0.093</w:t>
            </w:r>
          </w:p>
        </w:tc>
        <w:tc>
          <w:tcPr/>
          <w:p>
            <w:pPr>
              <w:pStyle w:val="Compact"/>
              <w:jc w:val="right"/>
            </w:pPr>
            <w:r>
              <w:t xml:space="preserve">0.006</w:t>
            </w:r>
          </w:p>
        </w:tc>
        <w:tc>
          <w:tcPr/>
          <w:p>
            <w:pPr>
              <w:pStyle w:val="Compact"/>
              <w:jc w:val="right"/>
            </w:pPr>
            <w:r>
              <w:t xml:space="preserve">15.179</w:t>
            </w:r>
          </w:p>
        </w:tc>
        <w:tc>
          <w:tcPr/>
          <w:p>
            <w:pPr>
              <w:pStyle w:val="Compact"/>
              <w:jc w:val="right"/>
            </w:pPr>
            <w:r>
              <w:t xml:space="preserve">0</w:t>
            </w:r>
          </w:p>
        </w:tc>
      </w:tr>
      <w:tr>
        <w:tc>
          <w:tcPr/>
          <w:p>
            <w:pPr>
              <w:pStyle w:val="Compact"/>
              <w:jc w:val="left"/>
            </w:pPr>
            <w:r>
              <w:t xml:space="preserve">Per day hours of study</w:t>
            </w:r>
          </w:p>
        </w:tc>
        <w:tc>
          <w:tcPr/>
          <w:p>
            <w:pPr>
              <w:pStyle w:val="Compact"/>
              <w:jc w:val="right"/>
            </w:pPr>
            <w:r>
              <w:t xml:space="preserve">0.239</w:t>
            </w:r>
          </w:p>
        </w:tc>
        <w:tc>
          <w:tcPr/>
          <w:p>
            <w:pPr>
              <w:pStyle w:val="Compact"/>
              <w:jc w:val="right"/>
            </w:pPr>
            <w:r>
              <w:t xml:space="preserve">0.005</w:t>
            </w:r>
          </w:p>
        </w:tc>
        <w:tc>
          <w:tcPr/>
          <w:p>
            <w:pPr>
              <w:pStyle w:val="Compact"/>
              <w:jc w:val="right"/>
            </w:pPr>
            <w:r>
              <w:t xml:space="preserve">51.282</w:t>
            </w:r>
          </w:p>
        </w:tc>
        <w:tc>
          <w:tcPr/>
          <w:p>
            <w:pPr>
              <w:pStyle w:val="Compact"/>
              <w:jc w:val="right"/>
            </w:pPr>
            <w:r>
              <w:t xml:space="preserve">0</w:t>
            </w:r>
          </w:p>
        </w:tc>
      </w:tr>
    </w:tbl>
    <w:bookmarkEnd w:id="22"/>
    <w:bookmarkStart w:id="28" w:name="discussion"/>
    <w:p>
      <w:pPr>
        <w:pStyle w:val="Heading4"/>
      </w:pPr>
      <w:r>
        <w:t xml:space="preserve">Discussion</w:t>
      </w:r>
    </w:p>
    <w:p>
      <w:pPr>
        <w:numPr>
          <w:ilvl w:val="0"/>
          <w:numId w:val="1001"/>
        </w:numPr>
        <w:pStyle w:val="Compact"/>
      </w:pPr>
      <w:r>
        <w:t xml:space="preserve">Our study align with results of</w:t>
      </w:r>
      <w:r>
        <w:t xml:space="preserve"> </w:t>
      </w:r>
      <w:r>
        <w:t xml:space="preserve">Yu (2011)</w:t>
      </w:r>
      <w:r>
        <w:t xml:space="preserve"> </w:t>
      </w:r>
      <w:r>
        <w:t xml:space="preserve">and</w:t>
      </w:r>
      <w:r>
        <w:t xml:space="preserve"> </w:t>
      </w:r>
      <w:r>
        <w:t xml:space="preserve">Borg</w:t>
      </w:r>
      <w:r>
        <w:t xml:space="preserve"> </w:t>
      </w:r>
      <w:r>
        <w:rPr>
          <w:iCs/>
          <w:i/>
        </w:rPr>
        <w:t xml:space="preserve">et al.</w:t>
      </w:r>
      <w:r>
        <w:t xml:space="preserve"> </w:t>
      </w:r>
      <w:r>
        <w:t xml:space="preserve">(1989)</w:t>
      </w:r>
      <w:r>
        <w:t xml:space="preserve"> </w:t>
      </w:r>
      <w:r>
        <w:t xml:space="preserve">that with more study we can get good grades</w:t>
      </w:r>
    </w:p>
    <w:p>
      <w:pPr>
        <w:numPr>
          <w:ilvl w:val="0"/>
          <w:numId w:val="1001"/>
        </w:numPr>
        <w:pStyle w:val="Compact"/>
      </w:pPr>
      <w:r>
        <w:t xml:space="preserve">It was surprising that several courses also increased the overall mark. This may be due to the following reasons</w:t>
      </w:r>
    </w:p>
    <w:p>
      <w:pPr>
        <w:numPr>
          <w:ilvl w:val="1"/>
          <w:numId w:val="1002"/>
        </w:numPr>
        <w:pStyle w:val="Compact"/>
      </w:pPr>
      <w:r>
        <w:t xml:space="preserve">Generally, people who study more take more courses.</w:t>
      </w:r>
    </w:p>
    <w:p>
      <w:pPr>
        <w:numPr>
          <w:ilvl w:val="1"/>
          <w:numId w:val="1002"/>
        </w:numPr>
        <w:pStyle w:val="Compact"/>
      </w:pPr>
      <w:r>
        <w:t xml:space="preserve">The average of many subjects compensates for few bad results.</w:t>
      </w:r>
    </w:p>
    <w:p>
      <w:pPr>
        <w:pStyle w:val="FirstParagraph"/>
      </w:pPr>
      <w:r>
        <w:t xml:space="preserve">References:</w:t>
      </w:r>
    </w:p>
    <w:bookmarkStart w:id="27" w:name="refs"/>
    <w:bookmarkStart w:id="23" w:name="ref-borg1989case"/>
    <w:p>
      <w:pPr>
        <w:pStyle w:val="Bibliography"/>
      </w:pPr>
      <w:r>
        <w:rPr>
          <w:smallCaps/>
        </w:rPr>
        <w:t xml:space="preserve">Borg M.O.</w:t>
      </w:r>
      <w:r>
        <w:t xml:space="preserve">,</w:t>
      </w:r>
      <w:r>
        <w:t xml:space="preserve"> </w:t>
      </w:r>
      <w:r>
        <w:rPr>
          <w:smallCaps/>
        </w:rPr>
        <w:t xml:space="preserve">Mason P.M.</w:t>
      </w:r>
      <w:r>
        <w:t xml:space="preserve"> </w:t>
      </w:r>
      <w:r>
        <w:t xml:space="preserve">&amp;</w:t>
      </w:r>
      <w:r>
        <w:t xml:space="preserve"> </w:t>
      </w:r>
      <w:r>
        <w:rPr>
          <w:smallCaps/>
        </w:rPr>
        <w:t xml:space="preserve">Shapiro S.L.</w:t>
      </w:r>
      <w:r>
        <w:t xml:space="preserve"> </w:t>
      </w:r>
      <w:r>
        <w:t xml:space="preserve">1989. — The case of effort variables in student performance.</w:t>
      </w:r>
      <w:r>
        <w:t xml:space="preserve"> </w:t>
      </w:r>
      <w:r>
        <w:rPr>
          <w:iCs/>
          <w:i/>
        </w:rPr>
        <w:t xml:space="preserve">The Journal of Economic Education</w:t>
      </w:r>
      <w:r>
        <w:t xml:space="preserve"> </w:t>
      </w:r>
      <w:r>
        <w:t xml:space="preserve">20 (3): 308–313</w:t>
      </w:r>
    </w:p>
    <w:bookmarkEnd w:id="23"/>
    <w:bookmarkStart w:id="25" w:name="ref-R-base"/>
    <w:p>
      <w:pPr>
        <w:pStyle w:val="Bibliography"/>
      </w:pPr>
      <w:r>
        <w:rPr>
          <w:smallCaps/>
        </w:rPr>
        <w:t xml:space="preserve">R Core Team</w:t>
      </w:r>
      <w:r>
        <w:t xml:space="preserve"> </w:t>
      </w:r>
      <w:r>
        <w:t xml:space="preserve">2019. —</w:t>
      </w:r>
      <w:r>
        <w:t xml:space="preserve"> </w:t>
      </w:r>
      <w:hyperlink r:id="rId24">
        <w:r>
          <w:rPr>
            <w:rStyle w:val="Hyperlink"/>
            <w:iCs/>
            <w:i/>
          </w:rPr>
          <w:t xml:space="preserve">R: A language and environment for statistical computing</w:t>
        </w:r>
      </w:hyperlink>
      <w:r>
        <w:t xml:space="preserve">. Vienna, Austria, R Foundation for Statistical Computing.</w:t>
      </w:r>
    </w:p>
    <w:bookmarkEnd w:id="25"/>
    <w:bookmarkStart w:id="26" w:name="ref-yu2011much"/>
    <w:p>
      <w:pPr>
        <w:pStyle w:val="Bibliography"/>
      </w:pPr>
      <w:r>
        <w:rPr>
          <w:smallCaps/>
        </w:rPr>
        <w:t xml:space="preserve">Yu D.D.</w:t>
      </w:r>
      <w:r>
        <w:t xml:space="preserve"> </w:t>
      </w:r>
      <w:r>
        <w:t xml:space="preserve">2011. — How much do study habits, skills, and attitudes affect student performance in introductory college accounting courses?</w:t>
      </w:r>
    </w:p>
    <w:bookmarkEnd w:id="26"/>
    <w:bookmarkEnd w:id="27"/>
    <w:bookmarkEnd w:id="28"/>
    <w:bookmarkEnd w:id="29"/>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https://www.R-project.org" TargetMode="External" /></Relationships>
</file>

<file path=word/_rels/footnotes.xml.rels><?xml version="1.0" encoding="UTF-8"?><Relationships xmlns="http://schemas.openxmlformats.org/package/2006/relationships"><Relationship Type="http://schemas.openxmlformats.org/officeDocument/2006/relationships/hyperlink" Id="rId24" Target="https://www.R-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My first notebook</dc:title>
  <dc:creator>Chandan Kumar Pandey</dc:creator>
  <cp:keywords/>
  <dcterms:created xsi:type="dcterms:W3CDTF">2023-10-12T10:34:30Z</dcterms:created>
  <dcterms:modified xsi:type="dcterms:W3CDTF">2023-10-12T10:34:30Z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ref.bib</vt:lpwstr>
  </property>
  <property fmtid="{D5CDD505-2E9C-101B-9397-08002B2CF9AE}" pid="3" name="csl">
    <vt:lpwstr>museum-national-dhistoire-naturelle.csl</vt:lpwstr>
  </property>
  <property fmtid="{D5CDD505-2E9C-101B-9397-08002B2CF9AE}" pid="4" name="date">
    <vt:lpwstr>2023-10-12</vt:lpwstr>
  </property>
  <property fmtid="{D5CDD505-2E9C-101B-9397-08002B2CF9AE}" pid="5" name="output">
    <vt:lpwstr/>
  </property>
</Properties>
</file>